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720" w:rsidP="00CA7720">
      <w:pPr>
        <w:pStyle w:val="Title"/>
      </w:pPr>
      <w:r>
        <w:fldChar w:fldCharType="begin"/>
      </w:r>
      <w:r>
        <w:instrText xml:space="preserve"> TITLE   \* MERGEFORMAT </w:instrText>
      </w:r>
      <w:r>
        <w:fldChar w:fldCharType="separate"/>
      </w:r>
      <w:r>
        <w:t>MEM09005B Perform basic engineering detail drafting</w:t>
      </w:r>
      <w:r>
        <w:fldChar w:fldCharType="end"/>
      </w:r>
    </w:p>
    <w:p w:rsidR="00CA7720" w:rsidP="00CA7720">
      <w:pPr>
        <w:pStyle w:val="Version"/>
        <w:sectPr w:rsidSect="00494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C7F" w:rsidP="00494C7F">
      <w:pPr>
        <w:pStyle w:val="SuperHeading"/>
      </w:pPr>
      <w:r w:rsidRPr="00494C7F">
        <w:t>MEM09005B Perform basic engineering detail drafting</w:t>
      </w:r>
    </w:p>
    <w:p w:rsidR="00000000" w:rsidRPr="00494C7F" w:rsidP="00494C7F">
      <w:pPr>
        <w:pStyle w:val="Heading1"/>
      </w:pPr>
      <w:bookmarkStart w:id="1" w:name="O_272105"/>
      <w:bookmarkEnd w:id="1"/>
      <w:r w:rsidRPr="00494C7F">
        <w:t>Modification History</w:t>
      </w:r>
    </w:p>
    <w:p w:rsidR="00000000" w:rsidRPr="00494C7F" w:rsidP="00494C7F">
      <w:pPr>
        <w:pStyle w:val="BodyText"/>
      </w:pPr>
      <w:r w:rsidRPr="00494C7F">
        <w:t>Not Applicable</w:t>
      </w:r>
    </w:p>
    <w:p w:rsidR="00000000" w:rsidRPr="00494C7F" w:rsidP="00494C7F">
      <w:pPr>
        <w:pStyle w:val="AllowPageBreak"/>
      </w:pPr>
    </w:p>
    <w:p w:rsidR="00000000" w:rsidRPr="00494C7F" w:rsidP="00494C7F">
      <w:pPr>
        <w:pStyle w:val="Heading1"/>
      </w:pPr>
      <w:bookmarkStart w:id="2" w:name="O_211173"/>
      <w:bookmarkEnd w:id="2"/>
      <w:r w:rsidRPr="00494C7F">
        <w:t>Unit Descriptor</w:t>
      </w:r>
    </w:p>
    <w:tbl>
      <w:tblPr>
        <w:tblW w:w="0" w:type="auto"/>
        <w:tblLayout w:type="fixed"/>
        <w:tblCellMar>
          <w:left w:w="62" w:type="dxa"/>
          <w:right w:w="62" w:type="dxa"/>
        </w:tblCellMar>
        <w:tblLook w:val="0000"/>
      </w:tblPr>
      <w:tblGrid>
        <w:gridCol w:w="2657"/>
        <w:gridCol w:w="5865"/>
      </w:tblGrid>
      <w:tr w:rsidTr="00CA7720">
        <w:tblPrEx>
          <w:tblW w:w="0" w:type="auto"/>
          <w:tblLayout w:type="fixed"/>
          <w:tblCellMar>
            <w:left w:w="62" w:type="dxa"/>
            <w:right w:w="62" w:type="dxa"/>
          </w:tblCellMar>
          <w:tblLook w:val="0000"/>
        </w:tblPrEx>
        <w:trPr>
          <w:tblHeader/>
        </w:trPr>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This unit covers producing drawings to Australian Standard 1100 or equivalent where the critical di</w:t>
            </w:r>
            <w:r w:rsidRPr="00494C7F">
              <w:t>mensions and associated tolerances and design specifications are predetermined.</w:t>
            </w:r>
          </w:p>
        </w:tc>
      </w:tr>
    </w:tbl>
    <w:p w:rsidR="00CA7720" w:rsidP="00494C7F">
      <w:pPr>
        <w:pStyle w:val="BodyText"/>
      </w:pPr>
    </w:p>
    <w:p w:rsidR="00CA7720" w:rsidP="00494C7F">
      <w:pPr>
        <w:pStyle w:val="BodyText"/>
      </w:pPr>
    </w:p>
    <w:p w:rsidR="00000000" w:rsidRPr="00494C7F" w:rsidP="00494C7F">
      <w:pPr>
        <w:pStyle w:val="Heading1"/>
      </w:pPr>
      <w:bookmarkStart w:id="3" w:name="O_211177"/>
      <w:bookmarkEnd w:id="3"/>
      <w:r w:rsidRPr="00494C7F">
        <w:t>Application of the Unit</w:t>
      </w:r>
    </w:p>
    <w:tbl>
      <w:tblPr>
        <w:tblW w:w="0" w:type="auto"/>
        <w:tblLayout w:type="fixed"/>
        <w:tblCellMar>
          <w:left w:w="62" w:type="dxa"/>
          <w:right w:w="62" w:type="dxa"/>
        </w:tblCellMar>
        <w:tblLook w:val="0000"/>
      </w:tblPr>
      <w:tblGrid>
        <w:gridCol w:w="2738"/>
        <w:gridCol w:w="5784"/>
      </w:tblGrid>
      <w:tr w:rsidTr="00CA7720">
        <w:tblPrEx>
          <w:tblW w:w="0" w:type="auto"/>
          <w:tblLayout w:type="fixed"/>
          <w:tblCellMar>
            <w:left w:w="62" w:type="dxa"/>
            <w:right w:w="62" w:type="dxa"/>
          </w:tblCellMar>
          <w:tblLook w:val="0000"/>
        </w:tblPrEx>
        <w:tc>
          <w:tcPr>
            <w:tcW w:w="2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Application of the unit</w:t>
            </w:r>
          </w:p>
        </w:tc>
        <w:tc>
          <w:tcPr>
            <w:tcW w:w="5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Manual drafting or drawing equipment is used or where a CAD (Computer Aided Design) system is used, Unit MEM09009C (Create 2D drawings using computer aided design system) and/or Unit MEM09010C (Create 3D models using computer aided design system) should al</w:t>
            </w:r>
            <w:r w:rsidRPr="00494C7F">
              <w:t>so be considered.</w:t>
            </w:r>
          </w:p>
          <w:p w:rsidR="00000000" w:rsidRPr="00494C7F" w:rsidP="00494C7F">
            <w:pPr>
              <w:pStyle w:val="BodyText"/>
            </w:pPr>
          </w:p>
          <w:p w:rsidR="00000000" w:rsidRPr="00494C7F" w:rsidP="00494C7F">
            <w:pPr>
              <w:pStyle w:val="BodyText"/>
            </w:pPr>
            <w:r w:rsidRPr="00494C7F">
              <w:rPr>
                <w:rStyle w:val="SpecialBold"/>
              </w:rPr>
              <w:t>Band</w:t>
            </w:r>
            <w:r w:rsidRPr="00494C7F">
              <w:t>:</w:t>
            </w:r>
            <w:r w:rsidRPr="00494C7F">
              <w:tab/>
            </w:r>
            <w:r w:rsidRPr="00494C7F">
              <w:rPr>
                <w:rStyle w:val="SpecialBold"/>
              </w:rPr>
              <w:t>A</w:t>
            </w:r>
          </w:p>
          <w:p w:rsidR="00000000" w:rsidRPr="00494C7F" w:rsidP="00494C7F">
            <w:pPr>
              <w:pStyle w:val="BodyText"/>
            </w:pPr>
            <w:r w:rsidRPr="00494C7F">
              <w:rPr>
                <w:rStyle w:val="SpecialBold"/>
              </w:rPr>
              <w:t>Unit Weight</w:t>
            </w:r>
            <w:r w:rsidRPr="00494C7F">
              <w:t>:</w:t>
            </w:r>
            <w:r w:rsidRPr="00494C7F">
              <w:tab/>
            </w:r>
            <w:r w:rsidRPr="00494C7F">
              <w:rPr>
                <w:rStyle w:val="SpecialBold"/>
              </w:rPr>
              <w:t>8</w:t>
            </w:r>
          </w:p>
        </w:tc>
      </w:tr>
    </w:tbl>
    <w:p w:rsidR="00CA7720" w:rsidP="00494C7F">
      <w:pPr>
        <w:pStyle w:val="BodyText"/>
      </w:pPr>
    </w:p>
    <w:p w:rsidR="00CA7720" w:rsidP="00494C7F">
      <w:pPr>
        <w:pStyle w:val="BodyText"/>
      </w:pPr>
    </w:p>
    <w:p w:rsidR="00000000" w:rsidRPr="00494C7F" w:rsidP="00494C7F">
      <w:pPr>
        <w:pStyle w:val="Heading1"/>
      </w:pPr>
      <w:bookmarkStart w:id="4" w:name="O_280365"/>
      <w:bookmarkEnd w:id="4"/>
      <w:r w:rsidRPr="00494C7F">
        <w:t>Licensing/Regulatory Information</w:t>
      </w:r>
    </w:p>
    <w:p w:rsidR="00000000" w:rsidRPr="00494C7F" w:rsidP="00494C7F">
      <w:pPr>
        <w:pStyle w:val="BodyText"/>
      </w:pPr>
      <w:r w:rsidRPr="00494C7F">
        <w:t>Not Applicable</w:t>
      </w:r>
    </w:p>
    <w:p w:rsidR="00000000" w:rsidRPr="00494C7F" w:rsidP="00494C7F">
      <w:pPr>
        <w:pStyle w:val="AllowPageBreak"/>
      </w:pPr>
    </w:p>
    <w:p w:rsidR="00000000" w:rsidRPr="00494C7F" w:rsidP="00494C7F">
      <w:pPr>
        <w:pStyle w:val="Heading1"/>
      </w:pPr>
      <w:bookmarkStart w:id="5" w:name="O_211175"/>
      <w:bookmarkEnd w:id="5"/>
      <w:r w:rsidRPr="00494C7F">
        <w:t>Pre-Requisites</w:t>
      </w:r>
    </w:p>
    <w:tbl>
      <w:tblPr>
        <w:tblW w:w="0" w:type="auto"/>
        <w:tblLayout w:type="fixed"/>
        <w:tblCellMar>
          <w:left w:w="62" w:type="dxa"/>
          <w:right w:w="62" w:type="dxa"/>
        </w:tblCellMar>
        <w:tblLook w:val="0000"/>
      </w:tblPr>
      <w:tblGrid>
        <w:gridCol w:w="2709"/>
        <w:gridCol w:w="2195"/>
        <w:gridCol w:w="3618"/>
      </w:tblGrid>
      <w:tr w:rsidTr="00CA7720">
        <w:tblPrEx>
          <w:tblW w:w="0" w:type="auto"/>
          <w:tblLayout w:type="fixed"/>
          <w:tblCellMar>
            <w:left w:w="62" w:type="dxa"/>
            <w:right w:w="62" w:type="dxa"/>
          </w:tblCellMar>
          <w:tblLook w:val="0000"/>
        </w:tblPrEx>
        <w:trPr>
          <w:tblHeader/>
        </w:trPr>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Prerequisite units</w:t>
            </w:r>
          </w:p>
        </w:tc>
        <w:tc>
          <w:tcPr>
            <w:tcW w:w="581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p>
        </w:tc>
      </w:tr>
      <w:tr w:rsidTr="00CA7720">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MEM09002B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Interpret technical drawing</w:t>
            </w:r>
          </w:p>
        </w:tc>
      </w:tr>
      <w:tr w:rsidTr="00CA7720">
        <w:tblPrEx>
          <w:tblW w:w="0" w:type="auto"/>
          <w:tblLayout w:type="fixed"/>
          <w:tblCellMar>
            <w:left w:w="62" w:type="dxa"/>
            <w:right w:w="62" w:type="dxa"/>
          </w:tblCellMar>
          <w:tblLook w:val="0000"/>
        </w:tblPrEx>
        <w:tc>
          <w:tcPr>
            <w:tcW w:w="27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MEM09003B</w:t>
            </w:r>
          </w:p>
        </w:tc>
        <w:tc>
          <w:tcPr>
            <w:tcW w:w="3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Prepare basic engineering drawing</w:t>
            </w:r>
          </w:p>
        </w:tc>
      </w:tr>
    </w:tbl>
    <w:p w:rsidR="00CA7720" w:rsidP="00494C7F">
      <w:pPr>
        <w:pStyle w:val="BodyText"/>
      </w:pPr>
    </w:p>
    <w:p w:rsidR="00CA7720" w:rsidP="00494C7F">
      <w:pPr>
        <w:pStyle w:val="BodyText"/>
      </w:pPr>
    </w:p>
    <w:p w:rsidR="00000000" w:rsidRPr="00494C7F" w:rsidP="00494C7F">
      <w:pPr>
        <w:pStyle w:val="Heading1"/>
      </w:pPr>
      <w:bookmarkStart w:id="6" w:name="O_211174"/>
      <w:bookmarkEnd w:id="6"/>
      <w:r w:rsidRPr="00494C7F">
        <w:t>Employability Skills Information</w:t>
      </w:r>
    </w:p>
    <w:tbl>
      <w:tblPr>
        <w:tblW w:w="0" w:type="auto"/>
        <w:tblLayout w:type="fixed"/>
        <w:tblCellMar>
          <w:left w:w="62" w:type="dxa"/>
          <w:right w:w="62" w:type="dxa"/>
        </w:tblCellMar>
        <w:tblLook w:val="0000"/>
      </w:tblPr>
      <w:tblGrid>
        <w:gridCol w:w="2795"/>
        <w:gridCol w:w="5727"/>
      </w:tblGrid>
      <w:tr w:rsidTr="00CA7720">
        <w:tblPrEx>
          <w:tblW w:w="0" w:type="auto"/>
          <w:tblLayout w:type="fixed"/>
          <w:tblCellMar>
            <w:left w:w="62" w:type="dxa"/>
            <w:right w:w="62" w:type="dxa"/>
          </w:tblCellMar>
          <w:tblLook w:val="0000"/>
        </w:tblPrEx>
        <w:trPr>
          <w:tblHeader/>
        </w:trPr>
        <w:tc>
          <w:tcPr>
            <w:tcW w:w="2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Employability skills</w:t>
            </w:r>
          </w:p>
        </w:tc>
        <w:tc>
          <w:tcPr>
            <w:tcW w:w="57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This unit contains employability skills.</w:t>
            </w:r>
          </w:p>
        </w:tc>
      </w:tr>
    </w:tbl>
    <w:p w:rsidR="00CA7720" w:rsidP="00494C7F">
      <w:pPr>
        <w:pStyle w:val="BodyText"/>
      </w:pPr>
    </w:p>
    <w:p w:rsidR="00CA7720" w:rsidP="00494C7F">
      <w:pPr>
        <w:pStyle w:val="BodyText"/>
      </w:pPr>
    </w:p>
    <w:p w:rsidR="00000000" w:rsidRPr="00494C7F" w:rsidP="00494C7F">
      <w:pPr>
        <w:pStyle w:val="Heading1"/>
      </w:pPr>
      <w:bookmarkStart w:id="7" w:name="O_290151"/>
      <w:bookmarkEnd w:id="7"/>
      <w:r w:rsidRPr="00494C7F">
        <w:t>Elements and Performance Criteria Pre-Content</w:t>
      </w:r>
    </w:p>
    <w:tbl>
      <w:tblPr>
        <w:tblW w:w="0" w:type="auto"/>
        <w:tblLayout w:type="fixed"/>
        <w:tblCellMar>
          <w:left w:w="62" w:type="dxa"/>
          <w:right w:w="62" w:type="dxa"/>
        </w:tblCellMar>
        <w:tblLook w:val="0000"/>
      </w:tblPr>
      <w:tblGrid>
        <w:gridCol w:w="2558"/>
        <w:gridCol w:w="5964"/>
      </w:tblGrid>
      <w:tr w:rsidTr="00CA772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Performanc</w:t>
            </w:r>
            <w:r w:rsidRPr="00494C7F">
              <w:t xml:space="preserve">e criteria describe the performance needed to demonstrate achievement of the element. Where bold italicised text is used, further information is detailed in the required skills and knowledge section and the range statement. Assessment of performance is to </w:t>
            </w:r>
            <w:r w:rsidRPr="00494C7F">
              <w:t>be consistent with the evidence guide.</w:t>
            </w:r>
          </w:p>
        </w:tc>
      </w:tr>
    </w:tbl>
    <w:p w:rsidR="00000000" w:rsidRPr="00494C7F" w:rsidP="00494C7F">
      <w:pPr>
        <w:pStyle w:val="BodyText"/>
      </w:pPr>
    </w:p>
    <w:p w:rsidR="00000000" w:rsidRPr="00494C7F" w:rsidP="00494C7F">
      <w:pPr>
        <w:pStyle w:val="AllowPageBreak"/>
      </w:pPr>
    </w:p>
    <w:p w:rsidR="00000000" w:rsidRPr="00494C7F" w:rsidP="00494C7F">
      <w:pPr>
        <w:pStyle w:val="Heading1"/>
      </w:pPr>
      <w:bookmarkStart w:id="8" w:name="O_236818"/>
      <w:bookmarkEnd w:id="8"/>
      <w:r w:rsidRPr="00494C7F">
        <w:t>Elements and Performance Criteria</w:t>
      </w:r>
    </w:p>
    <w:tbl>
      <w:tblPr>
        <w:tblW w:w="0" w:type="auto"/>
        <w:tblLayout w:type="fixed"/>
        <w:tblCellMar>
          <w:left w:w="62" w:type="dxa"/>
          <w:right w:w="62" w:type="dxa"/>
        </w:tblCellMar>
        <w:tblLook w:val="0000"/>
      </w:tblPr>
      <w:tblGrid>
        <w:gridCol w:w="2558"/>
        <w:gridCol w:w="5964"/>
      </w:tblGrid>
      <w:tr w:rsidTr="00CA7720">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PERFORMANCE CRITERIA</w:t>
            </w:r>
          </w:p>
        </w:tc>
      </w:tr>
      <w:tr w:rsidTr="00CA772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List"/>
              <w:rPr>
                <w:lang w:val="en-NZ"/>
              </w:rPr>
            </w:pPr>
            <w:r w:rsidRPr="00494C7F">
              <w:t>1.</w:t>
            </w:r>
            <w:r w:rsidRPr="00494C7F">
              <w:tab/>
              <w:t>Prepare assembly, layout and detail drafting</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List2"/>
            </w:pPr>
            <w:r w:rsidRPr="00494C7F">
              <w:t>1.1.</w:t>
            </w:r>
            <w:r w:rsidRPr="00494C7F">
              <w:tab/>
            </w:r>
            <w:r w:rsidRPr="00494C7F">
              <w:t>Drawings are prepared in plane orthogonal, isometric projection or equivalent including auxiliary views and sections to Australian Standard 1100.</w:t>
            </w:r>
          </w:p>
          <w:p w:rsidR="00000000" w:rsidRPr="00494C7F" w:rsidP="00494C7F">
            <w:pPr>
              <w:pStyle w:val="List2"/>
            </w:pPr>
            <w:r w:rsidRPr="00494C7F">
              <w:t>1.2.</w:t>
            </w:r>
            <w:r w:rsidRPr="00494C7F">
              <w:tab/>
              <w:t>Layout, assembly and component drawings are prepared from specification.</w:t>
            </w:r>
          </w:p>
          <w:p w:rsidR="00000000" w:rsidRPr="00494C7F" w:rsidP="00494C7F">
            <w:pPr>
              <w:pStyle w:val="List2"/>
            </w:pPr>
            <w:r w:rsidRPr="00494C7F">
              <w:t>1.3.</w:t>
            </w:r>
            <w:r w:rsidRPr="00494C7F">
              <w:tab/>
              <w:t>Drawings are dimensioned an</w:t>
            </w:r>
            <w:r w:rsidRPr="00494C7F">
              <w:t>d labelled using supplied tolerances in accordance with Australian Standard 1100.</w:t>
            </w:r>
          </w:p>
          <w:p w:rsidR="00000000" w:rsidRPr="00494C7F" w:rsidP="00494C7F">
            <w:pPr>
              <w:pStyle w:val="List2"/>
            </w:pPr>
            <w:r w:rsidRPr="00494C7F">
              <w:t>1.4.</w:t>
            </w:r>
            <w:r w:rsidRPr="00494C7F">
              <w:tab/>
              <w:t>Drawings are produced to specification in accordance with standard operating procedures.</w:t>
            </w:r>
          </w:p>
          <w:p w:rsidR="00000000" w:rsidP="00494C7F">
            <w:pPr>
              <w:pStyle w:val="List2"/>
              <w:rPr>
                <w:lang w:val="en-NZ"/>
              </w:rPr>
            </w:pPr>
            <w:r w:rsidRPr="00494C7F">
              <w:t>1.5.</w:t>
            </w:r>
            <w:r w:rsidRPr="00494C7F">
              <w:tab/>
            </w:r>
            <w:r w:rsidRPr="00494C7F">
              <w:t>Standard symbols to Australian Standard 1100 or equivalent are used to specify requirements.</w:t>
            </w:r>
          </w:p>
        </w:tc>
      </w:tr>
      <w:tr w:rsidTr="00CA7720">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List"/>
              <w:rPr>
                <w:lang w:val="en-NZ"/>
              </w:rPr>
            </w:pPr>
            <w:r w:rsidRPr="00494C7F">
              <w:t>2.</w:t>
            </w:r>
            <w:r w:rsidRPr="00494C7F">
              <w:tab/>
              <w:t>Determine component and/or material requirement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List2"/>
            </w:pPr>
            <w:r w:rsidRPr="00494C7F">
              <w:t>2.1.</w:t>
            </w:r>
            <w:r w:rsidRPr="00494C7F">
              <w:tab/>
              <w:t>Components and/or materials are selected from supplier/manufacturers' catalogues using design specificatio</w:t>
            </w:r>
            <w:r w:rsidRPr="00494C7F">
              <w:t>ns.</w:t>
            </w:r>
          </w:p>
        </w:tc>
      </w:tr>
    </w:tbl>
    <w:p w:rsidR="00CA7720" w:rsidP="00494C7F">
      <w:pPr>
        <w:pStyle w:val="BodyText"/>
      </w:pPr>
    </w:p>
    <w:p w:rsidR="00CA7720" w:rsidP="00494C7F">
      <w:pPr>
        <w:pStyle w:val="BodyText"/>
      </w:pPr>
    </w:p>
    <w:p w:rsidR="00000000" w:rsidRPr="00494C7F" w:rsidP="00494C7F">
      <w:pPr>
        <w:pStyle w:val="Heading1"/>
      </w:pPr>
      <w:bookmarkStart w:id="9" w:name="O_260768"/>
      <w:bookmarkEnd w:id="9"/>
      <w:r w:rsidRPr="00494C7F">
        <w:t>Required Skills and Knowledge</w:t>
      </w:r>
    </w:p>
    <w:tbl>
      <w:tblPr>
        <w:tblW w:w="0" w:type="auto"/>
        <w:tblLayout w:type="fixed"/>
        <w:tblCellMar>
          <w:left w:w="62" w:type="dxa"/>
          <w:right w:w="62" w:type="dxa"/>
        </w:tblCellMar>
        <w:tblLook w:val="0000"/>
      </w:tblPr>
      <w:tblGrid>
        <w:gridCol w:w="8522"/>
      </w:tblGrid>
      <w:tr w:rsidTr="00CA77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REQUIRED SKILLS AND KNOWLEDGE</w:t>
            </w:r>
          </w:p>
        </w:tc>
      </w:tr>
      <w:tr w:rsidTr="00CA77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This section describes the skills and knowledge required for this unit.</w:t>
            </w:r>
          </w:p>
        </w:tc>
      </w:tr>
      <w:tr w:rsidTr="00CA7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Required skills</w:t>
            </w:r>
          </w:p>
        </w:tc>
      </w:tr>
      <w:tr w:rsidTr="00CA7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Look for evidence that confirms skills in:</w:t>
            </w:r>
          </w:p>
          <w:p w:rsidR="00000000" w:rsidRPr="00494C7F" w:rsidP="00494C7F">
            <w:pPr>
              <w:pStyle w:val="ListBullet"/>
            </w:pPr>
            <w:r w:rsidRPr="00494C7F">
              <w:t>preparing drawings using appropriate projections and views in accordance with AS1100 or equivalent, see above note in the range statement</w:t>
            </w:r>
          </w:p>
          <w:p w:rsidR="00000000" w:rsidRPr="00494C7F" w:rsidP="00494C7F">
            <w:pPr>
              <w:pStyle w:val="ListBullet"/>
            </w:pPr>
            <w:r w:rsidRPr="00494C7F">
              <w:t>producing layout, assembly and component drawings in conformance with specification</w:t>
            </w:r>
          </w:p>
          <w:p w:rsidR="00000000" w:rsidRPr="00494C7F" w:rsidP="00494C7F">
            <w:pPr>
              <w:pStyle w:val="ListBullet"/>
            </w:pPr>
            <w:r w:rsidRPr="00494C7F">
              <w:t>inserting all relevant dimensions,</w:t>
            </w:r>
            <w:r w:rsidRPr="00494C7F">
              <w:t xml:space="preserve"> tolerances and instructions in the drawing</w:t>
            </w:r>
          </w:p>
          <w:p w:rsidR="00000000" w:rsidRPr="00494C7F" w:rsidP="00494C7F">
            <w:pPr>
              <w:pStyle w:val="ListBullet"/>
            </w:pPr>
            <w:r w:rsidRPr="00494C7F">
              <w:t>producing drawings to specification</w:t>
            </w:r>
          </w:p>
          <w:p w:rsidR="00000000" w:rsidRPr="00494C7F" w:rsidP="00494C7F">
            <w:pPr>
              <w:pStyle w:val="ListBullet"/>
            </w:pPr>
            <w:r w:rsidRPr="00494C7F">
              <w:t>appropriately using standard symbols in accordance with AS1100 or equivalent in the drawings produced</w:t>
            </w:r>
          </w:p>
          <w:p w:rsidR="00000000" w:rsidRPr="00494C7F" w:rsidP="00494C7F">
            <w:pPr>
              <w:pStyle w:val="ListBullet"/>
            </w:pPr>
            <w:r w:rsidRPr="00494C7F">
              <w:t>obtaining component specifications in accordance with work place procedure</w:t>
            </w:r>
            <w:r w:rsidRPr="00494C7F">
              <w:t>s</w:t>
            </w:r>
          </w:p>
          <w:p w:rsidR="00000000" w:rsidRPr="00494C7F" w:rsidP="00494C7F">
            <w:pPr>
              <w:pStyle w:val="ListBullet"/>
            </w:pPr>
            <w:r w:rsidRPr="00494C7F">
              <w:t>reading, interpreting and following information written job instructions, specifications, standard operating procedures, charts, lists, drawings and other applicable reference documents</w:t>
            </w:r>
          </w:p>
          <w:p w:rsidR="00000000" w:rsidRPr="00494C7F" w:rsidP="00494C7F">
            <w:pPr>
              <w:pStyle w:val="ListBullet"/>
            </w:pPr>
            <w:r w:rsidRPr="00494C7F">
              <w:t>planning and sequencing operations</w:t>
            </w:r>
          </w:p>
          <w:p w:rsidR="00000000" w:rsidRPr="00494C7F" w:rsidP="00494C7F">
            <w:pPr>
              <w:pStyle w:val="ListBullet"/>
            </w:pPr>
            <w:r w:rsidRPr="00494C7F">
              <w:t>checking and clarifying task rela</w:t>
            </w:r>
            <w:r w:rsidRPr="00494C7F">
              <w:t>ted information</w:t>
            </w:r>
          </w:p>
          <w:p w:rsidR="00000000" w:rsidRPr="00494C7F" w:rsidP="00494C7F">
            <w:pPr>
              <w:pStyle w:val="ListBullet"/>
            </w:pPr>
            <w:r w:rsidRPr="00494C7F">
              <w:t>checking for conformance to specifications</w:t>
            </w:r>
          </w:p>
          <w:p w:rsidR="00000000" w:rsidP="00494C7F">
            <w:pPr>
              <w:pStyle w:val="ListBullet"/>
              <w:rPr>
                <w:lang w:val="en-NZ"/>
              </w:rPr>
            </w:pPr>
            <w:r w:rsidRPr="00494C7F">
              <w:t>undertaking numerical operations, geometry and calculations/formulae within the scope of this unit</w:t>
            </w:r>
          </w:p>
        </w:tc>
      </w:tr>
      <w:tr w:rsidTr="00CA7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Required knowledge</w:t>
            </w:r>
          </w:p>
        </w:tc>
      </w:tr>
      <w:tr w:rsidTr="00CA77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Look for evidence that confirms knowledge of:</w:t>
            </w:r>
          </w:p>
          <w:p w:rsidR="00000000" w:rsidRPr="00494C7F" w:rsidP="00494C7F">
            <w:pPr>
              <w:pStyle w:val="ListBullet"/>
            </w:pPr>
            <w:r w:rsidRPr="00494C7F">
              <w:t xml:space="preserve">appropriate </w:t>
            </w:r>
            <w:r w:rsidRPr="00494C7F">
              <w:t xml:space="preserve">projection for the drawing purpose </w:t>
            </w:r>
          </w:p>
          <w:p w:rsidR="00000000" w:rsidRPr="00494C7F" w:rsidP="00494C7F">
            <w:pPr>
              <w:pStyle w:val="ListBullet"/>
            </w:pPr>
            <w:r w:rsidRPr="00494C7F">
              <w:t xml:space="preserve">reasons for selecting the chosen projection </w:t>
            </w:r>
          </w:p>
          <w:p w:rsidR="00000000" w:rsidRPr="00494C7F" w:rsidP="00494C7F">
            <w:pPr>
              <w:pStyle w:val="ListBullet"/>
            </w:pPr>
            <w:r w:rsidRPr="00494C7F">
              <w:t xml:space="preserve">reasons for including auxiliary views in drawings </w:t>
            </w:r>
          </w:p>
          <w:p w:rsidR="00000000" w:rsidRPr="00494C7F" w:rsidP="00494C7F">
            <w:pPr>
              <w:pStyle w:val="ListBullet"/>
            </w:pPr>
            <w:r w:rsidRPr="00494C7F">
              <w:t>requirements of AS1100 or equivalent with respect to dimensions, tolerances and labels</w:t>
            </w:r>
          </w:p>
          <w:p w:rsidR="00000000" w:rsidRPr="00494C7F" w:rsidP="00494C7F">
            <w:pPr>
              <w:pStyle w:val="ListBullet"/>
            </w:pPr>
            <w:r w:rsidRPr="00494C7F">
              <w:t>procedures for producing component, l</w:t>
            </w:r>
            <w:r w:rsidRPr="00494C7F">
              <w:t xml:space="preserve">ayout and/or assembly drawings </w:t>
            </w:r>
          </w:p>
          <w:p w:rsidR="00000000" w:rsidRPr="00494C7F" w:rsidP="00494C7F">
            <w:pPr>
              <w:pStyle w:val="ListBullet"/>
            </w:pPr>
            <w:r w:rsidRPr="00494C7F">
              <w:t>drawing specifications</w:t>
            </w:r>
          </w:p>
          <w:p w:rsidR="00000000" w:rsidRPr="00494C7F" w:rsidP="00494C7F">
            <w:pPr>
              <w:pStyle w:val="ListBullet"/>
            </w:pPr>
            <w:r w:rsidRPr="00494C7F">
              <w:t xml:space="preserve">common symbols used in drawings to AS1100 or equivalent </w:t>
            </w:r>
          </w:p>
          <w:p w:rsidR="00000000" w:rsidRPr="00494C7F" w:rsidP="00494C7F">
            <w:pPr>
              <w:pStyle w:val="ListBullet"/>
            </w:pPr>
            <w:r w:rsidRPr="00494C7F">
              <w:t xml:space="preserve">design specifications of the component </w:t>
            </w:r>
          </w:p>
          <w:p w:rsidR="00000000" w:rsidRPr="00494C7F" w:rsidP="00494C7F">
            <w:pPr>
              <w:pStyle w:val="ListBullet"/>
            </w:pPr>
            <w:r w:rsidRPr="00494C7F">
              <w:t>appropriate components and materials from supplier/manufacturers' catalogues</w:t>
            </w:r>
          </w:p>
          <w:p w:rsidR="00000000" w:rsidRPr="00494C7F" w:rsidP="00494C7F">
            <w:pPr>
              <w:pStyle w:val="ListBullet"/>
            </w:pPr>
            <w:r w:rsidRPr="00494C7F">
              <w:t>reasons for selecting the c</w:t>
            </w:r>
            <w:r w:rsidRPr="00494C7F">
              <w:t>hosen components and/or materials</w:t>
            </w:r>
          </w:p>
          <w:p w:rsidR="00000000" w:rsidRPr="00494C7F" w:rsidP="00494C7F">
            <w:pPr>
              <w:pStyle w:val="ListBullet"/>
            </w:pPr>
            <w:r w:rsidRPr="00494C7F">
              <w:t>safe work practices and procedures</w:t>
            </w:r>
          </w:p>
        </w:tc>
      </w:tr>
    </w:tbl>
    <w:p w:rsidR="00CA7720" w:rsidP="00494C7F">
      <w:pPr>
        <w:pStyle w:val="BodyText"/>
      </w:pPr>
    </w:p>
    <w:p w:rsidR="00CA7720" w:rsidP="00494C7F">
      <w:pPr>
        <w:pStyle w:val="BodyText"/>
      </w:pPr>
    </w:p>
    <w:p w:rsidR="00000000" w:rsidRPr="00494C7F" w:rsidP="00494C7F">
      <w:pPr>
        <w:pStyle w:val="AllowPageBreak"/>
      </w:pPr>
    </w:p>
    <w:p w:rsidR="00000000" w:rsidRPr="00494C7F" w:rsidP="00494C7F">
      <w:pPr>
        <w:pStyle w:val="Heading1"/>
      </w:pPr>
      <w:bookmarkStart w:id="10" w:name="O_244802"/>
      <w:bookmarkEnd w:id="10"/>
      <w:r w:rsidRPr="00494C7F">
        <w:t>Evidence Guide</w:t>
      </w:r>
    </w:p>
    <w:tbl>
      <w:tblPr>
        <w:tblW w:w="9570" w:type="dxa"/>
        <w:tblLayout w:type="fixed"/>
        <w:tblCellMar>
          <w:left w:w="62" w:type="dxa"/>
          <w:right w:w="62" w:type="dxa"/>
        </w:tblCellMar>
        <w:tblLook w:val="0000"/>
      </w:tblPr>
      <w:tblGrid>
        <w:gridCol w:w="3908"/>
        <w:gridCol w:w="5662"/>
      </w:tblGrid>
      <w:tr w:rsidTr="00CA77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EVIDENCE GUIDE</w:t>
            </w:r>
          </w:p>
        </w:tc>
      </w:tr>
      <w:tr w:rsidTr="00CA77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The evidence guide provides advice on assessment and must be read in conjunction with the performance criteria, required skills and knowledge, range statement and the Assessment Guidelines for the Training Package.</w:t>
            </w:r>
          </w:p>
        </w:tc>
      </w:tr>
      <w:tr w:rsidTr="00CA7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A person who dem</w:t>
            </w:r>
            <w:r w:rsidRPr="00494C7F">
              <w:t>onstrates competency in this unit must be able to perform basic engineering detail drafting. Competency in this unit cannot be claimed until all prerequisites have been satisfied.</w:t>
            </w:r>
          </w:p>
        </w:tc>
      </w:tr>
      <w:tr w:rsidTr="00CA7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Critical aspects for assessment and evidence required to demonstrate compet</w:t>
            </w:r>
            <w:r w:rsidRPr="00494C7F">
              <w:rPr>
                <w:rStyle w:val="SpecialBold"/>
              </w:rPr>
              <w: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Assessors must be satisfied that the candidate can competently and consistently perform all elements of the unit as specified by the criteria, including required knowledge, and be capable of applying the competency in new and different si</w:t>
            </w:r>
            <w:r w:rsidRPr="00494C7F">
              <w:t>tuations and contexts.</w:t>
            </w:r>
          </w:p>
        </w:tc>
      </w:tr>
      <w:tr w:rsidTr="00CA7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This unit may be assessed on the job, off the job or a combination of both on and off the job. Where assessment occurs off the job, that is the candidate is not in productive work, th</w:t>
            </w:r>
            <w:r w:rsidRPr="00494C7F">
              <w:t>en an appropriate simulation must be used where the range of conditions reflects realistic workplace situations. The competencies covered by this unit would be demonstrated by an individual working alone or as part of a team. The assessment environment sho</w:t>
            </w:r>
            <w:r w:rsidRPr="00494C7F">
              <w:t xml:space="preserve">uld not disadvantage the candidate. </w:t>
            </w:r>
          </w:p>
          <w:p w:rsidR="00000000" w:rsidP="00494C7F">
            <w:pPr>
              <w:pStyle w:val="BodyText"/>
              <w:rPr>
                <w:lang w:val="en-NZ"/>
              </w:rPr>
            </w:pPr>
            <w:r w:rsidRPr="00494C7F">
              <w:t>This unit could be assessed in conjunction with any other units addressing the safety, quality, communicat</w:t>
            </w:r>
            <w:r w:rsidRPr="00494C7F">
              <w:t>ion, materials handling, recording and reporting associated with basic engineering detail drafting or other units requiring the exercise of the skills and knowledge covered by this unit.</w:t>
            </w:r>
          </w:p>
        </w:tc>
      </w:tr>
      <w:tr w:rsidTr="00CA7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Assessors should gather a range of evidence tha</w:t>
            </w:r>
            <w:r w:rsidRPr="00494C7F">
              <w:t>t is valid, sufficient, current and authentic. Evidence can be gathered through a variety of ways including direct observation, supervisor's reports, project work, samples and questioning. Questioning techniques should not require language, literacy and nu</w:t>
            </w:r>
            <w:r w:rsidRPr="00494C7F">
              <w:t>meracy skills beyond those required in this unit of competency. The candidate must have access to all tools, equipment, materials and documentation required. The candidate must be permitted to refer to any relevant workplace procedures, product and manufac</w:t>
            </w:r>
            <w:r w:rsidRPr="00494C7F">
              <w:t>turing specifications, codes, standards, manuals and reference materials.</w:t>
            </w:r>
          </w:p>
        </w:tc>
      </w:tr>
      <w:tr w:rsidTr="00CA77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p>
        </w:tc>
      </w:tr>
    </w:tbl>
    <w:p w:rsidR="00CA7720" w:rsidP="00494C7F">
      <w:pPr>
        <w:pStyle w:val="BodyText"/>
      </w:pPr>
    </w:p>
    <w:p w:rsidR="00CA7720" w:rsidP="00494C7F">
      <w:pPr>
        <w:pStyle w:val="BodyText"/>
      </w:pPr>
    </w:p>
    <w:p w:rsidR="00000000" w:rsidRPr="00494C7F" w:rsidP="00494C7F">
      <w:pPr>
        <w:pStyle w:val="Heading1"/>
      </w:pPr>
      <w:bookmarkStart w:id="11" w:name="O_252785"/>
      <w:bookmarkEnd w:id="11"/>
      <w:r w:rsidRPr="00494C7F">
        <w:t>Range Statement</w:t>
      </w:r>
    </w:p>
    <w:tbl>
      <w:tblPr>
        <w:tblW w:w="0" w:type="auto"/>
        <w:tblLayout w:type="fixed"/>
        <w:tblCellMar>
          <w:left w:w="62" w:type="dxa"/>
          <w:right w:w="62" w:type="dxa"/>
        </w:tblCellMar>
        <w:tblLook w:val="0000"/>
      </w:tblPr>
      <w:tblGrid>
        <w:gridCol w:w="3503"/>
        <w:gridCol w:w="5019"/>
      </w:tblGrid>
      <w:tr w:rsidTr="00CA77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RANGE STATEMENT</w:t>
            </w:r>
          </w:p>
        </w:tc>
      </w:tr>
      <w:tr w:rsidTr="00CA77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t>The range statement relates to the unit of competency as a whole. It allows for different work environments and situations that may affect performance. Bold italicised wording, if used in the performance criteria, is detailed below. Essential operating con</w:t>
            </w:r>
            <w:r w:rsidRPr="00494C7F">
              <w:t>ditions that may be present with training and assessment (depending on the work situation, needs of the candidate, accessibility of the item, and local industry and regional contexts) may also be included.</w:t>
            </w:r>
          </w:p>
        </w:tc>
      </w:tr>
      <w:tr w:rsidTr="00CA7720">
        <w:tblPrEx>
          <w:tblW w:w="0" w:type="auto"/>
          <w:tblLayout w:type="fixed"/>
          <w:tblCellMar>
            <w:left w:w="62" w:type="dxa"/>
            <w:right w:w="62" w:type="dxa"/>
          </w:tblCellMar>
          <w:tblLook w:val="0000"/>
        </w:tblPrEx>
        <w:tc>
          <w:tcPr>
            <w:tcW w:w="3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Australian Standard 1100</w:t>
            </w:r>
          </w:p>
        </w:tc>
        <w:tc>
          <w:tcPr>
            <w:tcW w:w="5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AS1100.100 is an extens</w:t>
            </w:r>
            <w:r w:rsidRPr="00494C7F">
              <w:t>ive work and its application would usually be in line with standard operating procedures; interpretation would be under guidance particularly in respect to any geometric tolerancing</w:t>
            </w:r>
          </w:p>
        </w:tc>
      </w:tr>
    </w:tbl>
    <w:p w:rsidR="00CA7720" w:rsidP="00494C7F">
      <w:pPr>
        <w:pStyle w:val="BodyText"/>
      </w:pPr>
    </w:p>
    <w:p w:rsidR="00CA7720" w:rsidP="00494C7F">
      <w:pPr>
        <w:pStyle w:val="BodyText"/>
      </w:pPr>
    </w:p>
    <w:p w:rsidR="00000000" w:rsidRPr="00494C7F" w:rsidP="00494C7F">
      <w:pPr>
        <w:pStyle w:val="Heading1"/>
      </w:pPr>
      <w:bookmarkStart w:id="12" w:name="O_211179"/>
      <w:bookmarkEnd w:id="12"/>
      <w:r w:rsidRPr="00494C7F">
        <w:t>Unit Sector(s)</w:t>
      </w:r>
    </w:p>
    <w:tbl>
      <w:tblPr>
        <w:tblW w:w="0" w:type="auto"/>
        <w:tblLayout w:type="fixed"/>
        <w:tblCellMar>
          <w:left w:w="62" w:type="dxa"/>
          <w:right w:w="62" w:type="dxa"/>
        </w:tblCellMar>
        <w:tblLook w:val="0000"/>
      </w:tblPr>
      <w:tblGrid>
        <w:gridCol w:w="2647"/>
        <w:gridCol w:w="5875"/>
      </w:tblGrid>
      <w:tr w:rsidTr="00CA7720">
        <w:tblPrEx>
          <w:tblW w:w="0" w:type="auto"/>
          <w:tblLayout w:type="fixed"/>
          <w:tblCellMar>
            <w:left w:w="62" w:type="dxa"/>
            <w:right w:w="62" w:type="dxa"/>
          </w:tblCellMar>
          <w:tblLook w:val="0000"/>
        </w:tblPrEx>
        <w:trPr>
          <w:tblHeader/>
        </w:trPr>
        <w:tc>
          <w:tcPr>
            <w:tcW w:w="26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Unit sector</w:t>
            </w:r>
          </w:p>
        </w:tc>
        <w:tc>
          <w:tcPr>
            <w:tcW w:w="58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p>
        </w:tc>
      </w:tr>
    </w:tbl>
    <w:p w:rsidR="00CA7720" w:rsidP="00494C7F">
      <w:pPr>
        <w:pStyle w:val="BodyText"/>
      </w:pPr>
    </w:p>
    <w:p w:rsidR="00CA7720" w:rsidP="00494C7F">
      <w:pPr>
        <w:pStyle w:val="BodyText"/>
      </w:pPr>
    </w:p>
    <w:p w:rsidR="00000000" w:rsidRPr="00494C7F" w:rsidP="00494C7F">
      <w:pPr>
        <w:pStyle w:val="Heading1"/>
      </w:pPr>
      <w:bookmarkStart w:id="13" w:name="O_211176"/>
      <w:bookmarkEnd w:id="13"/>
      <w:r w:rsidRPr="00494C7F">
        <w:t>Co-requisite units</w:t>
      </w:r>
    </w:p>
    <w:tbl>
      <w:tblPr>
        <w:tblW w:w="0" w:type="auto"/>
        <w:tblLayout w:type="fixed"/>
        <w:tblCellMar>
          <w:left w:w="62" w:type="dxa"/>
          <w:right w:w="62" w:type="dxa"/>
        </w:tblCellMar>
        <w:tblLook w:val="0000"/>
      </w:tblPr>
      <w:tblGrid>
        <w:gridCol w:w="2634"/>
        <w:gridCol w:w="1365"/>
        <w:gridCol w:w="4523"/>
      </w:tblGrid>
      <w:tr w:rsidTr="00CA7720">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Co-requisite units</w:t>
            </w:r>
          </w:p>
        </w:tc>
        <w:tc>
          <w:tcPr>
            <w:tcW w:w="58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p>
        </w:tc>
      </w:tr>
      <w:tr w:rsidTr="00CA7720">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p>
        </w:tc>
      </w:tr>
      <w:tr w:rsidTr="00CA7720">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p>
        </w:tc>
      </w:tr>
    </w:tbl>
    <w:p w:rsidR="00CA7720" w:rsidP="00494C7F">
      <w:pPr>
        <w:pStyle w:val="BodyText"/>
      </w:pPr>
    </w:p>
    <w:p w:rsidR="00CA7720" w:rsidP="00494C7F">
      <w:pPr>
        <w:pStyle w:val="BodyText"/>
      </w:pPr>
    </w:p>
    <w:p w:rsidR="00000000" w:rsidRPr="00494C7F" w:rsidP="00494C7F">
      <w:pPr>
        <w:pStyle w:val="Heading1"/>
      </w:pPr>
      <w:bookmarkStart w:id="14" w:name="O_211178"/>
      <w:bookmarkEnd w:id="14"/>
      <w:r w:rsidRPr="00494C7F">
        <w:t>Competency field</w:t>
      </w:r>
    </w:p>
    <w:tbl>
      <w:tblPr>
        <w:tblW w:w="0" w:type="auto"/>
        <w:tblLayout w:type="fixed"/>
        <w:tblCellMar>
          <w:left w:w="62" w:type="dxa"/>
          <w:right w:w="62" w:type="dxa"/>
        </w:tblCellMar>
        <w:tblLook w:val="0000"/>
      </w:tblPr>
      <w:tblGrid>
        <w:gridCol w:w="2770"/>
        <w:gridCol w:w="5752"/>
      </w:tblGrid>
      <w:tr w:rsidTr="00CA7720">
        <w:tblPrEx>
          <w:tblW w:w="0" w:type="auto"/>
          <w:tblLayout w:type="fixed"/>
          <w:tblCellMar>
            <w:left w:w="62" w:type="dxa"/>
            <w:right w:w="62" w:type="dxa"/>
          </w:tblCellMar>
          <w:tblLook w:val="0000"/>
        </w:tblPrEx>
        <w:trPr>
          <w:tblHeader/>
        </w:trPr>
        <w:tc>
          <w:tcPr>
            <w:tcW w:w="2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4C7F">
            <w:pPr>
              <w:pStyle w:val="BodyText"/>
              <w:rPr>
                <w:lang w:val="en-NZ"/>
              </w:rPr>
            </w:pPr>
            <w:r w:rsidRPr="00494C7F">
              <w:rPr>
                <w:rStyle w:val="SpecialBold"/>
              </w:rPr>
              <w:t>Competency field</w:t>
            </w:r>
          </w:p>
        </w:tc>
        <w:tc>
          <w:tcPr>
            <w:tcW w:w="5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4C7F" w:rsidP="00494C7F">
            <w:pPr>
              <w:pStyle w:val="BodyText"/>
            </w:pPr>
            <w:r w:rsidRPr="00494C7F">
              <w:t>Drawing, drafting and design</w:t>
            </w:r>
          </w:p>
        </w:tc>
      </w:tr>
    </w:tbl>
    <w:p w:rsidR="00CA7720" w:rsidP="00494C7F">
      <w:pPr>
        <w:pStyle w:val="BodyText"/>
      </w:pPr>
    </w:p>
    <w:p w:rsidR="00CA7720" w:rsidP="00494C7F">
      <w:pPr>
        <w:pStyle w:val="BodyText"/>
      </w:pPr>
    </w:p>
    <w:p w:rsidR="00000000" w:rsidRPr="00494C7F" w:rsidP="00494C7F"/>
    <w:sectPr w:rsidSect="00494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720" w:rsidP="00CA77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20" w:rsidP="00494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7720" w:rsidP="00494C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7720" w:rsidP="00494C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7720" w:rsidP="00CA77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20" w:rsidP="00494C7F">
    <w:pPr>
      <w:pStyle w:val="Header"/>
      <w:framePr w:wrap="around"/>
    </w:pPr>
    <w:r>
      <w:fldChar w:fldCharType="begin"/>
    </w:r>
    <w:r>
      <w:instrText xml:space="preserve"> TITLE   \* MERGEFORMAT </w:instrText>
    </w:r>
    <w:r>
      <w:fldChar w:fldCharType="separate"/>
    </w:r>
    <w:r>
      <w:t>MEM09005B Perform basic engineering detail drafting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7720" w:rsidP="00494C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EC06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E839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C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C7F"/>
    <w:pPr>
      <w:spacing w:before="360" w:after="60"/>
      <w:outlineLvl w:val="0"/>
    </w:pPr>
    <w:rPr>
      <w:sz w:val="32"/>
    </w:rPr>
  </w:style>
  <w:style w:type="paragraph" w:styleId="Heading2">
    <w:name w:val="heading 2"/>
    <w:basedOn w:val="HeadingBase"/>
    <w:next w:val="BodyText"/>
    <w:link w:val="Heading2Char"/>
    <w:qFormat/>
    <w:rsid w:val="00494C7F"/>
    <w:pPr>
      <w:keepLines/>
      <w:spacing w:before="240" w:after="120"/>
      <w:outlineLvl w:val="1"/>
    </w:pPr>
    <w:rPr>
      <w:sz w:val="28"/>
      <w:szCs w:val="40"/>
    </w:rPr>
  </w:style>
  <w:style w:type="paragraph" w:styleId="Heading3">
    <w:name w:val="heading 3"/>
    <w:basedOn w:val="HeadingBase"/>
    <w:next w:val="BodyText"/>
    <w:link w:val="Heading3Char"/>
    <w:qFormat/>
    <w:rsid w:val="00494C7F"/>
    <w:pPr>
      <w:spacing w:before="180" w:after="120"/>
      <w:outlineLvl w:val="2"/>
    </w:pPr>
    <w:rPr>
      <w:spacing w:val="-10"/>
      <w:kern w:val="32"/>
    </w:rPr>
  </w:style>
  <w:style w:type="paragraph" w:styleId="Heading4">
    <w:name w:val="heading 4"/>
    <w:basedOn w:val="HeadingBase"/>
    <w:next w:val="BodyText"/>
    <w:link w:val="Heading4Char"/>
    <w:qFormat/>
    <w:rsid w:val="00494C7F"/>
    <w:pPr>
      <w:spacing w:before="160" w:after="120"/>
      <w:outlineLvl w:val="3"/>
    </w:pPr>
    <w:rPr>
      <w:sz w:val="22"/>
    </w:rPr>
  </w:style>
  <w:style w:type="paragraph" w:styleId="Heading5">
    <w:name w:val="heading 5"/>
    <w:basedOn w:val="HeadingBase"/>
    <w:next w:val="Normal"/>
    <w:link w:val="Heading5Char"/>
    <w:qFormat/>
    <w:rsid w:val="00494C7F"/>
    <w:pPr>
      <w:spacing w:before="80"/>
      <w:outlineLvl w:val="4"/>
    </w:pPr>
    <w:rPr>
      <w:color w:val="918585"/>
      <w:sz w:val="20"/>
    </w:rPr>
  </w:style>
  <w:style w:type="paragraph" w:styleId="Heading6">
    <w:name w:val="heading 6"/>
    <w:basedOn w:val="HeadingBase"/>
    <w:next w:val="Normal"/>
    <w:link w:val="Heading6Char"/>
    <w:qFormat/>
    <w:rsid w:val="00494C7F"/>
    <w:pPr>
      <w:spacing w:before="60"/>
      <w:outlineLvl w:val="5"/>
    </w:pPr>
    <w:rPr>
      <w:color w:val="918585"/>
      <w:sz w:val="20"/>
    </w:rPr>
  </w:style>
  <w:style w:type="paragraph" w:styleId="Heading7">
    <w:name w:val="heading 7"/>
    <w:basedOn w:val="Normal"/>
    <w:next w:val="Normal"/>
    <w:link w:val="Heading7Char"/>
    <w:qFormat/>
    <w:rsid w:val="00494C7F"/>
    <w:pPr>
      <w:ind w:left="720"/>
      <w:outlineLvl w:val="6"/>
    </w:pPr>
    <w:rPr>
      <w:i/>
    </w:rPr>
  </w:style>
  <w:style w:type="paragraph" w:styleId="Heading8">
    <w:name w:val="heading 8"/>
    <w:basedOn w:val="Normal"/>
    <w:next w:val="Normal"/>
    <w:link w:val="Heading8Char"/>
    <w:qFormat/>
    <w:rsid w:val="00494C7F"/>
    <w:pPr>
      <w:ind w:left="720"/>
      <w:outlineLvl w:val="7"/>
    </w:pPr>
    <w:rPr>
      <w:i/>
    </w:rPr>
  </w:style>
  <w:style w:type="paragraph" w:styleId="Heading9">
    <w:name w:val="heading 9"/>
    <w:basedOn w:val="Normal"/>
    <w:next w:val="Normal"/>
    <w:link w:val="Heading9Char"/>
    <w:qFormat/>
    <w:rsid w:val="00494C7F"/>
    <w:pPr>
      <w:ind w:left="720"/>
      <w:outlineLvl w:val="8"/>
    </w:pPr>
    <w:rPr>
      <w:i/>
    </w:rPr>
  </w:style>
  <w:style w:type="character" w:default="1" w:styleId="DefaultParagraphFont">
    <w:name w:val="Default Paragraph Font"/>
    <w:uiPriority w:val="1"/>
    <w:unhideWhenUsed/>
    <w:rsid w:val="00494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C7F"/>
  </w:style>
  <w:style w:type="character" w:customStyle="1" w:styleId="Heading1Char">
    <w:name w:val="Heading 1 Char"/>
    <w:basedOn w:val="DefaultParagraphFont"/>
    <w:link w:val="Heading1"/>
    <w:rsid w:val="00494C7F"/>
    <w:rPr>
      <w:rFonts w:ascii="Times New Roman" w:eastAsia="Times New Roman" w:hAnsi="Times New Roman" w:cs="Times New Roman"/>
      <w:b/>
      <w:sz w:val="32"/>
      <w:szCs w:val="20"/>
      <w:lang w:eastAsia="en-US"/>
    </w:rPr>
  </w:style>
  <w:style w:type="paragraph" w:styleId="BodyText">
    <w:name w:val="Body Text"/>
    <w:basedOn w:val="Normal"/>
    <w:link w:val="BodyTextChar"/>
    <w:rsid w:val="00494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C7F"/>
    <w:rPr>
      <w:rFonts w:ascii="Times New Roman" w:eastAsia="Times New Roman" w:hAnsi="Times New Roman" w:cs="Times New Roman"/>
      <w:sz w:val="24"/>
      <w:lang w:val="en-US" w:eastAsia="en-US"/>
    </w:rPr>
  </w:style>
  <w:style w:type="paragraph" w:styleId="Footer">
    <w:name w:val="footer"/>
    <w:basedOn w:val="Normal"/>
    <w:link w:val="FooterChar"/>
    <w:rsid w:val="00494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C7F"/>
    <w:rPr>
      <w:rFonts w:ascii="Times New Roman" w:eastAsia="Times New Roman" w:hAnsi="Times New Roman" w:cs="Times New Roman"/>
      <w:sz w:val="16"/>
      <w:lang w:val="en-US" w:eastAsia="en-US"/>
    </w:rPr>
  </w:style>
  <w:style w:type="paragraph" w:styleId="List">
    <w:name w:val="List"/>
    <w:basedOn w:val="BodyText"/>
    <w:next w:val="BodyText"/>
    <w:rsid w:val="00494C7F"/>
    <w:pPr>
      <w:tabs>
        <w:tab w:val="left" w:pos="340"/>
      </w:tabs>
      <w:spacing w:before="60" w:after="60"/>
      <w:ind w:left="340" w:hanging="340"/>
    </w:pPr>
  </w:style>
  <w:style w:type="paragraph" w:styleId="ListBullet">
    <w:name w:val="List Bullet"/>
    <w:basedOn w:val="List"/>
    <w:rsid w:val="00494C7F"/>
    <w:pPr>
      <w:numPr>
        <w:numId w:val="12"/>
      </w:numPr>
      <w:tabs>
        <w:tab w:val="clear" w:pos="340"/>
      </w:tabs>
      <w:spacing w:before="40" w:after="40"/>
    </w:pPr>
  </w:style>
  <w:style w:type="character" w:customStyle="1" w:styleId="SpecialBold">
    <w:name w:val="Special Bold"/>
    <w:basedOn w:val="DefaultParagraphFont"/>
    <w:rsid w:val="00494C7F"/>
    <w:rPr>
      <w:b/>
      <w:spacing w:val="0"/>
    </w:rPr>
  </w:style>
  <w:style w:type="paragraph" w:styleId="Header">
    <w:name w:val="header"/>
    <w:basedOn w:val="Normal"/>
    <w:link w:val="HeaderChar"/>
    <w:rsid w:val="00494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C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4C7F"/>
    <w:pPr>
      <w:spacing w:before="240" w:after="120"/>
      <w:outlineLvl w:val="0"/>
    </w:pPr>
    <w:rPr>
      <w:rFonts w:ascii="Times New Roman" w:hAnsi="Times New Roman"/>
      <w:b/>
      <w:sz w:val="28"/>
    </w:rPr>
  </w:style>
  <w:style w:type="paragraph" w:customStyle="1" w:styleId="AllowPageBreak">
    <w:name w:val="AllowPageBreak"/>
    <w:rsid w:val="00494C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4C7F"/>
    <w:pPr>
      <w:tabs>
        <w:tab w:val="left" w:pos="680"/>
      </w:tabs>
      <w:spacing w:before="60" w:after="60"/>
      <w:ind w:left="680" w:hanging="340"/>
    </w:pPr>
  </w:style>
  <w:style w:type="character" w:customStyle="1" w:styleId="Heading2Char">
    <w:name w:val="Heading 2 Char"/>
    <w:basedOn w:val="DefaultParagraphFont"/>
    <w:link w:val="Heading2"/>
    <w:rsid w:val="00494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C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C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C7F"/>
    <w:rPr>
      <w:rFonts w:ascii="Courier New" w:eastAsia="Times New Roman" w:hAnsi="Courier New" w:cs="Times New Roman"/>
      <w:i/>
      <w:szCs w:val="20"/>
      <w:lang w:val="en-US" w:eastAsia="en-US"/>
    </w:rPr>
  </w:style>
  <w:style w:type="paragraph" w:customStyle="1" w:styleId="HeadingBase">
    <w:name w:val="Heading Base"/>
    <w:rsid w:val="00494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C7F"/>
    <w:pPr>
      <w:tabs>
        <w:tab w:val="right" w:leader="dot" w:pos="9072"/>
      </w:tabs>
      <w:ind w:left="567"/>
    </w:pPr>
    <w:rPr>
      <w:szCs w:val="22"/>
    </w:rPr>
  </w:style>
  <w:style w:type="paragraph" w:customStyle="1" w:styleId="TOCBase">
    <w:name w:val="TOC Base"/>
    <w:rsid w:val="00494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C7F"/>
    <w:pPr>
      <w:tabs>
        <w:tab w:val="right" w:leader="dot" w:pos="9072"/>
      </w:tabs>
      <w:spacing w:before="40" w:after="40"/>
      <w:ind w:left="284"/>
    </w:pPr>
    <w:rPr>
      <w:rFonts w:ascii="Times New Roman" w:hAnsi="Times New Roman"/>
    </w:rPr>
  </w:style>
  <w:style w:type="paragraph" w:styleId="TOC1">
    <w:name w:val="toc 1"/>
    <w:basedOn w:val="TOCBase"/>
    <w:next w:val="Normal"/>
    <w:rsid w:val="00494C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C7F"/>
    <w:pPr>
      <w:spacing w:before="5040"/>
      <w:jc w:val="center"/>
    </w:pPr>
    <w:rPr>
      <w:sz w:val="48"/>
      <w:szCs w:val="72"/>
      <w:lang w:val="en-US"/>
    </w:rPr>
  </w:style>
  <w:style w:type="character" w:customStyle="1" w:styleId="TitleChar">
    <w:name w:val="Title Char"/>
    <w:basedOn w:val="DefaultParagraphFont"/>
    <w:link w:val="Title"/>
    <w:rsid w:val="00494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C7F"/>
    <w:pPr>
      <w:tabs>
        <w:tab w:val="left" w:pos="3600"/>
        <w:tab w:val="left" w:pos="3958"/>
      </w:tabs>
    </w:pPr>
  </w:style>
  <w:style w:type="paragraph" w:customStyle="1" w:styleId="Note">
    <w:name w:val="Note"/>
    <w:basedOn w:val="BodyText"/>
    <w:rsid w:val="00494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C7F"/>
    <w:pPr>
      <w:framePr w:wrap="auto" w:hAnchor="text" w:y="6049"/>
    </w:pPr>
    <w:rPr>
      <w:color w:val="000000"/>
      <w:sz w:val="40"/>
    </w:rPr>
  </w:style>
  <w:style w:type="paragraph" w:customStyle="1" w:styleId="TOCTitle">
    <w:name w:val="TOCTitle"/>
    <w:basedOn w:val="Heading1"/>
    <w:rsid w:val="00494C7F"/>
    <w:pPr>
      <w:spacing w:after="240"/>
      <w:jc w:val="center"/>
      <w:outlineLvl w:val="9"/>
    </w:pPr>
    <w:rPr>
      <w:caps/>
    </w:rPr>
  </w:style>
  <w:style w:type="paragraph" w:customStyle="1" w:styleId="Version">
    <w:name w:val="Version"/>
    <w:rsid w:val="00494C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4C7F"/>
    <w:pPr>
      <w:numPr>
        <w:numId w:val="13"/>
      </w:numPr>
      <w:tabs>
        <w:tab w:val="clear" w:pos="680"/>
      </w:tabs>
    </w:pPr>
  </w:style>
  <w:style w:type="paragraph" w:styleId="Index1">
    <w:name w:val="index 1"/>
    <w:basedOn w:val="Normal"/>
    <w:next w:val="Normal"/>
    <w:semiHidden/>
    <w:rsid w:val="00494C7F"/>
    <w:pPr>
      <w:keepNext w:val="0"/>
      <w:tabs>
        <w:tab w:val="right" w:pos="4176"/>
      </w:tabs>
      <w:ind w:left="198" w:hanging="198"/>
    </w:pPr>
    <w:rPr>
      <w:rFonts w:ascii="Garamond" w:hAnsi="Garamond"/>
    </w:rPr>
  </w:style>
  <w:style w:type="paragraph" w:styleId="IndexHeading">
    <w:name w:val="index heading"/>
    <w:basedOn w:val="Normal"/>
    <w:next w:val="Index1"/>
    <w:semiHidden/>
    <w:rsid w:val="00494C7F"/>
    <w:pPr>
      <w:spacing w:before="120" w:after="120"/>
    </w:pPr>
    <w:rPr>
      <w:rFonts w:ascii="Arial" w:hAnsi="Arial"/>
      <w:b/>
      <w:color w:val="918585"/>
      <w:sz w:val="24"/>
    </w:rPr>
  </w:style>
  <w:style w:type="paragraph" w:customStyle="1" w:styleId="Chapter">
    <w:name w:val="Chapter"/>
    <w:basedOn w:val="Normal"/>
    <w:rsid w:val="00494C7F"/>
    <w:pPr>
      <w:spacing w:before="240"/>
    </w:pPr>
    <w:rPr>
      <w:rFonts w:ascii="Times New Roman" w:hAnsi="Times New Roman"/>
      <w:smallCaps/>
      <w:spacing w:val="80"/>
      <w:sz w:val="28"/>
    </w:rPr>
  </w:style>
  <w:style w:type="paragraph" w:customStyle="1" w:styleId="InChapter">
    <w:name w:val="InChapter"/>
    <w:basedOn w:val="Heading3"/>
    <w:rsid w:val="00494C7F"/>
    <w:pPr>
      <w:spacing w:after="240"/>
      <w:outlineLvl w:val="9"/>
    </w:pPr>
    <w:rPr>
      <w:noProof/>
    </w:rPr>
  </w:style>
  <w:style w:type="paragraph" w:styleId="Index2">
    <w:name w:val="index 2"/>
    <w:basedOn w:val="Normal"/>
    <w:next w:val="Normal"/>
    <w:semiHidden/>
    <w:rsid w:val="00494C7F"/>
    <w:pPr>
      <w:tabs>
        <w:tab w:val="right" w:pos="4176"/>
      </w:tabs>
      <w:ind w:left="568" w:hanging="284"/>
    </w:pPr>
    <w:rPr>
      <w:rFonts w:ascii="Garamond" w:hAnsi="Garamond"/>
    </w:rPr>
  </w:style>
  <w:style w:type="paragraph" w:customStyle="1" w:styleId="Byline">
    <w:name w:val="Byline"/>
    <w:rsid w:val="00494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C7F"/>
    <w:pPr>
      <w:tabs>
        <w:tab w:val="clear" w:pos="3600"/>
        <w:tab w:val="clear" w:pos="3958"/>
      </w:tabs>
      <w:jc w:val="right"/>
    </w:pPr>
  </w:style>
  <w:style w:type="character" w:styleId="Emphasis">
    <w:name w:val="Emphasis"/>
    <w:basedOn w:val="DefaultParagraphFont"/>
    <w:qFormat/>
    <w:rsid w:val="00494C7F"/>
    <w:rPr>
      <w:i/>
    </w:rPr>
  </w:style>
  <w:style w:type="paragraph" w:styleId="Caption">
    <w:name w:val="caption"/>
    <w:basedOn w:val="BodyText"/>
    <w:next w:val="Normal"/>
    <w:qFormat/>
    <w:rsid w:val="00494C7F"/>
    <w:pPr>
      <w:framePr w:w="2268" w:hSpace="181" w:vSpace="181" w:wrap="around" w:vAnchor="text" w:hAnchor="page" w:x="1135" w:y="285" w:anchorLock="1"/>
    </w:pPr>
    <w:rPr>
      <w:i/>
    </w:rPr>
  </w:style>
  <w:style w:type="paragraph" w:customStyle="1" w:styleId="MiniTOCTitle">
    <w:name w:val="MiniTOCTitle"/>
    <w:basedOn w:val="Heading4"/>
    <w:rsid w:val="00494C7F"/>
    <w:pPr>
      <w:spacing w:before="240"/>
      <w:outlineLvl w:val="9"/>
    </w:pPr>
    <w:rPr>
      <w:noProof/>
      <w:sz w:val="24"/>
    </w:rPr>
  </w:style>
  <w:style w:type="paragraph" w:customStyle="1" w:styleId="MiniTOCItem">
    <w:name w:val="MiniTOCItem"/>
    <w:basedOn w:val="ListBullet"/>
    <w:rsid w:val="00494C7F"/>
    <w:pPr>
      <w:numPr>
        <w:numId w:val="0"/>
      </w:numPr>
      <w:tabs>
        <w:tab w:val="right" w:leader="dot" w:pos="6521"/>
      </w:tabs>
      <w:spacing w:before="0" w:after="0"/>
    </w:pPr>
  </w:style>
  <w:style w:type="paragraph" w:customStyle="1" w:styleId="TOFTitle">
    <w:name w:val="TOFTitle"/>
    <w:basedOn w:val="TOCTitle"/>
    <w:rsid w:val="00494C7F"/>
  </w:style>
  <w:style w:type="paragraph" w:styleId="TableofFigures">
    <w:name w:val="table of figures"/>
    <w:basedOn w:val="Normal"/>
    <w:next w:val="Normal"/>
    <w:semiHidden/>
    <w:rsid w:val="00494C7F"/>
    <w:pPr>
      <w:tabs>
        <w:tab w:val="right" w:leader="dot" w:pos="9072"/>
      </w:tabs>
      <w:ind w:left="970" w:hanging="403"/>
    </w:pPr>
    <w:rPr>
      <w:rFonts w:ascii="Times New Roman" w:hAnsi="Times New Roman"/>
      <w:b/>
    </w:rPr>
  </w:style>
  <w:style w:type="paragraph" w:styleId="ListNumber">
    <w:name w:val="List Number"/>
    <w:basedOn w:val="List"/>
    <w:rsid w:val="00494C7F"/>
    <w:pPr>
      <w:numPr>
        <w:numId w:val="10"/>
      </w:numPr>
    </w:pPr>
  </w:style>
  <w:style w:type="character" w:customStyle="1" w:styleId="WingdingSymbols">
    <w:name w:val="Wingding Symbols"/>
    <w:rsid w:val="00494C7F"/>
    <w:rPr>
      <w:rFonts w:ascii="Wingdings" w:hAnsi="Wingdings"/>
    </w:rPr>
  </w:style>
  <w:style w:type="paragraph" w:customStyle="1" w:styleId="TableHeading">
    <w:name w:val="Table Heading"/>
    <w:basedOn w:val="HeadingBase"/>
    <w:rsid w:val="00494C7F"/>
    <w:pPr>
      <w:keepLines/>
      <w:pBdr>
        <w:bottom w:val="single" w:sz="6" w:space="1" w:color="918585"/>
      </w:pBdr>
      <w:spacing w:before="240"/>
    </w:pPr>
  </w:style>
  <w:style w:type="character" w:customStyle="1" w:styleId="HotSpot">
    <w:name w:val="HotSpot"/>
    <w:rsid w:val="00494C7F"/>
    <w:rPr>
      <w:color w:val="0033CC"/>
      <w:u w:val="none"/>
    </w:rPr>
  </w:style>
  <w:style w:type="paragraph" w:customStyle="1" w:styleId="BodyTextRight">
    <w:name w:val="Body Text Right"/>
    <w:basedOn w:val="BodyText"/>
    <w:rsid w:val="00494C7F"/>
    <w:pPr>
      <w:spacing w:before="0" w:after="0"/>
      <w:jc w:val="right"/>
    </w:pPr>
  </w:style>
  <w:style w:type="paragraph" w:styleId="Index3">
    <w:name w:val="index 3"/>
    <w:basedOn w:val="ListNumber2"/>
    <w:next w:val="Normal"/>
    <w:semiHidden/>
    <w:rsid w:val="00494C7F"/>
    <w:pPr>
      <w:numPr>
        <w:numId w:val="0"/>
      </w:numPr>
      <w:tabs>
        <w:tab w:val="right" w:leader="dot" w:pos="4176"/>
      </w:tabs>
    </w:pPr>
  </w:style>
  <w:style w:type="paragraph" w:styleId="ListNumber2">
    <w:name w:val="List Number 2"/>
    <w:basedOn w:val="List2"/>
    <w:rsid w:val="00494C7F"/>
    <w:pPr>
      <w:numPr>
        <w:numId w:val="9"/>
      </w:numPr>
      <w:tabs>
        <w:tab w:val="clear" w:pos="1060"/>
      </w:tabs>
    </w:pPr>
  </w:style>
  <w:style w:type="paragraph" w:customStyle="1" w:styleId="MarginNote">
    <w:name w:val="Margin Note"/>
    <w:basedOn w:val="BodyText"/>
    <w:rsid w:val="00494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C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C7F"/>
    <w:rPr>
      <w:sz w:val="32"/>
    </w:rPr>
  </w:style>
  <w:style w:type="paragraph" w:customStyle="1" w:styleId="HeadingProcedure">
    <w:name w:val="Heading Procedure"/>
    <w:basedOn w:val="HeadingBase"/>
    <w:next w:val="Normal"/>
    <w:rsid w:val="00494C7F"/>
    <w:pPr>
      <w:tabs>
        <w:tab w:val="left" w:pos="0"/>
      </w:tabs>
      <w:spacing w:before="120" w:after="60"/>
    </w:pPr>
    <w:rPr>
      <w:i/>
      <w:color w:val="918585"/>
      <w:sz w:val="22"/>
    </w:rPr>
  </w:style>
  <w:style w:type="paragraph" w:customStyle="1" w:styleId="TableBodyText">
    <w:name w:val="Table Body Text"/>
    <w:basedOn w:val="BodyText"/>
    <w:rsid w:val="00494C7F"/>
    <w:pPr>
      <w:spacing w:before="60" w:after="60"/>
    </w:pPr>
  </w:style>
  <w:style w:type="paragraph" w:styleId="ListContinue">
    <w:name w:val="List Continue"/>
    <w:basedOn w:val="List"/>
    <w:rsid w:val="00494C7F"/>
    <w:pPr>
      <w:ind w:firstLine="0"/>
    </w:pPr>
  </w:style>
  <w:style w:type="paragraph" w:customStyle="1" w:styleId="ListNote">
    <w:name w:val="List Note"/>
    <w:basedOn w:val="List"/>
    <w:rsid w:val="00494C7F"/>
    <w:pPr>
      <w:pBdr>
        <w:top w:val="single" w:sz="6" w:space="2" w:color="918585"/>
        <w:bottom w:val="single" w:sz="6" w:space="2" w:color="918585"/>
      </w:pBdr>
      <w:tabs>
        <w:tab w:val="left" w:pos="1021"/>
      </w:tabs>
      <w:ind w:firstLine="0"/>
    </w:pPr>
  </w:style>
  <w:style w:type="paragraph" w:customStyle="1" w:styleId="Warning">
    <w:name w:val="Warning"/>
    <w:basedOn w:val="BodyText"/>
    <w:rsid w:val="00494C7F"/>
    <w:pPr>
      <w:shd w:val="clear" w:color="auto" w:fill="D9D9D9"/>
      <w:tabs>
        <w:tab w:val="left" w:pos="992"/>
      </w:tabs>
      <w:ind w:left="119" w:right="119"/>
    </w:pPr>
    <w:rPr>
      <w:sz w:val="20"/>
    </w:rPr>
  </w:style>
  <w:style w:type="paragraph" w:customStyle="1" w:styleId="MarginIcons">
    <w:name w:val="Margin Icons"/>
    <w:basedOn w:val="BodyText"/>
    <w:rsid w:val="00494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C7F"/>
    <w:rPr>
      <w:rFonts w:ascii="Courier New" w:hAnsi="Courier New"/>
    </w:rPr>
  </w:style>
  <w:style w:type="paragraph" w:customStyle="1" w:styleId="NoteBullet">
    <w:name w:val="Note Bullet"/>
    <w:basedOn w:val="Note"/>
    <w:rsid w:val="00494C7F"/>
    <w:pPr>
      <w:tabs>
        <w:tab w:val="clear" w:pos="680"/>
      </w:tabs>
      <w:spacing w:before="60" w:after="60"/>
    </w:pPr>
  </w:style>
  <w:style w:type="paragraph" w:customStyle="1" w:styleId="SubHeading2">
    <w:name w:val="SubHeading2"/>
    <w:basedOn w:val="HeadingBase"/>
    <w:rsid w:val="00494C7F"/>
    <w:pPr>
      <w:spacing w:before="240" w:after="60"/>
    </w:pPr>
    <w:rPr>
      <w:sz w:val="20"/>
    </w:rPr>
  </w:style>
  <w:style w:type="paragraph" w:customStyle="1" w:styleId="SubHeading1">
    <w:name w:val="SubHeading1"/>
    <w:basedOn w:val="HeadingBase"/>
    <w:rsid w:val="00494C7F"/>
    <w:pPr>
      <w:spacing w:before="240" w:after="60"/>
    </w:pPr>
    <w:rPr>
      <w:color w:val="918585"/>
      <w:sz w:val="22"/>
    </w:rPr>
  </w:style>
  <w:style w:type="paragraph" w:customStyle="1" w:styleId="SideHeading">
    <w:name w:val="Side Heading"/>
    <w:basedOn w:val="HeadingBase"/>
    <w:rsid w:val="00494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C7F"/>
    <w:pPr>
      <w:tabs>
        <w:tab w:val="num" w:pos="360"/>
      </w:tabs>
    </w:pPr>
  </w:style>
  <w:style w:type="paragraph" w:styleId="PlainText">
    <w:name w:val="Plain Text"/>
    <w:basedOn w:val="Normal"/>
    <w:link w:val="PlainTextChar"/>
    <w:rsid w:val="00494C7F"/>
    <w:rPr>
      <w:sz w:val="20"/>
    </w:rPr>
  </w:style>
  <w:style w:type="character" w:customStyle="1" w:styleId="PlainTextChar">
    <w:name w:val="Plain Text Char"/>
    <w:basedOn w:val="DefaultParagraphFont"/>
    <w:link w:val="PlainText"/>
    <w:rsid w:val="00494C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C7F"/>
    <w:rPr>
      <w:b/>
      <w:smallCaps/>
    </w:rPr>
  </w:style>
  <w:style w:type="paragraph" w:customStyle="1" w:styleId="TableListNumber">
    <w:name w:val="Table List Number"/>
    <w:basedOn w:val="ListNumber"/>
    <w:rsid w:val="00494C7F"/>
    <w:pPr>
      <w:numPr>
        <w:numId w:val="0"/>
      </w:numPr>
    </w:pPr>
  </w:style>
  <w:style w:type="paragraph" w:styleId="TOC4">
    <w:name w:val="toc 4"/>
    <w:basedOn w:val="TOCBase"/>
    <w:next w:val="Normal"/>
    <w:semiHidden/>
    <w:rsid w:val="00494C7F"/>
    <w:pPr>
      <w:tabs>
        <w:tab w:val="right" w:leader="dot" w:pos="9071"/>
      </w:tabs>
      <w:ind w:left="1701"/>
    </w:pPr>
  </w:style>
  <w:style w:type="paragraph" w:customStyle="1" w:styleId="ListAlpha">
    <w:name w:val="List Alpha"/>
    <w:basedOn w:val="List"/>
    <w:rsid w:val="00494C7F"/>
    <w:pPr>
      <w:numPr>
        <w:numId w:val="8"/>
      </w:numPr>
    </w:pPr>
  </w:style>
  <w:style w:type="paragraph" w:customStyle="1" w:styleId="ListAlpha2">
    <w:name w:val="List Alpha 2"/>
    <w:basedOn w:val="List2"/>
    <w:rsid w:val="00494C7F"/>
    <w:pPr>
      <w:numPr>
        <w:numId w:val="7"/>
      </w:numPr>
    </w:pPr>
  </w:style>
  <w:style w:type="paragraph" w:styleId="List3">
    <w:name w:val="List 3"/>
    <w:basedOn w:val="BodyText"/>
    <w:rsid w:val="00494C7F"/>
    <w:pPr>
      <w:tabs>
        <w:tab w:val="left" w:pos="1021"/>
      </w:tabs>
      <w:spacing w:before="60" w:after="60"/>
      <w:ind w:left="1020" w:hanging="340"/>
    </w:pPr>
  </w:style>
  <w:style w:type="paragraph" w:styleId="List4">
    <w:name w:val="List 4"/>
    <w:basedOn w:val="BodyText"/>
    <w:rsid w:val="00494C7F"/>
    <w:pPr>
      <w:tabs>
        <w:tab w:val="left" w:pos="1361"/>
      </w:tabs>
      <w:spacing w:before="60" w:after="60"/>
      <w:ind w:left="1361" w:hanging="340"/>
    </w:pPr>
  </w:style>
  <w:style w:type="paragraph" w:styleId="List5">
    <w:name w:val="List 5"/>
    <w:basedOn w:val="BodyText"/>
    <w:rsid w:val="00494C7F"/>
    <w:pPr>
      <w:tabs>
        <w:tab w:val="left" w:pos="1701"/>
      </w:tabs>
      <w:spacing w:before="60" w:after="60"/>
      <w:ind w:left="1701" w:hanging="340"/>
    </w:pPr>
  </w:style>
  <w:style w:type="paragraph" w:styleId="ListBullet3">
    <w:name w:val="List Bullet 3"/>
    <w:basedOn w:val="List3"/>
    <w:rsid w:val="00494C7F"/>
    <w:pPr>
      <w:numPr>
        <w:numId w:val="14"/>
      </w:numPr>
      <w:tabs>
        <w:tab w:val="clear" w:pos="1021"/>
      </w:tabs>
      <w:ind w:left="1037" w:hanging="357"/>
    </w:pPr>
  </w:style>
  <w:style w:type="paragraph" w:styleId="ListBullet4">
    <w:name w:val="List Bullet 4"/>
    <w:basedOn w:val="List4"/>
    <w:rsid w:val="00494C7F"/>
    <w:pPr>
      <w:numPr>
        <w:numId w:val="2"/>
      </w:numPr>
    </w:pPr>
  </w:style>
  <w:style w:type="paragraph" w:styleId="ListBullet5">
    <w:name w:val="List Bullet 5"/>
    <w:basedOn w:val="List5"/>
    <w:rsid w:val="00494C7F"/>
    <w:pPr>
      <w:numPr>
        <w:numId w:val="3"/>
      </w:numPr>
    </w:pPr>
  </w:style>
  <w:style w:type="paragraph" w:styleId="ListContinue2">
    <w:name w:val="List Continue 2"/>
    <w:basedOn w:val="List2"/>
    <w:rsid w:val="00494C7F"/>
    <w:pPr>
      <w:ind w:firstLine="0"/>
    </w:pPr>
  </w:style>
  <w:style w:type="paragraph" w:styleId="ListContinue3">
    <w:name w:val="List Continue 3"/>
    <w:basedOn w:val="List3"/>
    <w:rsid w:val="00494C7F"/>
    <w:pPr>
      <w:ind w:left="1021" w:firstLine="0"/>
    </w:pPr>
  </w:style>
  <w:style w:type="paragraph" w:styleId="ListContinue4">
    <w:name w:val="List Continue 4"/>
    <w:basedOn w:val="List4"/>
    <w:rsid w:val="00494C7F"/>
    <w:pPr>
      <w:ind w:firstLine="0"/>
    </w:pPr>
  </w:style>
  <w:style w:type="paragraph" w:styleId="ListContinue5">
    <w:name w:val="List Continue 5"/>
    <w:basedOn w:val="List5"/>
    <w:rsid w:val="00494C7F"/>
    <w:pPr>
      <w:ind w:firstLine="0"/>
    </w:pPr>
  </w:style>
  <w:style w:type="paragraph" w:styleId="ListNumber3">
    <w:name w:val="List Number 3"/>
    <w:basedOn w:val="List3"/>
    <w:rsid w:val="00494C7F"/>
    <w:pPr>
      <w:numPr>
        <w:numId w:val="4"/>
      </w:numPr>
    </w:pPr>
  </w:style>
  <w:style w:type="paragraph" w:styleId="ListNumber4">
    <w:name w:val="List Number 4"/>
    <w:basedOn w:val="List4"/>
    <w:rsid w:val="00494C7F"/>
    <w:pPr>
      <w:numPr>
        <w:numId w:val="5"/>
      </w:numPr>
    </w:pPr>
  </w:style>
  <w:style w:type="paragraph" w:styleId="ListNumber5">
    <w:name w:val="List Number 5"/>
    <w:basedOn w:val="List5"/>
    <w:rsid w:val="00494C7F"/>
    <w:pPr>
      <w:numPr>
        <w:numId w:val="6"/>
      </w:numPr>
    </w:pPr>
  </w:style>
  <w:style w:type="paragraph" w:styleId="BlockText">
    <w:name w:val="Block Text"/>
    <w:basedOn w:val="Normal"/>
    <w:rsid w:val="00494C7F"/>
    <w:pPr>
      <w:spacing w:after="120"/>
      <w:ind w:left="1440" w:right="1440"/>
    </w:pPr>
  </w:style>
  <w:style w:type="character" w:customStyle="1" w:styleId="Subscript">
    <w:name w:val="Subscript"/>
    <w:basedOn w:val="DefaultParagraphFont"/>
    <w:rsid w:val="00494C7F"/>
    <w:rPr>
      <w:sz w:val="16"/>
      <w:vertAlign w:val="subscript"/>
    </w:rPr>
  </w:style>
  <w:style w:type="character" w:customStyle="1" w:styleId="Superscript">
    <w:name w:val="Superscript"/>
    <w:basedOn w:val="DefaultParagraphFont"/>
    <w:rsid w:val="00494C7F"/>
    <w:rPr>
      <w:sz w:val="16"/>
      <w:vertAlign w:val="superscript"/>
    </w:rPr>
  </w:style>
  <w:style w:type="character" w:customStyle="1" w:styleId="Symbols">
    <w:name w:val="Symbols"/>
    <w:basedOn w:val="DefaultParagraphFont"/>
    <w:rsid w:val="00494C7F"/>
    <w:rPr>
      <w:rFonts w:ascii="Symbol" w:hAnsi="Symbol"/>
    </w:rPr>
  </w:style>
  <w:style w:type="character" w:customStyle="1" w:styleId="MenuOptions">
    <w:name w:val="Menu Options"/>
    <w:basedOn w:val="DefaultParagraphFont"/>
    <w:rsid w:val="00494C7F"/>
    <w:rPr>
      <w:rFonts w:ascii="Arial Narrow" w:hAnsi="Arial Narrow"/>
      <w:smallCaps/>
    </w:rPr>
  </w:style>
  <w:style w:type="character" w:customStyle="1" w:styleId="Buttons">
    <w:name w:val="Buttons"/>
    <w:basedOn w:val="DefaultParagraphFont"/>
    <w:rsid w:val="00494C7F"/>
    <w:rPr>
      <w:b/>
    </w:rPr>
  </w:style>
  <w:style w:type="character" w:customStyle="1" w:styleId="Underlined">
    <w:name w:val="Underlined"/>
    <w:basedOn w:val="DefaultParagraphFont"/>
    <w:rsid w:val="00494C7F"/>
    <w:rPr>
      <w:u w:val="single"/>
    </w:rPr>
  </w:style>
  <w:style w:type="paragraph" w:customStyle="1" w:styleId="TableBodyTextRight">
    <w:name w:val="Table Body Text Right"/>
    <w:basedOn w:val="TableBodyText"/>
    <w:rsid w:val="00494C7F"/>
    <w:pPr>
      <w:widowControl w:val="0"/>
      <w:autoSpaceDE w:val="0"/>
      <w:autoSpaceDN w:val="0"/>
      <w:adjustRightInd w:val="0"/>
      <w:jc w:val="right"/>
    </w:pPr>
    <w:rPr>
      <w:rFonts w:cs="Arial"/>
      <w:szCs w:val="18"/>
    </w:rPr>
  </w:style>
  <w:style w:type="paragraph" w:customStyle="1" w:styleId="CopyrightText">
    <w:name w:val="Copyright Text"/>
    <w:basedOn w:val="BodyText"/>
    <w:rsid w:val="00494C7F"/>
    <w:rPr>
      <w:sz w:val="18"/>
    </w:rPr>
  </w:style>
  <w:style w:type="paragraph" w:customStyle="1" w:styleId="BodySmallRight">
    <w:name w:val="Body Small Right"/>
    <w:basedOn w:val="BodyTextRight"/>
    <w:rsid w:val="00494C7F"/>
    <w:rPr>
      <w:sz w:val="18"/>
      <w:szCs w:val="18"/>
    </w:rPr>
  </w:style>
  <w:style w:type="paragraph" w:customStyle="1" w:styleId="MarginEdition">
    <w:name w:val="Margin Edition"/>
    <w:basedOn w:val="MarginNote"/>
    <w:rsid w:val="00494C7F"/>
    <w:pPr>
      <w:spacing w:before="0" w:after="0"/>
    </w:pPr>
    <w:rPr>
      <w:rFonts w:ascii="Times New Roman" w:hAnsi="Times New Roman"/>
      <w:color w:val="999999"/>
    </w:rPr>
  </w:style>
  <w:style w:type="paragraph" w:customStyle="1" w:styleId="Spacer">
    <w:name w:val="Spacer"/>
    <w:basedOn w:val="Normal"/>
    <w:rsid w:val="00494C7F"/>
    <w:rPr>
      <w:sz w:val="2"/>
      <w:szCs w:val="2"/>
    </w:rPr>
  </w:style>
  <w:style w:type="character" w:customStyle="1" w:styleId="Small">
    <w:name w:val="Small"/>
    <w:basedOn w:val="DefaultParagraphFont"/>
    <w:rsid w:val="00494C7F"/>
    <w:rPr>
      <w:sz w:val="16"/>
    </w:rPr>
  </w:style>
  <w:style w:type="paragraph" w:customStyle="1" w:styleId="WideTable">
    <w:name w:val="Wide Table"/>
    <w:basedOn w:val="Normal"/>
    <w:rsid w:val="00494C7F"/>
    <w:pPr>
      <w:ind w:left="-1418"/>
    </w:pPr>
    <w:rPr>
      <w:sz w:val="2"/>
      <w:szCs w:val="2"/>
    </w:rPr>
  </w:style>
  <w:style w:type="character" w:styleId="PageNumber">
    <w:name w:val="page number"/>
    <w:basedOn w:val="DefaultParagraphFont"/>
    <w:rsid w:val="00494C7F"/>
  </w:style>
  <w:style w:type="paragraph" w:styleId="Quote">
    <w:name w:val="Quote"/>
    <w:basedOn w:val="Heading1"/>
    <w:link w:val="QuoteChar"/>
    <w:qFormat/>
    <w:rsid w:val="00494C7F"/>
    <w:rPr>
      <w:b w:val="0"/>
      <w:sz w:val="72"/>
      <w:szCs w:val="72"/>
      <w:lang w:val="en-NZ"/>
    </w:rPr>
  </w:style>
  <w:style w:type="character" w:customStyle="1" w:styleId="QuoteChar">
    <w:name w:val="Quote Char"/>
    <w:basedOn w:val="DefaultParagraphFont"/>
    <w:link w:val="Quote"/>
    <w:rsid w:val="00494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C7F"/>
    <w:pPr>
      <w:pageBreakBefore/>
    </w:pPr>
  </w:style>
  <w:style w:type="paragraph" w:customStyle="1" w:styleId="Border">
    <w:name w:val="Border"/>
    <w:basedOn w:val="Normal"/>
    <w:qFormat/>
    <w:rsid w:val="00494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C7F"/>
    <w:rPr>
      <w:b/>
      <w:bCs/>
      <w:i/>
      <w:iCs/>
      <w:color w:val="auto"/>
    </w:rPr>
  </w:style>
  <w:style w:type="paragraph" w:styleId="IntenseQuote">
    <w:name w:val="Intense Quote"/>
    <w:basedOn w:val="Normal"/>
    <w:next w:val="Normal"/>
    <w:link w:val="IntenseQuoteChar"/>
    <w:uiPriority w:val="30"/>
    <w:qFormat/>
    <w:rsid w:val="00494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C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C7F"/>
    <w:rPr>
      <w:smallCaps/>
      <w:color w:val="auto"/>
      <w:u w:val="single"/>
    </w:rPr>
  </w:style>
  <w:style w:type="character" w:styleId="IntenseReference">
    <w:name w:val="Intense Reference"/>
    <w:basedOn w:val="DefaultParagraphFont"/>
    <w:uiPriority w:val="32"/>
    <w:qFormat/>
    <w:rsid w:val="00494C7F"/>
    <w:rPr>
      <w:b/>
      <w:bCs/>
      <w:smallCaps/>
      <w:color w:val="auto"/>
      <w:spacing w:val="5"/>
      <w:u w:val="single"/>
    </w:rPr>
  </w:style>
  <w:style w:type="paragraph" w:customStyle="1" w:styleId="2ColumnHeading">
    <w:name w:val="2Column Heading"/>
    <w:basedOn w:val="BodyText"/>
    <w:qFormat/>
    <w:rsid w:val="00494C7F"/>
    <w:pPr>
      <w:spacing w:after="60"/>
      <w:ind w:left="-2268"/>
    </w:pPr>
    <w:rPr>
      <w:b/>
    </w:rPr>
  </w:style>
  <w:style w:type="paragraph" w:customStyle="1" w:styleId="Heading1TOC">
    <w:name w:val="Heading1 TOC"/>
    <w:basedOn w:val="Normal"/>
    <w:qFormat/>
    <w:rsid w:val="00494C7F"/>
    <w:pPr>
      <w:spacing w:before="240" w:after="120"/>
    </w:pPr>
    <w:rPr>
      <w:rFonts w:ascii="Times New Roman" w:hAnsi="Times New Roman"/>
      <w:b/>
      <w:sz w:val="32"/>
    </w:rPr>
  </w:style>
  <w:style w:type="paragraph" w:customStyle="1" w:styleId="Heading2TOC">
    <w:name w:val="Heading2 TOC"/>
    <w:basedOn w:val="Normal"/>
    <w:qFormat/>
    <w:rsid w:val="00494C7F"/>
    <w:pPr>
      <w:spacing w:before="240" w:after="60"/>
    </w:pPr>
    <w:rPr>
      <w:rFonts w:ascii="Times New Roman" w:hAnsi="Times New Roman"/>
      <w:b/>
      <w:sz w:val="28"/>
    </w:rPr>
  </w:style>
  <w:style w:type="character" w:customStyle="1" w:styleId="Underline">
    <w:name w:val="Underline"/>
    <w:basedOn w:val="DefaultParagraphFont"/>
    <w:qFormat/>
    <w:rsid w:val="00494C7F"/>
    <w:rPr>
      <w:u w:val="single"/>
    </w:rPr>
  </w:style>
  <w:style w:type="character" w:customStyle="1" w:styleId="BoldandItalics">
    <w:name w:val="Bold and Italics"/>
    <w:qFormat/>
    <w:rsid w:val="00494C7F"/>
    <w:rPr>
      <w:b/>
      <w:i/>
      <w:u w:val="none"/>
    </w:rPr>
  </w:style>
  <w:style w:type="paragraph" w:styleId="BalloonText">
    <w:name w:val="Balloon Text"/>
    <w:basedOn w:val="Normal"/>
    <w:link w:val="BalloonTextChar"/>
    <w:rsid w:val="00494C7F"/>
    <w:rPr>
      <w:rFonts w:ascii="Tahoma" w:hAnsi="Tahoma" w:cs="Tahoma"/>
      <w:sz w:val="16"/>
      <w:szCs w:val="16"/>
    </w:rPr>
  </w:style>
  <w:style w:type="character" w:customStyle="1" w:styleId="BalloonTextChar">
    <w:name w:val="Balloon Text Char"/>
    <w:basedOn w:val="DefaultParagraphFont"/>
    <w:link w:val="BalloonText"/>
    <w:rsid w:val="00494C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C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980</Words>
  <Characters>6190</Characters>
  <Application>Microsoft Office Word</Application>
  <DocSecurity>0</DocSecurity>
  <Lines>215</Lines>
  <Paragraphs>93</Paragraphs>
  <ScaleCrop>false</ScaleCrop>
  <Company>Author-it Software Corporation Ltd.</Company>
  <LinksUpToDate>false</LinksUpToDate>
  <CharactersWithSpaces>7105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MEM09005B Perform basic engineering detail drafting</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2012-05-27T01:38:00Z</dcterms:created>
  <dcterms:modified xsi:type="dcterms:W3CDTF">2012-05-27T01:38:00Z</dcterms:modified>
</cp:coreProperties>
</file>