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E69" w:rsidP="00F95E69">
      <w:pPr>
        <w:pStyle w:val="Title"/>
      </w:pPr>
      <w:r>
        <w:fldChar w:fldCharType="begin"/>
      </w:r>
      <w:r>
        <w:instrText xml:space="preserve"> TITLE   \* MERGEFORMAT </w:instrText>
      </w:r>
      <w:r>
        <w:fldChar w:fldCharType="separate"/>
      </w:r>
      <w:r>
        <w:t>MEM09004B Perform electrical/electronic detail drafting</w:t>
      </w:r>
      <w:r>
        <w:fldChar w:fldCharType="end"/>
      </w:r>
    </w:p>
    <w:p w:rsidR="00F95E69" w:rsidP="00F95E69">
      <w:pPr>
        <w:pStyle w:val="Version"/>
        <w:sectPr w:rsidSect="00BF0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89E" w:rsidP="00BF089E">
      <w:pPr>
        <w:pStyle w:val="SuperHeading"/>
      </w:pPr>
      <w:r w:rsidRPr="00BF089E">
        <w:t>MEM09004B Perform electrical/electronic detail drafting</w:t>
      </w:r>
    </w:p>
    <w:p w:rsidR="00000000" w:rsidRPr="00BF089E" w:rsidP="00BF089E">
      <w:pPr>
        <w:pStyle w:val="Heading1"/>
      </w:pPr>
      <w:bookmarkStart w:id="1" w:name="O_272104"/>
      <w:bookmarkEnd w:id="1"/>
      <w:r w:rsidRPr="00BF089E">
        <w:t>Modification History</w:t>
      </w:r>
    </w:p>
    <w:p w:rsidR="00000000" w:rsidRPr="00BF089E" w:rsidP="00BF089E">
      <w:pPr>
        <w:pStyle w:val="BodyText"/>
      </w:pPr>
      <w:r w:rsidRPr="00BF089E">
        <w:t>Not Applicable</w:t>
      </w:r>
    </w:p>
    <w:p w:rsidR="00000000" w:rsidRPr="00BF089E" w:rsidP="00BF089E">
      <w:pPr>
        <w:pStyle w:val="AllowPageBreak"/>
      </w:pPr>
    </w:p>
    <w:p w:rsidR="00000000" w:rsidRPr="00BF089E" w:rsidP="00BF089E">
      <w:pPr>
        <w:pStyle w:val="Heading1"/>
      </w:pPr>
      <w:bookmarkStart w:id="2" w:name="O_211166"/>
      <w:bookmarkEnd w:id="2"/>
      <w:r w:rsidRPr="00BF089E">
        <w:t>Unit Descriptor</w:t>
      </w:r>
    </w:p>
    <w:tbl>
      <w:tblPr>
        <w:tblW w:w="0" w:type="auto"/>
        <w:tblLayout w:type="fixed"/>
        <w:tblCellMar>
          <w:left w:w="62" w:type="dxa"/>
          <w:right w:w="62" w:type="dxa"/>
        </w:tblCellMar>
        <w:tblLook w:val="0000"/>
      </w:tblPr>
      <w:tblGrid>
        <w:gridCol w:w="2646"/>
        <w:gridCol w:w="5876"/>
      </w:tblGrid>
      <w:tr w:rsidTr="00F95E69">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t>This unit covers producing electrical/electronic drawings under supervision.</w:t>
            </w:r>
          </w:p>
        </w:tc>
      </w:tr>
    </w:tbl>
    <w:p w:rsidR="00F95E69" w:rsidP="00BF089E">
      <w:pPr>
        <w:pStyle w:val="BodyText"/>
      </w:pPr>
    </w:p>
    <w:p w:rsidR="00F95E69" w:rsidP="00BF089E">
      <w:pPr>
        <w:pStyle w:val="BodyText"/>
      </w:pPr>
    </w:p>
    <w:p w:rsidR="00000000" w:rsidRPr="00BF089E" w:rsidP="00BF089E">
      <w:pPr>
        <w:pStyle w:val="Heading1"/>
      </w:pPr>
      <w:bookmarkStart w:id="3" w:name="O_211170"/>
      <w:bookmarkEnd w:id="3"/>
      <w:r w:rsidRPr="00BF089E">
        <w:t>Application of the Unit</w:t>
      </w:r>
    </w:p>
    <w:tbl>
      <w:tblPr>
        <w:tblW w:w="0" w:type="auto"/>
        <w:tblLayout w:type="fixed"/>
        <w:tblCellMar>
          <w:left w:w="62" w:type="dxa"/>
          <w:right w:w="62" w:type="dxa"/>
        </w:tblCellMar>
        <w:tblLook w:val="0000"/>
      </w:tblPr>
      <w:tblGrid>
        <w:gridCol w:w="2737"/>
        <w:gridCol w:w="5785"/>
      </w:tblGrid>
      <w:tr w:rsidTr="00F95E69">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t>This unit applies to the production of drawings under supervision, in accordance with instructions and specifications to Australian Standard 1102 or equivalent using predetermined design specification</w:t>
            </w:r>
            <w:r w:rsidRPr="00BF089E">
              <w:t>s.</w:t>
            </w:r>
          </w:p>
          <w:p w:rsidR="00000000" w:rsidRPr="00BF089E" w:rsidP="00BF089E">
            <w:pPr>
              <w:pStyle w:val="BodyText"/>
            </w:pPr>
            <w:r w:rsidRPr="00BF089E">
              <w:t>This unit applies to all electrical/electronic areas.</w:t>
            </w:r>
          </w:p>
          <w:p w:rsidR="00000000" w:rsidRPr="00BF089E" w:rsidP="00BF089E">
            <w:pPr>
              <w:pStyle w:val="BodyText"/>
            </w:pPr>
            <w:r w:rsidRPr="00BF089E">
              <w:t>Manual drafting or drawing equipment is used or where a CAD system is used, Unit MEM09009C (Create 2D drawings using computer aided design system) and/or Unit MEM09010C (Create 3D models using comput</w:t>
            </w:r>
            <w:r w:rsidRPr="00BF089E">
              <w:t>er aided design system) should also be considered.</w:t>
            </w:r>
          </w:p>
          <w:p w:rsidR="00000000" w:rsidRPr="00BF089E" w:rsidP="00BF089E">
            <w:pPr>
              <w:pStyle w:val="BodyText"/>
            </w:pPr>
          </w:p>
          <w:p w:rsidR="00000000" w:rsidRPr="00BF089E" w:rsidP="00BF089E">
            <w:pPr>
              <w:pStyle w:val="BodyText"/>
            </w:pPr>
            <w:r w:rsidRPr="00BF089E">
              <w:rPr>
                <w:rStyle w:val="SpecialBold"/>
              </w:rPr>
              <w:t>Band</w:t>
            </w:r>
            <w:r w:rsidRPr="00BF089E">
              <w:t>:</w:t>
            </w:r>
            <w:r w:rsidRPr="00BF089E">
              <w:tab/>
            </w:r>
            <w:r w:rsidRPr="00BF089E">
              <w:rPr>
                <w:rStyle w:val="SpecialBold"/>
              </w:rPr>
              <w:t>B</w:t>
            </w:r>
          </w:p>
          <w:p w:rsidR="00000000" w:rsidRPr="00BF089E" w:rsidP="00BF089E">
            <w:pPr>
              <w:pStyle w:val="BodyText"/>
            </w:pPr>
            <w:r w:rsidRPr="00BF089E">
              <w:rPr>
                <w:rStyle w:val="SpecialBold"/>
              </w:rPr>
              <w:t>Unit Weight</w:t>
            </w:r>
            <w:r w:rsidRPr="00BF089E">
              <w:t>:</w:t>
            </w:r>
            <w:r w:rsidRPr="00BF089E">
              <w:tab/>
            </w:r>
            <w:r w:rsidRPr="00BF089E">
              <w:rPr>
                <w:rStyle w:val="SpecialBold"/>
              </w:rPr>
              <w:t>8</w:t>
            </w:r>
          </w:p>
        </w:tc>
      </w:tr>
    </w:tbl>
    <w:p w:rsidR="00F95E69" w:rsidP="00BF089E">
      <w:pPr>
        <w:pStyle w:val="BodyText"/>
      </w:pPr>
    </w:p>
    <w:p w:rsidR="00F95E69" w:rsidP="00BF089E">
      <w:pPr>
        <w:pStyle w:val="BodyText"/>
      </w:pPr>
    </w:p>
    <w:p w:rsidR="00000000" w:rsidRPr="00BF089E" w:rsidP="00BF089E">
      <w:pPr>
        <w:pStyle w:val="Heading1"/>
      </w:pPr>
      <w:bookmarkStart w:id="4" w:name="O_280364"/>
      <w:bookmarkEnd w:id="4"/>
      <w:r w:rsidRPr="00BF089E">
        <w:t>Licensing/Regulatory Information</w:t>
      </w:r>
    </w:p>
    <w:p w:rsidR="00000000" w:rsidRPr="00BF089E" w:rsidP="00BF089E">
      <w:pPr>
        <w:pStyle w:val="BodyText"/>
      </w:pPr>
      <w:r w:rsidRPr="00BF089E">
        <w:t>Not Applicable</w:t>
      </w:r>
    </w:p>
    <w:p w:rsidR="00000000" w:rsidRPr="00BF089E" w:rsidP="00BF089E">
      <w:pPr>
        <w:pStyle w:val="AllowPageBreak"/>
      </w:pPr>
    </w:p>
    <w:p w:rsidR="00000000" w:rsidRPr="00BF089E" w:rsidP="00BF089E">
      <w:pPr>
        <w:pStyle w:val="Heading1"/>
      </w:pPr>
      <w:bookmarkStart w:id="5" w:name="O_211168"/>
      <w:bookmarkEnd w:id="5"/>
      <w:r w:rsidRPr="00BF089E">
        <w:t>Pre-Requisites</w:t>
      </w:r>
    </w:p>
    <w:tbl>
      <w:tblPr>
        <w:tblW w:w="0" w:type="auto"/>
        <w:tblLayout w:type="fixed"/>
        <w:tblCellMar>
          <w:left w:w="62" w:type="dxa"/>
          <w:right w:w="62" w:type="dxa"/>
        </w:tblCellMar>
        <w:tblLook w:val="0000"/>
      </w:tblPr>
      <w:tblGrid>
        <w:gridCol w:w="2709"/>
        <w:gridCol w:w="2195"/>
        <w:gridCol w:w="3618"/>
      </w:tblGrid>
      <w:tr w:rsidTr="00F95E69">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p>
        </w:tc>
      </w:tr>
      <w:tr w:rsidTr="00F95E6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t>MEM09002B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t>Interpret technical drawing</w:t>
            </w:r>
          </w:p>
        </w:tc>
      </w:tr>
      <w:tr w:rsidTr="00F95E6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t>MEM09003B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t>Prepare basic engineering drawing</w:t>
            </w:r>
          </w:p>
        </w:tc>
      </w:tr>
    </w:tbl>
    <w:p w:rsidR="00F95E69" w:rsidP="00BF089E">
      <w:pPr>
        <w:pStyle w:val="BodyText"/>
      </w:pPr>
    </w:p>
    <w:p w:rsidR="00F95E69" w:rsidP="00BF089E">
      <w:pPr>
        <w:pStyle w:val="BodyText"/>
      </w:pPr>
    </w:p>
    <w:p w:rsidR="00000000" w:rsidRPr="00BF089E" w:rsidP="00BF089E">
      <w:pPr>
        <w:pStyle w:val="Heading1"/>
      </w:pPr>
      <w:bookmarkStart w:id="6" w:name="O_211167"/>
      <w:bookmarkEnd w:id="6"/>
      <w:r w:rsidRPr="00BF089E">
        <w:t>Employability Skills Information</w:t>
      </w:r>
    </w:p>
    <w:tbl>
      <w:tblPr>
        <w:tblW w:w="0" w:type="auto"/>
        <w:tblLayout w:type="fixed"/>
        <w:tblCellMar>
          <w:left w:w="62" w:type="dxa"/>
          <w:right w:w="62" w:type="dxa"/>
        </w:tblCellMar>
        <w:tblLook w:val="0000"/>
      </w:tblPr>
      <w:tblGrid>
        <w:gridCol w:w="2794"/>
        <w:gridCol w:w="5728"/>
      </w:tblGrid>
      <w:tr w:rsidTr="00F95E69">
        <w:tblPrEx>
          <w:tblW w:w="0" w:type="auto"/>
          <w:tblLayout w:type="fixed"/>
          <w:tblCellMar>
            <w:left w:w="62" w:type="dxa"/>
            <w:right w:w="62" w:type="dxa"/>
          </w:tblCellMar>
          <w:tblLook w:val="0000"/>
        </w:tblPrEx>
        <w:trPr>
          <w:tblHeader/>
        </w:trPr>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Employability skills</w:t>
            </w:r>
          </w:p>
        </w:tc>
        <w:tc>
          <w:tcPr>
            <w:tcW w:w="5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t>This unit contains employability skills.</w:t>
            </w:r>
          </w:p>
        </w:tc>
      </w:tr>
    </w:tbl>
    <w:p w:rsidR="00F95E69" w:rsidP="00BF089E">
      <w:pPr>
        <w:pStyle w:val="BodyText"/>
      </w:pPr>
    </w:p>
    <w:p w:rsidR="00F95E69" w:rsidP="00BF089E">
      <w:pPr>
        <w:pStyle w:val="BodyText"/>
      </w:pPr>
    </w:p>
    <w:p w:rsidR="00000000" w:rsidRPr="00BF089E" w:rsidP="00BF089E">
      <w:pPr>
        <w:pStyle w:val="Heading1"/>
      </w:pPr>
      <w:bookmarkStart w:id="7" w:name="O_290150"/>
      <w:bookmarkEnd w:id="7"/>
      <w:r w:rsidRPr="00BF089E">
        <w:t>Elements and Performance Criteria Pre-Content</w:t>
      </w:r>
    </w:p>
    <w:tbl>
      <w:tblPr>
        <w:tblW w:w="0" w:type="auto"/>
        <w:tblLayout w:type="fixed"/>
        <w:tblCellMar>
          <w:left w:w="62" w:type="dxa"/>
          <w:right w:w="62" w:type="dxa"/>
        </w:tblCellMar>
        <w:tblLook w:val="0000"/>
      </w:tblPr>
      <w:tblGrid>
        <w:gridCol w:w="2629"/>
        <w:gridCol w:w="5893"/>
      </w:tblGrid>
      <w:tr w:rsidTr="00F95E6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t xml:space="preserve">Elements describe the essential outcomes </w:t>
            </w:r>
            <w:r w:rsidRPr="00BF089E">
              <w:t>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t>Performance criteria describe the performance needed to demonstrate achievement of the element. Where bold italicised text is used, further information is detailed in the required skills and knowledge section and the range statemen</w:t>
            </w:r>
            <w:r w:rsidRPr="00BF089E">
              <w:t>t. Assessment of performance is to be consistent with the evidence guide.</w:t>
            </w:r>
          </w:p>
        </w:tc>
      </w:tr>
    </w:tbl>
    <w:p w:rsidR="00000000" w:rsidRPr="00BF089E" w:rsidP="00BF089E">
      <w:pPr>
        <w:pStyle w:val="BodyText"/>
      </w:pPr>
    </w:p>
    <w:p w:rsidR="00000000" w:rsidRPr="00BF089E" w:rsidP="00BF089E">
      <w:pPr>
        <w:pStyle w:val="AllowPageBreak"/>
      </w:pPr>
    </w:p>
    <w:p w:rsidR="00000000" w:rsidRPr="00BF089E" w:rsidP="00BF089E">
      <w:pPr>
        <w:pStyle w:val="Heading1"/>
      </w:pPr>
      <w:bookmarkStart w:id="8" w:name="O_236817"/>
      <w:bookmarkEnd w:id="8"/>
      <w:r w:rsidRPr="00BF089E">
        <w:t>Elements and Performance Criteria</w:t>
      </w:r>
    </w:p>
    <w:tbl>
      <w:tblPr>
        <w:tblW w:w="0" w:type="auto"/>
        <w:tblLayout w:type="fixed"/>
        <w:tblCellMar>
          <w:left w:w="62" w:type="dxa"/>
          <w:right w:w="62" w:type="dxa"/>
        </w:tblCellMar>
        <w:tblLook w:val="0000"/>
      </w:tblPr>
      <w:tblGrid>
        <w:gridCol w:w="2629"/>
        <w:gridCol w:w="5893"/>
      </w:tblGrid>
      <w:tr w:rsidTr="00F95E6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PERFORMANCE CRITERIA</w:t>
            </w:r>
          </w:p>
        </w:tc>
      </w:tr>
      <w:tr w:rsidTr="00F95E6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List"/>
              <w:rPr>
                <w:lang w:val="en-NZ"/>
              </w:rPr>
            </w:pPr>
            <w:r w:rsidRPr="00BF089E">
              <w:t>1.</w:t>
            </w:r>
            <w:r w:rsidRPr="00BF089E">
              <w:tab/>
              <w:t>Prepare/make changes to electrical/electronic schematics and drawings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List2"/>
            </w:pPr>
            <w:r w:rsidRPr="00BF089E">
              <w:t>1.1.</w:t>
            </w:r>
            <w:r w:rsidRPr="00BF089E">
              <w:tab/>
            </w:r>
            <w:r w:rsidRPr="00BF089E">
              <w:t>Schematic is drawn to indicate the relative positioning of electrical/electronic components.</w:t>
            </w:r>
          </w:p>
          <w:p w:rsidR="00000000" w:rsidRPr="00BF089E" w:rsidP="00BF089E">
            <w:pPr>
              <w:pStyle w:val="List2"/>
            </w:pPr>
            <w:r w:rsidRPr="00BF089E">
              <w:t>1.2.</w:t>
            </w:r>
            <w:r w:rsidRPr="00BF089E">
              <w:tab/>
              <w:t>Electrical/electronic drawings are produced to include all relevant specifications.</w:t>
            </w:r>
          </w:p>
          <w:p w:rsidR="00000000" w:rsidP="00BF089E">
            <w:pPr>
              <w:pStyle w:val="List2"/>
              <w:rPr>
                <w:lang w:val="en-NZ"/>
              </w:rPr>
            </w:pPr>
            <w:r w:rsidRPr="00BF089E">
              <w:t>1.3.</w:t>
            </w:r>
            <w:r w:rsidRPr="00BF089E">
              <w:tab/>
              <w:t>Schematic/drawing is completed to Australian Standard 1102 or equival</w:t>
            </w:r>
            <w:r w:rsidRPr="00BF089E">
              <w:t>ent.</w:t>
            </w:r>
          </w:p>
        </w:tc>
      </w:tr>
      <w:tr w:rsidTr="00F95E6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List"/>
              <w:rPr>
                <w:lang w:val="en-NZ"/>
              </w:rPr>
            </w:pPr>
            <w:r w:rsidRPr="00BF089E">
              <w:t>2.</w:t>
            </w:r>
            <w:r w:rsidRPr="00BF089E">
              <w:tab/>
              <w:t>Determine component and/or material requirement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List2"/>
            </w:pPr>
            <w:r w:rsidRPr="00BF089E">
              <w:t>2.1.</w:t>
            </w:r>
            <w:r w:rsidRPr="00BF089E">
              <w:tab/>
              <w:t>Components and/or materials are selected from supplier/manufacturers' catalogues using design specifications.</w:t>
            </w:r>
          </w:p>
        </w:tc>
      </w:tr>
    </w:tbl>
    <w:p w:rsidR="00F95E69" w:rsidP="00BF089E">
      <w:pPr>
        <w:pStyle w:val="BodyText"/>
      </w:pPr>
    </w:p>
    <w:p w:rsidR="00F95E69" w:rsidP="00BF089E">
      <w:pPr>
        <w:pStyle w:val="BodyText"/>
      </w:pPr>
    </w:p>
    <w:p w:rsidR="00000000" w:rsidRPr="00BF089E" w:rsidP="00BF089E">
      <w:pPr>
        <w:pStyle w:val="Heading1"/>
      </w:pPr>
      <w:bookmarkStart w:id="9" w:name="O_260767"/>
      <w:bookmarkEnd w:id="9"/>
      <w:r w:rsidRPr="00BF089E">
        <w:t>Required Skills and Knowledge</w:t>
      </w:r>
    </w:p>
    <w:tbl>
      <w:tblPr>
        <w:tblW w:w="0" w:type="auto"/>
        <w:tblLayout w:type="fixed"/>
        <w:tblCellMar>
          <w:left w:w="62" w:type="dxa"/>
          <w:right w:w="62" w:type="dxa"/>
        </w:tblCellMar>
        <w:tblLook w:val="0000"/>
      </w:tblPr>
      <w:tblGrid>
        <w:gridCol w:w="8522"/>
      </w:tblGrid>
      <w:tr w:rsidTr="00F95E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REQUIRED SKILLS AND KNOWLEDGE</w:t>
            </w:r>
          </w:p>
        </w:tc>
      </w:tr>
      <w:tr w:rsidTr="00F95E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t>This section describes the skills and knowledge required for this unit.</w:t>
            </w:r>
          </w:p>
        </w:tc>
      </w:tr>
      <w:tr w:rsidTr="00F95E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Required skills</w:t>
            </w:r>
          </w:p>
        </w:tc>
      </w:tr>
      <w:tr w:rsidTr="00F95E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t>Look for evidence that confirms skills in:</w:t>
            </w:r>
          </w:p>
          <w:p w:rsidR="00000000" w:rsidRPr="00BF089E" w:rsidP="00BF089E">
            <w:pPr>
              <w:pStyle w:val="ListBullet"/>
            </w:pPr>
            <w:r w:rsidRPr="00BF089E">
              <w:t xml:space="preserve">drawing electrical/electronic schematics correctly and indicating the relative position </w:t>
            </w:r>
            <w:r w:rsidRPr="00BF089E">
              <w:t>of the components</w:t>
            </w:r>
          </w:p>
          <w:p w:rsidR="00000000" w:rsidRPr="00BF089E" w:rsidP="00BF089E">
            <w:pPr>
              <w:pStyle w:val="ListBullet"/>
            </w:pPr>
            <w:r w:rsidRPr="00BF089E">
              <w:t>producing electrical/electronic drawings with all relevant specifications</w:t>
            </w:r>
          </w:p>
          <w:p w:rsidR="00000000" w:rsidRPr="00BF089E" w:rsidP="00BF089E">
            <w:pPr>
              <w:pStyle w:val="ListBullet"/>
            </w:pPr>
            <w:r w:rsidRPr="00BF089E">
              <w:t>producing electrical/electronic schematics/drawings in conformance with AS1102 or equivalent</w:t>
            </w:r>
          </w:p>
          <w:p w:rsidR="00000000" w:rsidRPr="00BF089E" w:rsidP="00BF089E">
            <w:pPr>
              <w:pStyle w:val="ListBullet"/>
            </w:pPr>
            <w:r w:rsidRPr="00BF089E">
              <w:t>obtaining the circuit/component specifications</w:t>
            </w:r>
          </w:p>
          <w:p w:rsidR="00000000" w:rsidRPr="00BF089E" w:rsidP="00BF089E">
            <w:pPr>
              <w:pStyle w:val="ListBullet"/>
            </w:pPr>
            <w:r w:rsidRPr="00BF089E">
              <w:t>reading, interpreting an</w:t>
            </w:r>
            <w:r w:rsidRPr="00BF089E">
              <w:t>d following information on written job instructions, specifications, standard operating procedures, charts, lists, drawings and other applicable documents</w:t>
            </w:r>
          </w:p>
          <w:p w:rsidR="00000000" w:rsidRPr="00BF089E" w:rsidP="00BF089E">
            <w:pPr>
              <w:pStyle w:val="ListBullet"/>
            </w:pPr>
            <w:r w:rsidRPr="00BF089E">
              <w:t>planning and sequencing operations</w:t>
            </w:r>
          </w:p>
          <w:p w:rsidR="00000000" w:rsidRPr="00BF089E" w:rsidP="00BF089E">
            <w:pPr>
              <w:pStyle w:val="ListBullet"/>
            </w:pPr>
            <w:r w:rsidRPr="00BF089E">
              <w:t>checking and clarifying task related information</w:t>
            </w:r>
          </w:p>
          <w:p w:rsidR="00000000" w:rsidP="00BF089E">
            <w:pPr>
              <w:pStyle w:val="ListBullet"/>
              <w:rPr>
                <w:lang w:val="en-NZ"/>
              </w:rPr>
            </w:pPr>
            <w:r w:rsidRPr="00BF089E">
              <w:t>undertaking numer</w:t>
            </w:r>
            <w:r w:rsidRPr="00BF089E">
              <w:t>ical operations, geometry and calculations/formulae within the scope of this unit</w:t>
            </w:r>
          </w:p>
        </w:tc>
      </w:tr>
      <w:tr w:rsidTr="00F95E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Required knowledge</w:t>
            </w:r>
          </w:p>
        </w:tc>
      </w:tr>
      <w:tr w:rsidTr="00F95E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t>Look for evidence that confirms knowledge of:</w:t>
            </w:r>
          </w:p>
          <w:p w:rsidR="00000000" w:rsidRPr="00BF089E" w:rsidP="00BF089E">
            <w:pPr>
              <w:pStyle w:val="ListBullet"/>
            </w:pPr>
            <w:r w:rsidRPr="00BF089E">
              <w:t xml:space="preserve">relative position of electrical/electronic components </w:t>
            </w:r>
          </w:p>
          <w:p w:rsidR="00000000" w:rsidRPr="00BF089E" w:rsidP="00BF089E">
            <w:pPr>
              <w:pStyle w:val="ListBullet"/>
            </w:pPr>
            <w:r w:rsidRPr="00BF089E">
              <w:t>symbols used in electrical/electronic schematics an</w:t>
            </w:r>
            <w:r w:rsidRPr="00BF089E">
              <w:t xml:space="preserve">d drawings </w:t>
            </w:r>
          </w:p>
          <w:p w:rsidR="00000000" w:rsidRPr="00BF089E" w:rsidP="00BF089E">
            <w:pPr>
              <w:pStyle w:val="ListBullet"/>
            </w:pPr>
            <w:r w:rsidRPr="00BF089E">
              <w:t xml:space="preserve">specifications of all components </w:t>
            </w:r>
          </w:p>
          <w:p w:rsidR="00000000" w:rsidRPr="00BF089E" w:rsidP="00BF089E">
            <w:pPr>
              <w:pStyle w:val="ListBullet"/>
            </w:pPr>
            <w:r w:rsidRPr="00BF089E">
              <w:t xml:space="preserve">circuit specifications </w:t>
            </w:r>
          </w:p>
          <w:p w:rsidR="00000000" w:rsidRPr="00BF089E" w:rsidP="00BF089E">
            <w:pPr>
              <w:pStyle w:val="ListBullet"/>
            </w:pPr>
            <w:r w:rsidRPr="00BF089E">
              <w:t xml:space="preserve">requirements of AS1102 or equivalent with respect to electrical/electronic schematics/drawings </w:t>
            </w:r>
          </w:p>
          <w:p w:rsidR="00000000" w:rsidRPr="00BF089E" w:rsidP="00BF089E">
            <w:pPr>
              <w:pStyle w:val="ListBullet"/>
            </w:pPr>
            <w:r w:rsidRPr="00BF089E">
              <w:t xml:space="preserve">design specifications of the circuit/components </w:t>
            </w:r>
          </w:p>
          <w:p w:rsidR="00000000" w:rsidRPr="00BF089E" w:rsidP="00BF089E">
            <w:pPr>
              <w:pStyle w:val="ListBullet"/>
            </w:pPr>
            <w:r w:rsidRPr="00BF089E">
              <w:t>appropriate components and materials from</w:t>
            </w:r>
            <w:r w:rsidRPr="00BF089E">
              <w:t xml:space="preserve"> supplier/manufacturers' catalogues</w:t>
            </w:r>
          </w:p>
          <w:p w:rsidR="00000000" w:rsidRPr="00BF089E" w:rsidP="00BF089E">
            <w:pPr>
              <w:pStyle w:val="ListBullet"/>
            </w:pPr>
            <w:r w:rsidRPr="00BF089E">
              <w:t xml:space="preserve">reasons for selecting the chosen components and/or materials </w:t>
            </w:r>
          </w:p>
          <w:p w:rsidR="00000000" w:rsidRPr="00BF089E" w:rsidP="00BF089E">
            <w:pPr>
              <w:pStyle w:val="ListBullet"/>
            </w:pPr>
            <w:r w:rsidRPr="00BF089E">
              <w:t>hazards and control measure associated with performing electrical/electronic detail drafting, including housekeeping</w:t>
            </w:r>
          </w:p>
          <w:p w:rsidR="00000000" w:rsidRPr="00BF089E" w:rsidP="00BF089E">
            <w:pPr>
              <w:pStyle w:val="ListBullet"/>
            </w:pPr>
            <w:r w:rsidRPr="00BF089E">
              <w:t>safe work practices and procedures</w:t>
            </w:r>
          </w:p>
        </w:tc>
      </w:tr>
    </w:tbl>
    <w:p w:rsidR="00F95E69" w:rsidP="00BF089E">
      <w:pPr>
        <w:pStyle w:val="BodyText"/>
      </w:pPr>
    </w:p>
    <w:p w:rsidR="00F95E69" w:rsidP="00BF089E">
      <w:pPr>
        <w:pStyle w:val="BodyText"/>
      </w:pPr>
    </w:p>
    <w:p w:rsidR="00000000" w:rsidRPr="00BF089E" w:rsidP="00BF089E">
      <w:pPr>
        <w:pStyle w:val="AllowPageBreak"/>
      </w:pPr>
    </w:p>
    <w:p w:rsidR="00000000" w:rsidRPr="00BF089E" w:rsidP="00BF089E">
      <w:pPr>
        <w:pStyle w:val="Heading1"/>
      </w:pPr>
      <w:bookmarkStart w:id="10" w:name="O_244801"/>
      <w:bookmarkEnd w:id="10"/>
      <w:r w:rsidRPr="00BF089E">
        <w:t>Evidence Guide</w:t>
      </w:r>
    </w:p>
    <w:tbl>
      <w:tblPr>
        <w:tblW w:w="9570" w:type="dxa"/>
        <w:tblLayout w:type="fixed"/>
        <w:tblCellMar>
          <w:left w:w="62" w:type="dxa"/>
          <w:right w:w="62" w:type="dxa"/>
        </w:tblCellMar>
        <w:tblLook w:val="0000"/>
      </w:tblPr>
      <w:tblGrid>
        <w:gridCol w:w="3908"/>
        <w:gridCol w:w="5662"/>
      </w:tblGrid>
      <w:tr w:rsidTr="00F95E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EVIDENCE GUIDE</w:t>
            </w:r>
          </w:p>
        </w:tc>
      </w:tr>
      <w:tr w:rsidTr="00F95E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t xml:space="preserve">The evidence guide provides advice on assessment and must be read in conjunction with the performance criteria, required skills and knowledge, </w:t>
            </w:r>
            <w:r w:rsidRPr="00BF089E">
              <w:t>range statement and the Assessment Guidelines for the Training Package.</w:t>
            </w:r>
          </w:p>
        </w:tc>
      </w:tr>
      <w:tr w:rsidTr="00F95E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t xml:space="preserve">A person who demonstrates competency in this unit must be able to perform electrical/electronic detail drafting. Competency in this unit cannot </w:t>
            </w:r>
            <w:r w:rsidRPr="00BF089E">
              <w:t>be claimed until all prerequisites have been satisfied.</w:t>
            </w:r>
          </w:p>
        </w:tc>
      </w:tr>
      <w:tr w:rsidTr="00F95E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t>Assessors must be satisfied that the candidate can competently and consistently perform all elements of th</w:t>
            </w:r>
            <w:r w:rsidRPr="00BF089E">
              <w:t>e unit as specified by the criteria, including required knowledge, and be capable of applying the competency in new and different situations and contexts.</w:t>
            </w:r>
          </w:p>
        </w:tc>
      </w:tr>
      <w:tr w:rsidTr="00F95E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t>This unit may be assessed on the job, off the job o</w:t>
            </w:r>
            <w:r w:rsidRPr="00BF089E">
              <w:t>r a combination of both on and off the job. Where assessment occurs off the job, that is the candidate is not in productive work, then an appropriate simulation must be used where the range of conditions reflects realistic workplace situations. The compete</w:t>
            </w:r>
            <w:r w:rsidRPr="00BF089E">
              <w:t xml:space="preserve">ncies covered by this unit would be demonstrated by an individual working alone or as part of a team. The assessment environment should not disadvantage the candidate. </w:t>
            </w:r>
          </w:p>
          <w:p w:rsidR="00000000" w:rsidP="00BF089E">
            <w:pPr>
              <w:pStyle w:val="BodyText"/>
              <w:rPr>
                <w:lang w:val="en-NZ"/>
              </w:rPr>
            </w:pPr>
            <w:r w:rsidRPr="00BF089E">
              <w:t xml:space="preserve">This unit could be assessed in conjunction with any other units addressing the safety, </w:t>
            </w:r>
            <w:r w:rsidRPr="00BF089E">
              <w:t>quality, communication, materials handling, recording and reporting associated with performing electrical/electronic detail drafting or other units requiring the exercise of the skills and knowledge covered by this unit.</w:t>
            </w:r>
          </w:p>
        </w:tc>
      </w:tr>
      <w:tr w:rsidTr="00F95E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t>Assessors sho</w:t>
            </w:r>
            <w:r w:rsidRPr="00BF089E">
              <w:t>uld gather a range of evidence that is valid, sufficient, current and authentic. Evidence can be gathered through a variety of ways including direct observation, supervisor's reports, project work, samples and questioning. Questioning techniques should not</w:t>
            </w:r>
            <w:r w:rsidRPr="00BF089E">
              <w:t xml:space="preserve"> require language, literacy and numeracy skills beyond those required in this unit of competency. The candidate must have access to all tools, equipment, materials and documentation required. The candidate must be permitted to refer to any relevant workpla</w:t>
            </w:r>
            <w:r w:rsidRPr="00BF089E">
              <w:t>ce procedures, product and manufacturing specifications, codes, standards, manuals and reference materials.</w:t>
            </w:r>
          </w:p>
        </w:tc>
      </w:tr>
      <w:tr w:rsidTr="00F95E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p>
        </w:tc>
      </w:tr>
    </w:tbl>
    <w:p w:rsidR="00F95E69" w:rsidP="00BF089E">
      <w:pPr>
        <w:pStyle w:val="BodyText"/>
      </w:pPr>
    </w:p>
    <w:p w:rsidR="00F95E69" w:rsidP="00BF089E">
      <w:pPr>
        <w:pStyle w:val="BodyText"/>
      </w:pPr>
    </w:p>
    <w:p w:rsidR="00000000" w:rsidRPr="00BF089E" w:rsidP="00BF089E">
      <w:pPr>
        <w:pStyle w:val="Heading1"/>
      </w:pPr>
      <w:bookmarkStart w:id="11" w:name="O_252784"/>
      <w:bookmarkEnd w:id="11"/>
      <w:r w:rsidRPr="00BF089E">
        <w:t>Range Statement</w:t>
      </w:r>
    </w:p>
    <w:tbl>
      <w:tblPr>
        <w:tblW w:w="0" w:type="auto"/>
        <w:tblLayout w:type="fixed"/>
        <w:tblCellMar>
          <w:left w:w="62" w:type="dxa"/>
          <w:right w:w="62" w:type="dxa"/>
        </w:tblCellMar>
        <w:tblLook w:val="0000"/>
      </w:tblPr>
      <w:tblGrid>
        <w:gridCol w:w="3502"/>
        <w:gridCol w:w="5020"/>
      </w:tblGrid>
      <w:tr w:rsidTr="00F95E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RANGE STATEMENT</w:t>
            </w:r>
          </w:p>
        </w:tc>
      </w:tr>
      <w:tr w:rsidTr="00F95E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t>The range statement relates to the unit of competency as a whole. It allows for different work environments and situations that may affect performance. Bold italicised wording, if used in the performance criteria, is detailed below. Essential operating con</w:t>
            </w:r>
            <w:r w:rsidRPr="00BF089E">
              <w:t>ditions that may be present with training and assessment (depending on the work situation, needs of the candidate, accessibility of the item, and local industry and regional contexts) may also be included.</w:t>
            </w:r>
          </w:p>
        </w:tc>
      </w:tr>
      <w:tr w:rsidTr="00F95E6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Drawings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t>Include plans, schematics, layouts, cir</w:t>
            </w:r>
            <w:r w:rsidRPr="00BF089E">
              <w:t>cuit diagrams and charts</w:t>
            </w:r>
          </w:p>
        </w:tc>
      </w:tr>
    </w:tbl>
    <w:p w:rsidR="00F95E69" w:rsidP="00BF089E">
      <w:pPr>
        <w:pStyle w:val="BodyText"/>
      </w:pPr>
    </w:p>
    <w:p w:rsidR="00F95E69" w:rsidP="00BF089E">
      <w:pPr>
        <w:pStyle w:val="BodyText"/>
      </w:pPr>
    </w:p>
    <w:p w:rsidR="00000000" w:rsidRPr="00BF089E" w:rsidP="00BF089E">
      <w:pPr>
        <w:pStyle w:val="Heading1"/>
      </w:pPr>
      <w:bookmarkStart w:id="12" w:name="O_211172"/>
      <w:bookmarkEnd w:id="12"/>
      <w:r w:rsidRPr="00BF089E">
        <w:t>Unit Sector(s)</w:t>
      </w:r>
    </w:p>
    <w:tbl>
      <w:tblPr>
        <w:tblW w:w="0" w:type="auto"/>
        <w:tblLayout w:type="fixed"/>
        <w:tblCellMar>
          <w:left w:w="62" w:type="dxa"/>
          <w:right w:w="62" w:type="dxa"/>
        </w:tblCellMar>
        <w:tblLook w:val="0000"/>
      </w:tblPr>
      <w:tblGrid>
        <w:gridCol w:w="2646"/>
        <w:gridCol w:w="5876"/>
      </w:tblGrid>
      <w:tr w:rsidTr="00F95E69">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Unit sector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p>
        </w:tc>
      </w:tr>
    </w:tbl>
    <w:p w:rsidR="00F95E69" w:rsidP="00BF089E">
      <w:pPr>
        <w:pStyle w:val="BodyText"/>
      </w:pPr>
    </w:p>
    <w:p w:rsidR="00F95E69" w:rsidP="00BF089E">
      <w:pPr>
        <w:pStyle w:val="BodyText"/>
      </w:pPr>
    </w:p>
    <w:p w:rsidR="00000000" w:rsidRPr="00BF089E" w:rsidP="00BF089E">
      <w:pPr>
        <w:pStyle w:val="Heading1"/>
      </w:pPr>
      <w:bookmarkStart w:id="13" w:name="O_211169"/>
      <w:bookmarkEnd w:id="13"/>
      <w:r w:rsidRPr="00BF089E">
        <w:t>Co-requisite units</w:t>
      </w:r>
    </w:p>
    <w:tbl>
      <w:tblPr>
        <w:tblW w:w="0" w:type="auto"/>
        <w:tblLayout w:type="fixed"/>
        <w:tblCellMar>
          <w:left w:w="62" w:type="dxa"/>
          <w:right w:w="62" w:type="dxa"/>
        </w:tblCellMar>
        <w:tblLook w:val="0000"/>
      </w:tblPr>
      <w:tblGrid>
        <w:gridCol w:w="2633"/>
        <w:gridCol w:w="1365"/>
        <w:gridCol w:w="4524"/>
      </w:tblGrid>
      <w:tr w:rsidTr="00F95E69">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Co-requisite units</w:t>
            </w:r>
          </w:p>
        </w:tc>
        <w:tc>
          <w:tcPr>
            <w:tcW w:w="5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p>
        </w:tc>
      </w:tr>
      <w:tr w:rsidTr="00F95E69">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p>
        </w:tc>
      </w:tr>
      <w:tr w:rsidTr="00F95E69">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p>
        </w:tc>
      </w:tr>
    </w:tbl>
    <w:p w:rsidR="00F95E69" w:rsidP="00BF089E">
      <w:pPr>
        <w:pStyle w:val="BodyText"/>
      </w:pPr>
    </w:p>
    <w:p w:rsidR="00F95E69" w:rsidP="00BF089E">
      <w:pPr>
        <w:pStyle w:val="BodyText"/>
      </w:pPr>
    </w:p>
    <w:p w:rsidR="00000000" w:rsidRPr="00BF089E" w:rsidP="00BF089E">
      <w:pPr>
        <w:pStyle w:val="Heading1"/>
      </w:pPr>
      <w:bookmarkStart w:id="14" w:name="O_211171"/>
      <w:bookmarkEnd w:id="14"/>
      <w:r w:rsidRPr="00BF089E">
        <w:t>Competency field</w:t>
      </w:r>
    </w:p>
    <w:tbl>
      <w:tblPr>
        <w:tblW w:w="0" w:type="auto"/>
        <w:tblLayout w:type="fixed"/>
        <w:tblCellMar>
          <w:left w:w="62" w:type="dxa"/>
          <w:right w:w="62" w:type="dxa"/>
        </w:tblCellMar>
        <w:tblLook w:val="0000"/>
      </w:tblPr>
      <w:tblGrid>
        <w:gridCol w:w="2769"/>
        <w:gridCol w:w="5753"/>
      </w:tblGrid>
      <w:tr w:rsidTr="00F95E69">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9E">
            <w:pPr>
              <w:pStyle w:val="BodyText"/>
              <w:rPr>
                <w:lang w:val="en-NZ"/>
              </w:rPr>
            </w:pPr>
            <w:r w:rsidRPr="00BF089E">
              <w:rPr>
                <w:rStyle w:val="SpecialBold"/>
              </w:rPr>
              <w:t>Competency field</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9E" w:rsidP="00BF089E">
            <w:pPr>
              <w:pStyle w:val="BodyText"/>
            </w:pPr>
            <w:r w:rsidRPr="00BF089E">
              <w:t>Drawing, drafting and design</w:t>
            </w:r>
          </w:p>
        </w:tc>
      </w:tr>
    </w:tbl>
    <w:p w:rsidR="00F95E69" w:rsidP="00BF089E">
      <w:pPr>
        <w:pStyle w:val="BodyText"/>
      </w:pPr>
    </w:p>
    <w:p w:rsidR="00F95E69" w:rsidP="00BF089E">
      <w:pPr>
        <w:pStyle w:val="BodyText"/>
      </w:pPr>
    </w:p>
    <w:p w:rsidR="00000000" w:rsidRPr="00BF089E" w:rsidP="00BF089E"/>
    <w:sectPr w:rsidSect="00BF0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E69" w:rsidP="00F95E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69" w:rsidP="00BF0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5E69" w:rsidP="00BF08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5E69" w:rsidP="00BF08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E69" w:rsidP="00F95E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69" w:rsidP="00BF089E">
    <w:pPr>
      <w:pStyle w:val="Header"/>
      <w:framePr w:wrap="around"/>
    </w:pPr>
    <w:r>
      <w:fldChar w:fldCharType="begin"/>
    </w:r>
    <w:r>
      <w:instrText xml:space="preserve"> TITLE   \* MERGEFORMAT </w:instrText>
    </w:r>
    <w:r>
      <w:fldChar w:fldCharType="separate"/>
    </w:r>
    <w:r>
      <w:t>MEM09004B Perform electrical/electronic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5E69" w:rsidP="00BF08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90A4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7023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8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89E"/>
    <w:pPr>
      <w:spacing w:before="360" w:after="60"/>
      <w:outlineLvl w:val="0"/>
    </w:pPr>
    <w:rPr>
      <w:sz w:val="32"/>
    </w:rPr>
  </w:style>
  <w:style w:type="paragraph" w:styleId="Heading2">
    <w:name w:val="heading 2"/>
    <w:basedOn w:val="HeadingBase"/>
    <w:next w:val="BodyText"/>
    <w:link w:val="Heading2Char"/>
    <w:qFormat/>
    <w:rsid w:val="00BF089E"/>
    <w:pPr>
      <w:keepLines/>
      <w:spacing w:before="240" w:after="120"/>
      <w:outlineLvl w:val="1"/>
    </w:pPr>
    <w:rPr>
      <w:sz w:val="28"/>
      <w:szCs w:val="40"/>
    </w:rPr>
  </w:style>
  <w:style w:type="paragraph" w:styleId="Heading3">
    <w:name w:val="heading 3"/>
    <w:basedOn w:val="HeadingBase"/>
    <w:next w:val="BodyText"/>
    <w:link w:val="Heading3Char"/>
    <w:qFormat/>
    <w:rsid w:val="00BF089E"/>
    <w:pPr>
      <w:spacing w:before="180" w:after="120"/>
      <w:outlineLvl w:val="2"/>
    </w:pPr>
    <w:rPr>
      <w:spacing w:val="-10"/>
      <w:kern w:val="32"/>
    </w:rPr>
  </w:style>
  <w:style w:type="paragraph" w:styleId="Heading4">
    <w:name w:val="heading 4"/>
    <w:basedOn w:val="HeadingBase"/>
    <w:next w:val="BodyText"/>
    <w:link w:val="Heading4Char"/>
    <w:qFormat/>
    <w:rsid w:val="00BF089E"/>
    <w:pPr>
      <w:spacing w:before="160" w:after="120"/>
      <w:outlineLvl w:val="3"/>
    </w:pPr>
    <w:rPr>
      <w:sz w:val="22"/>
    </w:rPr>
  </w:style>
  <w:style w:type="paragraph" w:styleId="Heading5">
    <w:name w:val="heading 5"/>
    <w:basedOn w:val="HeadingBase"/>
    <w:next w:val="Normal"/>
    <w:link w:val="Heading5Char"/>
    <w:qFormat/>
    <w:rsid w:val="00BF089E"/>
    <w:pPr>
      <w:spacing w:before="80"/>
      <w:outlineLvl w:val="4"/>
    </w:pPr>
    <w:rPr>
      <w:color w:val="918585"/>
      <w:sz w:val="20"/>
    </w:rPr>
  </w:style>
  <w:style w:type="paragraph" w:styleId="Heading6">
    <w:name w:val="heading 6"/>
    <w:basedOn w:val="HeadingBase"/>
    <w:next w:val="Normal"/>
    <w:link w:val="Heading6Char"/>
    <w:qFormat/>
    <w:rsid w:val="00BF089E"/>
    <w:pPr>
      <w:spacing w:before="60"/>
      <w:outlineLvl w:val="5"/>
    </w:pPr>
    <w:rPr>
      <w:color w:val="918585"/>
      <w:sz w:val="20"/>
    </w:rPr>
  </w:style>
  <w:style w:type="paragraph" w:styleId="Heading7">
    <w:name w:val="heading 7"/>
    <w:basedOn w:val="Normal"/>
    <w:next w:val="Normal"/>
    <w:link w:val="Heading7Char"/>
    <w:qFormat/>
    <w:rsid w:val="00BF089E"/>
    <w:pPr>
      <w:ind w:left="720"/>
      <w:outlineLvl w:val="6"/>
    </w:pPr>
    <w:rPr>
      <w:i/>
    </w:rPr>
  </w:style>
  <w:style w:type="paragraph" w:styleId="Heading8">
    <w:name w:val="heading 8"/>
    <w:basedOn w:val="Normal"/>
    <w:next w:val="Normal"/>
    <w:link w:val="Heading8Char"/>
    <w:qFormat/>
    <w:rsid w:val="00BF089E"/>
    <w:pPr>
      <w:ind w:left="720"/>
      <w:outlineLvl w:val="7"/>
    </w:pPr>
    <w:rPr>
      <w:i/>
    </w:rPr>
  </w:style>
  <w:style w:type="paragraph" w:styleId="Heading9">
    <w:name w:val="heading 9"/>
    <w:basedOn w:val="Normal"/>
    <w:next w:val="Normal"/>
    <w:link w:val="Heading9Char"/>
    <w:qFormat/>
    <w:rsid w:val="00BF089E"/>
    <w:pPr>
      <w:ind w:left="720"/>
      <w:outlineLvl w:val="8"/>
    </w:pPr>
    <w:rPr>
      <w:i/>
    </w:rPr>
  </w:style>
  <w:style w:type="character" w:default="1" w:styleId="DefaultParagraphFont">
    <w:name w:val="Default Paragraph Font"/>
    <w:uiPriority w:val="1"/>
    <w:unhideWhenUsed/>
    <w:rsid w:val="00BF0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89E"/>
  </w:style>
  <w:style w:type="character" w:customStyle="1" w:styleId="Heading1Char">
    <w:name w:val="Heading 1 Char"/>
    <w:basedOn w:val="DefaultParagraphFont"/>
    <w:link w:val="Heading1"/>
    <w:rsid w:val="00BF089E"/>
    <w:rPr>
      <w:rFonts w:ascii="Times New Roman" w:eastAsia="Times New Roman" w:hAnsi="Times New Roman" w:cs="Times New Roman"/>
      <w:b/>
      <w:sz w:val="32"/>
      <w:szCs w:val="20"/>
      <w:lang w:eastAsia="en-US"/>
    </w:rPr>
  </w:style>
  <w:style w:type="paragraph" w:styleId="BodyText">
    <w:name w:val="Body Text"/>
    <w:basedOn w:val="Normal"/>
    <w:link w:val="BodyTextChar"/>
    <w:rsid w:val="00BF0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89E"/>
    <w:rPr>
      <w:rFonts w:ascii="Times New Roman" w:eastAsia="Times New Roman" w:hAnsi="Times New Roman" w:cs="Times New Roman"/>
      <w:sz w:val="24"/>
      <w:lang w:val="en-US" w:eastAsia="en-US"/>
    </w:rPr>
  </w:style>
  <w:style w:type="paragraph" w:styleId="Footer">
    <w:name w:val="footer"/>
    <w:basedOn w:val="Normal"/>
    <w:link w:val="FooterChar"/>
    <w:rsid w:val="00BF0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89E"/>
    <w:rPr>
      <w:rFonts w:ascii="Times New Roman" w:eastAsia="Times New Roman" w:hAnsi="Times New Roman" w:cs="Times New Roman"/>
      <w:sz w:val="16"/>
      <w:lang w:val="en-US" w:eastAsia="en-US"/>
    </w:rPr>
  </w:style>
  <w:style w:type="paragraph" w:styleId="List">
    <w:name w:val="List"/>
    <w:basedOn w:val="BodyText"/>
    <w:next w:val="BodyText"/>
    <w:rsid w:val="00BF089E"/>
    <w:pPr>
      <w:tabs>
        <w:tab w:val="left" w:pos="340"/>
      </w:tabs>
      <w:spacing w:before="60" w:after="60"/>
      <w:ind w:left="340" w:hanging="340"/>
    </w:pPr>
  </w:style>
  <w:style w:type="paragraph" w:styleId="ListBullet">
    <w:name w:val="List Bullet"/>
    <w:basedOn w:val="List"/>
    <w:rsid w:val="00BF089E"/>
    <w:pPr>
      <w:numPr>
        <w:numId w:val="12"/>
      </w:numPr>
      <w:tabs>
        <w:tab w:val="clear" w:pos="340"/>
      </w:tabs>
      <w:spacing w:before="40" w:after="40"/>
    </w:pPr>
  </w:style>
  <w:style w:type="character" w:customStyle="1" w:styleId="SpecialBold">
    <w:name w:val="Special Bold"/>
    <w:basedOn w:val="DefaultParagraphFont"/>
    <w:rsid w:val="00BF089E"/>
    <w:rPr>
      <w:b/>
      <w:spacing w:val="0"/>
    </w:rPr>
  </w:style>
  <w:style w:type="paragraph" w:styleId="Header">
    <w:name w:val="header"/>
    <w:basedOn w:val="Normal"/>
    <w:link w:val="HeaderChar"/>
    <w:rsid w:val="00BF0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8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089E"/>
    <w:pPr>
      <w:spacing w:before="240" w:after="120"/>
      <w:outlineLvl w:val="0"/>
    </w:pPr>
    <w:rPr>
      <w:rFonts w:ascii="Times New Roman" w:hAnsi="Times New Roman"/>
      <w:b/>
      <w:sz w:val="28"/>
    </w:rPr>
  </w:style>
  <w:style w:type="paragraph" w:customStyle="1" w:styleId="AllowPageBreak">
    <w:name w:val="AllowPageBreak"/>
    <w:rsid w:val="00BF08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089E"/>
    <w:pPr>
      <w:tabs>
        <w:tab w:val="left" w:pos="680"/>
      </w:tabs>
      <w:spacing w:before="60" w:after="60"/>
      <w:ind w:left="680" w:hanging="340"/>
    </w:pPr>
  </w:style>
  <w:style w:type="character" w:customStyle="1" w:styleId="Heading2Char">
    <w:name w:val="Heading 2 Char"/>
    <w:basedOn w:val="DefaultParagraphFont"/>
    <w:link w:val="Heading2"/>
    <w:rsid w:val="00BF0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8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8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89E"/>
    <w:rPr>
      <w:rFonts w:ascii="Courier New" w:eastAsia="Times New Roman" w:hAnsi="Courier New" w:cs="Times New Roman"/>
      <w:i/>
      <w:szCs w:val="20"/>
      <w:lang w:val="en-US" w:eastAsia="en-US"/>
    </w:rPr>
  </w:style>
  <w:style w:type="paragraph" w:customStyle="1" w:styleId="HeadingBase">
    <w:name w:val="Heading Base"/>
    <w:rsid w:val="00BF0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89E"/>
    <w:pPr>
      <w:tabs>
        <w:tab w:val="right" w:leader="dot" w:pos="9072"/>
      </w:tabs>
      <w:ind w:left="567"/>
    </w:pPr>
    <w:rPr>
      <w:szCs w:val="22"/>
    </w:rPr>
  </w:style>
  <w:style w:type="paragraph" w:customStyle="1" w:styleId="TOCBase">
    <w:name w:val="TOC Base"/>
    <w:rsid w:val="00BF0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89E"/>
    <w:pPr>
      <w:tabs>
        <w:tab w:val="right" w:leader="dot" w:pos="9072"/>
      </w:tabs>
      <w:spacing w:before="40" w:after="40"/>
      <w:ind w:left="284"/>
    </w:pPr>
    <w:rPr>
      <w:rFonts w:ascii="Times New Roman" w:hAnsi="Times New Roman"/>
    </w:rPr>
  </w:style>
  <w:style w:type="paragraph" w:styleId="TOC1">
    <w:name w:val="toc 1"/>
    <w:basedOn w:val="TOCBase"/>
    <w:next w:val="Normal"/>
    <w:rsid w:val="00BF08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89E"/>
    <w:pPr>
      <w:spacing w:before="5040"/>
      <w:jc w:val="center"/>
    </w:pPr>
    <w:rPr>
      <w:sz w:val="48"/>
      <w:szCs w:val="72"/>
      <w:lang w:val="en-US"/>
    </w:rPr>
  </w:style>
  <w:style w:type="character" w:customStyle="1" w:styleId="TitleChar">
    <w:name w:val="Title Char"/>
    <w:basedOn w:val="DefaultParagraphFont"/>
    <w:link w:val="Title"/>
    <w:rsid w:val="00BF0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89E"/>
    <w:pPr>
      <w:tabs>
        <w:tab w:val="left" w:pos="3600"/>
        <w:tab w:val="left" w:pos="3958"/>
      </w:tabs>
    </w:pPr>
  </w:style>
  <w:style w:type="paragraph" w:customStyle="1" w:styleId="Note">
    <w:name w:val="Note"/>
    <w:basedOn w:val="BodyText"/>
    <w:rsid w:val="00BF0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89E"/>
    <w:pPr>
      <w:framePr w:wrap="auto" w:hAnchor="text" w:y="6049"/>
    </w:pPr>
    <w:rPr>
      <w:color w:val="000000"/>
      <w:sz w:val="40"/>
    </w:rPr>
  </w:style>
  <w:style w:type="paragraph" w:customStyle="1" w:styleId="TOCTitle">
    <w:name w:val="TOCTitle"/>
    <w:basedOn w:val="Heading1"/>
    <w:rsid w:val="00BF089E"/>
    <w:pPr>
      <w:spacing w:after="240"/>
      <w:jc w:val="center"/>
      <w:outlineLvl w:val="9"/>
    </w:pPr>
    <w:rPr>
      <w:caps/>
    </w:rPr>
  </w:style>
  <w:style w:type="paragraph" w:customStyle="1" w:styleId="Version">
    <w:name w:val="Version"/>
    <w:rsid w:val="00BF08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89E"/>
    <w:pPr>
      <w:numPr>
        <w:numId w:val="13"/>
      </w:numPr>
      <w:tabs>
        <w:tab w:val="clear" w:pos="680"/>
      </w:tabs>
    </w:pPr>
  </w:style>
  <w:style w:type="paragraph" w:styleId="Index1">
    <w:name w:val="index 1"/>
    <w:basedOn w:val="Normal"/>
    <w:next w:val="Normal"/>
    <w:semiHidden/>
    <w:rsid w:val="00BF089E"/>
    <w:pPr>
      <w:keepNext w:val="0"/>
      <w:tabs>
        <w:tab w:val="right" w:pos="4176"/>
      </w:tabs>
      <w:ind w:left="198" w:hanging="198"/>
    </w:pPr>
    <w:rPr>
      <w:rFonts w:ascii="Garamond" w:hAnsi="Garamond"/>
    </w:rPr>
  </w:style>
  <w:style w:type="paragraph" w:styleId="IndexHeading">
    <w:name w:val="index heading"/>
    <w:basedOn w:val="Normal"/>
    <w:next w:val="Index1"/>
    <w:semiHidden/>
    <w:rsid w:val="00BF089E"/>
    <w:pPr>
      <w:spacing w:before="120" w:after="120"/>
    </w:pPr>
    <w:rPr>
      <w:rFonts w:ascii="Arial" w:hAnsi="Arial"/>
      <w:b/>
      <w:color w:val="918585"/>
      <w:sz w:val="24"/>
    </w:rPr>
  </w:style>
  <w:style w:type="paragraph" w:customStyle="1" w:styleId="Chapter">
    <w:name w:val="Chapter"/>
    <w:basedOn w:val="Normal"/>
    <w:rsid w:val="00BF089E"/>
    <w:pPr>
      <w:spacing w:before="240"/>
    </w:pPr>
    <w:rPr>
      <w:rFonts w:ascii="Times New Roman" w:hAnsi="Times New Roman"/>
      <w:smallCaps/>
      <w:spacing w:val="80"/>
      <w:sz w:val="28"/>
    </w:rPr>
  </w:style>
  <w:style w:type="paragraph" w:customStyle="1" w:styleId="InChapter">
    <w:name w:val="InChapter"/>
    <w:basedOn w:val="Heading3"/>
    <w:rsid w:val="00BF089E"/>
    <w:pPr>
      <w:spacing w:after="240"/>
      <w:outlineLvl w:val="9"/>
    </w:pPr>
    <w:rPr>
      <w:noProof/>
    </w:rPr>
  </w:style>
  <w:style w:type="paragraph" w:styleId="Index2">
    <w:name w:val="index 2"/>
    <w:basedOn w:val="Normal"/>
    <w:next w:val="Normal"/>
    <w:semiHidden/>
    <w:rsid w:val="00BF089E"/>
    <w:pPr>
      <w:tabs>
        <w:tab w:val="right" w:pos="4176"/>
      </w:tabs>
      <w:ind w:left="568" w:hanging="284"/>
    </w:pPr>
    <w:rPr>
      <w:rFonts w:ascii="Garamond" w:hAnsi="Garamond"/>
    </w:rPr>
  </w:style>
  <w:style w:type="paragraph" w:customStyle="1" w:styleId="Byline">
    <w:name w:val="Byline"/>
    <w:rsid w:val="00BF0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89E"/>
    <w:pPr>
      <w:tabs>
        <w:tab w:val="clear" w:pos="3600"/>
        <w:tab w:val="clear" w:pos="3958"/>
      </w:tabs>
      <w:jc w:val="right"/>
    </w:pPr>
  </w:style>
  <w:style w:type="character" w:styleId="Emphasis">
    <w:name w:val="Emphasis"/>
    <w:basedOn w:val="DefaultParagraphFont"/>
    <w:qFormat/>
    <w:rsid w:val="00BF089E"/>
    <w:rPr>
      <w:i/>
    </w:rPr>
  </w:style>
  <w:style w:type="paragraph" w:styleId="Caption">
    <w:name w:val="caption"/>
    <w:basedOn w:val="BodyText"/>
    <w:next w:val="Normal"/>
    <w:qFormat/>
    <w:rsid w:val="00BF089E"/>
    <w:pPr>
      <w:framePr w:w="2268" w:hSpace="181" w:vSpace="181" w:wrap="around" w:vAnchor="text" w:hAnchor="page" w:x="1135" w:y="285" w:anchorLock="1"/>
    </w:pPr>
    <w:rPr>
      <w:i/>
    </w:rPr>
  </w:style>
  <w:style w:type="paragraph" w:customStyle="1" w:styleId="MiniTOCTitle">
    <w:name w:val="MiniTOCTitle"/>
    <w:basedOn w:val="Heading4"/>
    <w:rsid w:val="00BF089E"/>
    <w:pPr>
      <w:spacing w:before="240"/>
      <w:outlineLvl w:val="9"/>
    </w:pPr>
    <w:rPr>
      <w:noProof/>
      <w:sz w:val="24"/>
    </w:rPr>
  </w:style>
  <w:style w:type="paragraph" w:customStyle="1" w:styleId="MiniTOCItem">
    <w:name w:val="MiniTOCItem"/>
    <w:basedOn w:val="ListBullet"/>
    <w:rsid w:val="00BF089E"/>
    <w:pPr>
      <w:numPr>
        <w:numId w:val="0"/>
      </w:numPr>
      <w:tabs>
        <w:tab w:val="right" w:leader="dot" w:pos="6521"/>
      </w:tabs>
      <w:spacing w:before="0" w:after="0"/>
    </w:pPr>
  </w:style>
  <w:style w:type="paragraph" w:customStyle="1" w:styleId="TOFTitle">
    <w:name w:val="TOFTitle"/>
    <w:basedOn w:val="TOCTitle"/>
    <w:rsid w:val="00BF089E"/>
  </w:style>
  <w:style w:type="paragraph" w:styleId="TableofFigures">
    <w:name w:val="table of figures"/>
    <w:basedOn w:val="Normal"/>
    <w:next w:val="Normal"/>
    <w:semiHidden/>
    <w:rsid w:val="00BF089E"/>
    <w:pPr>
      <w:tabs>
        <w:tab w:val="right" w:leader="dot" w:pos="9072"/>
      </w:tabs>
      <w:ind w:left="970" w:hanging="403"/>
    </w:pPr>
    <w:rPr>
      <w:rFonts w:ascii="Times New Roman" w:hAnsi="Times New Roman"/>
      <w:b/>
    </w:rPr>
  </w:style>
  <w:style w:type="paragraph" w:styleId="ListNumber">
    <w:name w:val="List Number"/>
    <w:basedOn w:val="List"/>
    <w:rsid w:val="00BF089E"/>
    <w:pPr>
      <w:numPr>
        <w:numId w:val="10"/>
      </w:numPr>
    </w:pPr>
  </w:style>
  <w:style w:type="character" w:customStyle="1" w:styleId="WingdingSymbols">
    <w:name w:val="Wingding Symbols"/>
    <w:rsid w:val="00BF089E"/>
    <w:rPr>
      <w:rFonts w:ascii="Wingdings" w:hAnsi="Wingdings"/>
    </w:rPr>
  </w:style>
  <w:style w:type="paragraph" w:customStyle="1" w:styleId="TableHeading">
    <w:name w:val="Table Heading"/>
    <w:basedOn w:val="HeadingBase"/>
    <w:rsid w:val="00BF089E"/>
    <w:pPr>
      <w:keepLines/>
      <w:pBdr>
        <w:bottom w:val="single" w:sz="6" w:space="1" w:color="918585"/>
      </w:pBdr>
      <w:spacing w:before="240"/>
    </w:pPr>
  </w:style>
  <w:style w:type="character" w:customStyle="1" w:styleId="HotSpot">
    <w:name w:val="HotSpot"/>
    <w:rsid w:val="00BF089E"/>
    <w:rPr>
      <w:color w:val="0033CC"/>
      <w:u w:val="none"/>
    </w:rPr>
  </w:style>
  <w:style w:type="paragraph" w:customStyle="1" w:styleId="BodyTextRight">
    <w:name w:val="Body Text Right"/>
    <w:basedOn w:val="BodyText"/>
    <w:rsid w:val="00BF089E"/>
    <w:pPr>
      <w:spacing w:before="0" w:after="0"/>
      <w:jc w:val="right"/>
    </w:pPr>
  </w:style>
  <w:style w:type="paragraph" w:styleId="Index3">
    <w:name w:val="index 3"/>
    <w:basedOn w:val="ListNumber2"/>
    <w:next w:val="Normal"/>
    <w:semiHidden/>
    <w:rsid w:val="00BF089E"/>
    <w:pPr>
      <w:numPr>
        <w:numId w:val="0"/>
      </w:numPr>
      <w:tabs>
        <w:tab w:val="right" w:leader="dot" w:pos="4176"/>
      </w:tabs>
    </w:pPr>
  </w:style>
  <w:style w:type="paragraph" w:styleId="ListNumber2">
    <w:name w:val="List Number 2"/>
    <w:basedOn w:val="List2"/>
    <w:rsid w:val="00BF089E"/>
    <w:pPr>
      <w:numPr>
        <w:numId w:val="9"/>
      </w:numPr>
      <w:tabs>
        <w:tab w:val="clear" w:pos="1060"/>
      </w:tabs>
    </w:pPr>
  </w:style>
  <w:style w:type="paragraph" w:customStyle="1" w:styleId="MarginNote">
    <w:name w:val="Margin Note"/>
    <w:basedOn w:val="BodyText"/>
    <w:rsid w:val="00BF0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8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89E"/>
    <w:rPr>
      <w:sz w:val="32"/>
    </w:rPr>
  </w:style>
  <w:style w:type="paragraph" w:customStyle="1" w:styleId="HeadingProcedure">
    <w:name w:val="Heading Procedure"/>
    <w:basedOn w:val="HeadingBase"/>
    <w:next w:val="Normal"/>
    <w:rsid w:val="00BF089E"/>
    <w:pPr>
      <w:tabs>
        <w:tab w:val="left" w:pos="0"/>
      </w:tabs>
      <w:spacing w:before="120" w:after="60"/>
    </w:pPr>
    <w:rPr>
      <w:i/>
      <w:color w:val="918585"/>
      <w:sz w:val="22"/>
    </w:rPr>
  </w:style>
  <w:style w:type="paragraph" w:customStyle="1" w:styleId="TableBodyText">
    <w:name w:val="Table Body Text"/>
    <w:basedOn w:val="BodyText"/>
    <w:rsid w:val="00BF089E"/>
    <w:pPr>
      <w:spacing w:before="60" w:after="60"/>
    </w:pPr>
  </w:style>
  <w:style w:type="paragraph" w:styleId="ListContinue">
    <w:name w:val="List Continue"/>
    <w:basedOn w:val="List"/>
    <w:rsid w:val="00BF089E"/>
    <w:pPr>
      <w:ind w:firstLine="0"/>
    </w:pPr>
  </w:style>
  <w:style w:type="paragraph" w:customStyle="1" w:styleId="ListNote">
    <w:name w:val="List Note"/>
    <w:basedOn w:val="List"/>
    <w:rsid w:val="00BF089E"/>
    <w:pPr>
      <w:pBdr>
        <w:top w:val="single" w:sz="6" w:space="2" w:color="918585"/>
        <w:bottom w:val="single" w:sz="6" w:space="2" w:color="918585"/>
      </w:pBdr>
      <w:tabs>
        <w:tab w:val="left" w:pos="1021"/>
      </w:tabs>
      <w:ind w:firstLine="0"/>
    </w:pPr>
  </w:style>
  <w:style w:type="paragraph" w:customStyle="1" w:styleId="Warning">
    <w:name w:val="Warning"/>
    <w:basedOn w:val="BodyText"/>
    <w:rsid w:val="00BF089E"/>
    <w:pPr>
      <w:shd w:val="clear" w:color="auto" w:fill="D9D9D9"/>
      <w:tabs>
        <w:tab w:val="left" w:pos="992"/>
      </w:tabs>
      <w:ind w:left="119" w:right="119"/>
    </w:pPr>
    <w:rPr>
      <w:sz w:val="20"/>
    </w:rPr>
  </w:style>
  <w:style w:type="paragraph" w:customStyle="1" w:styleId="MarginIcons">
    <w:name w:val="Margin Icons"/>
    <w:basedOn w:val="BodyText"/>
    <w:rsid w:val="00BF0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89E"/>
    <w:rPr>
      <w:rFonts w:ascii="Courier New" w:hAnsi="Courier New"/>
    </w:rPr>
  </w:style>
  <w:style w:type="paragraph" w:customStyle="1" w:styleId="NoteBullet">
    <w:name w:val="Note Bullet"/>
    <w:basedOn w:val="Note"/>
    <w:rsid w:val="00BF089E"/>
    <w:pPr>
      <w:tabs>
        <w:tab w:val="clear" w:pos="680"/>
      </w:tabs>
      <w:spacing w:before="60" w:after="60"/>
    </w:pPr>
  </w:style>
  <w:style w:type="paragraph" w:customStyle="1" w:styleId="SubHeading2">
    <w:name w:val="SubHeading2"/>
    <w:basedOn w:val="HeadingBase"/>
    <w:rsid w:val="00BF089E"/>
    <w:pPr>
      <w:spacing w:before="240" w:after="60"/>
    </w:pPr>
    <w:rPr>
      <w:sz w:val="20"/>
    </w:rPr>
  </w:style>
  <w:style w:type="paragraph" w:customStyle="1" w:styleId="SubHeading1">
    <w:name w:val="SubHeading1"/>
    <w:basedOn w:val="HeadingBase"/>
    <w:rsid w:val="00BF089E"/>
    <w:pPr>
      <w:spacing w:before="240" w:after="60"/>
    </w:pPr>
    <w:rPr>
      <w:color w:val="918585"/>
      <w:sz w:val="22"/>
    </w:rPr>
  </w:style>
  <w:style w:type="paragraph" w:customStyle="1" w:styleId="SideHeading">
    <w:name w:val="Side Heading"/>
    <w:basedOn w:val="HeadingBase"/>
    <w:rsid w:val="00BF0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89E"/>
    <w:pPr>
      <w:tabs>
        <w:tab w:val="num" w:pos="360"/>
      </w:tabs>
    </w:pPr>
  </w:style>
  <w:style w:type="paragraph" w:styleId="PlainText">
    <w:name w:val="Plain Text"/>
    <w:basedOn w:val="Normal"/>
    <w:link w:val="PlainTextChar"/>
    <w:rsid w:val="00BF089E"/>
    <w:rPr>
      <w:sz w:val="20"/>
    </w:rPr>
  </w:style>
  <w:style w:type="character" w:customStyle="1" w:styleId="PlainTextChar">
    <w:name w:val="Plain Text Char"/>
    <w:basedOn w:val="DefaultParagraphFont"/>
    <w:link w:val="PlainText"/>
    <w:rsid w:val="00BF08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089E"/>
    <w:rPr>
      <w:b/>
      <w:smallCaps/>
    </w:rPr>
  </w:style>
  <w:style w:type="paragraph" w:customStyle="1" w:styleId="TableListNumber">
    <w:name w:val="Table List Number"/>
    <w:basedOn w:val="ListNumber"/>
    <w:rsid w:val="00BF089E"/>
    <w:pPr>
      <w:numPr>
        <w:numId w:val="0"/>
      </w:numPr>
    </w:pPr>
  </w:style>
  <w:style w:type="paragraph" w:styleId="TOC4">
    <w:name w:val="toc 4"/>
    <w:basedOn w:val="TOCBase"/>
    <w:next w:val="Normal"/>
    <w:semiHidden/>
    <w:rsid w:val="00BF089E"/>
    <w:pPr>
      <w:tabs>
        <w:tab w:val="right" w:leader="dot" w:pos="9071"/>
      </w:tabs>
      <w:ind w:left="1701"/>
    </w:pPr>
  </w:style>
  <w:style w:type="paragraph" w:customStyle="1" w:styleId="ListAlpha">
    <w:name w:val="List Alpha"/>
    <w:basedOn w:val="List"/>
    <w:rsid w:val="00BF089E"/>
    <w:pPr>
      <w:numPr>
        <w:numId w:val="8"/>
      </w:numPr>
    </w:pPr>
  </w:style>
  <w:style w:type="paragraph" w:customStyle="1" w:styleId="ListAlpha2">
    <w:name w:val="List Alpha 2"/>
    <w:basedOn w:val="List2"/>
    <w:rsid w:val="00BF089E"/>
    <w:pPr>
      <w:numPr>
        <w:numId w:val="7"/>
      </w:numPr>
    </w:pPr>
  </w:style>
  <w:style w:type="paragraph" w:styleId="List3">
    <w:name w:val="List 3"/>
    <w:basedOn w:val="BodyText"/>
    <w:rsid w:val="00BF089E"/>
    <w:pPr>
      <w:tabs>
        <w:tab w:val="left" w:pos="1021"/>
      </w:tabs>
      <w:spacing w:before="60" w:after="60"/>
      <w:ind w:left="1020" w:hanging="340"/>
    </w:pPr>
  </w:style>
  <w:style w:type="paragraph" w:styleId="List4">
    <w:name w:val="List 4"/>
    <w:basedOn w:val="BodyText"/>
    <w:rsid w:val="00BF089E"/>
    <w:pPr>
      <w:tabs>
        <w:tab w:val="left" w:pos="1361"/>
      </w:tabs>
      <w:spacing w:before="60" w:after="60"/>
      <w:ind w:left="1361" w:hanging="340"/>
    </w:pPr>
  </w:style>
  <w:style w:type="paragraph" w:styleId="List5">
    <w:name w:val="List 5"/>
    <w:basedOn w:val="BodyText"/>
    <w:rsid w:val="00BF089E"/>
    <w:pPr>
      <w:tabs>
        <w:tab w:val="left" w:pos="1701"/>
      </w:tabs>
      <w:spacing w:before="60" w:after="60"/>
      <w:ind w:left="1701" w:hanging="340"/>
    </w:pPr>
  </w:style>
  <w:style w:type="paragraph" w:styleId="ListBullet3">
    <w:name w:val="List Bullet 3"/>
    <w:basedOn w:val="List3"/>
    <w:rsid w:val="00BF089E"/>
    <w:pPr>
      <w:numPr>
        <w:numId w:val="14"/>
      </w:numPr>
      <w:tabs>
        <w:tab w:val="clear" w:pos="1021"/>
      </w:tabs>
      <w:ind w:left="1037" w:hanging="357"/>
    </w:pPr>
  </w:style>
  <w:style w:type="paragraph" w:styleId="ListBullet4">
    <w:name w:val="List Bullet 4"/>
    <w:basedOn w:val="List4"/>
    <w:rsid w:val="00BF089E"/>
    <w:pPr>
      <w:numPr>
        <w:numId w:val="2"/>
      </w:numPr>
    </w:pPr>
  </w:style>
  <w:style w:type="paragraph" w:styleId="ListBullet5">
    <w:name w:val="List Bullet 5"/>
    <w:basedOn w:val="List5"/>
    <w:rsid w:val="00BF089E"/>
    <w:pPr>
      <w:numPr>
        <w:numId w:val="3"/>
      </w:numPr>
    </w:pPr>
  </w:style>
  <w:style w:type="paragraph" w:styleId="ListContinue2">
    <w:name w:val="List Continue 2"/>
    <w:basedOn w:val="List2"/>
    <w:rsid w:val="00BF089E"/>
    <w:pPr>
      <w:ind w:firstLine="0"/>
    </w:pPr>
  </w:style>
  <w:style w:type="paragraph" w:styleId="ListContinue3">
    <w:name w:val="List Continue 3"/>
    <w:basedOn w:val="List3"/>
    <w:rsid w:val="00BF089E"/>
    <w:pPr>
      <w:ind w:left="1021" w:firstLine="0"/>
    </w:pPr>
  </w:style>
  <w:style w:type="paragraph" w:styleId="ListContinue4">
    <w:name w:val="List Continue 4"/>
    <w:basedOn w:val="List4"/>
    <w:rsid w:val="00BF089E"/>
    <w:pPr>
      <w:ind w:firstLine="0"/>
    </w:pPr>
  </w:style>
  <w:style w:type="paragraph" w:styleId="ListContinue5">
    <w:name w:val="List Continue 5"/>
    <w:basedOn w:val="List5"/>
    <w:rsid w:val="00BF089E"/>
    <w:pPr>
      <w:ind w:firstLine="0"/>
    </w:pPr>
  </w:style>
  <w:style w:type="paragraph" w:styleId="ListNumber3">
    <w:name w:val="List Number 3"/>
    <w:basedOn w:val="List3"/>
    <w:rsid w:val="00BF089E"/>
    <w:pPr>
      <w:numPr>
        <w:numId w:val="4"/>
      </w:numPr>
    </w:pPr>
  </w:style>
  <w:style w:type="paragraph" w:styleId="ListNumber4">
    <w:name w:val="List Number 4"/>
    <w:basedOn w:val="List4"/>
    <w:rsid w:val="00BF089E"/>
    <w:pPr>
      <w:numPr>
        <w:numId w:val="5"/>
      </w:numPr>
    </w:pPr>
  </w:style>
  <w:style w:type="paragraph" w:styleId="ListNumber5">
    <w:name w:val="List Number 5"/>
    <w:basedOn w:val="List5"/>
    <w:rsid w:val="00BF089E"/>
    <w:pPr>
      <w:numPr>
        <w:numId w:val="6"/>
      </w:numPr>
    </w:pPr>
  </w:style>
  <w:style w:type="paragraph" w:styleId="BlockText">
    <w:name w:val="Block Text"/>
    <w:basedOn w:val="Normal"/>
    <w:rsid w:val="00BF089E"/>
    <w:pPr>
      <w:spacing w:after="120"/>
      <w:ind w:left="1440" w:right="1440"/>
    </w:pPr>
  </w:style>
  <w:style w:type="character" w:customStyle="1" w:styleId="Subscript">
    <w:name w:val="Subscript"/>
    <w:basedOn w:val="DefaultParagraphFont"/>
    <w:rsid w:val="00BF089E"/>
    <w:rPr>
      <w:sz w:val="16"/>
      <w:vertAlign w:val="subscript"/>
    </w:rPr>
  </w:style>
  <w:style w:type="character" w:customStyle="1" w:styleId="Superscript">
    <w:name w:val="Superscript"/>
    <w:basedOn w:val="DefaultParagraphFont"/>
    <w:rsid w:val="00BF089E"/>
    <w:rPr>
      <w:sz w:val="16"/>
      <w:vertAlign w:val="superscript"/>
    </w:rPr>
  </w:style>
  <w:style w:type="character" w:customStyle="1" w:styleId="Symbols">
    <w:name w:val="Symbols"/>
    <w:basedOn w:val="DefaultParagraphFont"/>
    <w:rsid w:val="00BF089E"/>
    <w:rPr>
      <w:rFonts w:ascii="Symbol" w:hAnsi="Symbol"/>
    </w:rPr>
  </w:style>
  <w:style w:type="character" w:customStyle="1" w:styleId="MenuOptions">
    <w:name w:val="Menu Options"/>
    <w:basedOn w:val="DefaultParagraphFont"/>
    <w:rsid w:val="00BF089E"/>
    <w:rPr>
      <w:rFonts w:ascii="Arial Narrow" w:hAnsi="Arial Narrow"/>
      <w:smallCaps/>
    </w:rPr>
  </w:style>
  <w:style w:type="character" w:customStyle="1" w:styleId="Buttons">
    <w:name w:val="Buttons"/>
    <w:basedOn w:val="DefaultParagraphFont"/>
    <w:rsid w:val="00BF089E"/>
    <w:rPr>
      <w:b/>
    </w:rPr>
  </w:style>
  <w:style w:type="character" w:customStyle="1" w:styleId="Underlined">
    <w:name w:val="Underlined"/>
    <w:basedOn w:val="DefaultParagraphFont"/>
    <w:rsid w:val="00BF089E"/>
    <w:rPr>
      <w:u w:val="single"/>
    </w:rPr>
  </w:style>
  <w:style w:type="paragraph" w:customStyle="1" w:styleId="TableBodyTextRight">
    <w:name w:val="Table Body Text Right"/>
    <w:basedOn w:val="TableBodyText"/>
    <w:rsid w:val="00BF089E"/>
    <w:pPr>
      <w:widowControl w:val="0"/>
      <w:autoSpaceDE w:val="0"/>
      <w:autoSpaceDN w:val="0"/>
      <w:adjustRightInd w:val="0"/>
      <w:jc w:val="right"/>
    </w:pPr>
    <w:rPr>
      <w:rFonts w:cs="Arial"/>
      <w:szCs w:val="18"/>
    </w:rPr>
  </w:style>
  <w:style w:type="paragraph" w:customStyle="1" w:styleId="CopyrightText">
    <w:name w:val="Copyright Text"/>
    <w:basedOn w:val="BodyText"/>
    <w:rsid w:val="00BF089E"/>
    <w:rPr>
      <w:sz w:val="18"/>
    </w:rPr>
  </w:style>
  <w:style w:type="paragraph" w:customStyle="1" w:styleId="BodySmallRight">
    <w:name w:val="Body Small Right"/>
    <w:basedOn w:val="BodyTextRight"/>
    <w:rsid w:val="00BF089E"/>
    <w:rPr>
      <w:sz w:val="18"/>
      <w:szCs w:val="18"/>
    </w:rPr>
  </w:style>
  <w:style w:type="paragraph" w:customStyle="1" w:styleId="MarginEdition">
    <w:name w:val="Margin Edition"/>
    <w:basedOn w:val="MarginNote"/>
    <w:rsid w:val="00BF089E"/>
    <w:pPr>
      <w:spacing w:before="0" w:after="0"/>
    </w:pPr>
    <w:rPr>
      <w:rFonts w:ascii="Times New Roman" w:hAnsi="Times New Roman"/>
      <w:color w:val="999999"/>
    </w:rPr>
  </w:style>
  <w:style w:type="paragraph" w:customStyle="1" w:styleId="Spacer">
    <w:name w:val="Spacer"/>
    <w:basedOn w:val="Normal"/>
    <w:rsid w:val="00BF089E"/>
    <w:rPr>
      <w:sz w:val="2"/>
      <w:szCs w:val="2"/>
    </w:rPr>
  </w:style>
  <w:style w:type="character" w:customStyle="1" w:styleId="Small">
    <w:name w:val="Small"/>
    <w:basedOn w:val="DefaultParagraphFont"/>
    <w:rsid w:val="00BF089E"/>
    <w:rPr>
      <w:sz w:val="16"/>
    </w:rPr>
  </w:style>
  <w:style w:type="paragraph" w:customStyle="1" w:styleId="WideTable">
    <w:name w:val="Wide Table"/>
    <w:basedOn w:val="Normal"/>
    <w:rsid w:val="00BF089E"/>
    <w:pPr>
      <w:ind w:left="-1418"/>
    </w:pPr>
    <w:rPr>
      <w:sz w:val="2"/>
      <w:szCs w:val="2"/>
    </w:rPr>
  </w:style>
  <w:style w:type="character" w:styleId="PageNumber">
    <w:name w:val="page number"/>
    <w:basedOn w:val="DefaultParagraphFont"/>
    <w:rsid w:val="00BF089E"/>
  </w:style>
  <w:style w:type="paragraph" w:styleId="Quote">
    <w:name w:val="Quote"/>
    <w:basedOn w:val="Heading1"/>
    <w:link w:val="QuoteChar"/>
    <w:qFormat/>
    <w:rsid w:val="00BF089E"/>
    <w:rPr>
      <w:b w:val="0"/>
      <w:sz w:val="72"/>
      <w:szCs w:val="72"/>
      <w:lang w:val="en-NZ"/>
    </w:rPr>
  </w:style>
  <w:style w:type="character" w:customStyle="1" w:styleId="QuoteChar">
    <w:name w:val="Quote Char"/>
    <w:basedOn w:val="DefaultParagraphFont"/>
    <w:link w:val="Quote"/>
    <w:rsid w:val="00BF0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89E"/>
    <w:pPr>
      <w:pageBreakBefore/>
    </w:pPr>
  </w:style>
  <w:style w:type="paragraph" w:customStyle="1" w:styleId="Border">
    <w:name w:val="Border"/>
    <w:basedOn w:val="Normal"/>
    <w:qFormat/>
    <w:rsid w:val="00BF0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89E"/>
    <w:rPr>
      <w:b/>
      <w:bCs/>
      <w:i/>
      <w:iCs/>
      <w:color w:val="auto"/>
    </w:rPr>
  </w:style>
  <w:style w:type="paragraph" w:styleId="IntenseQuote">
    <w:name w:val="Intense Quote"/>
    <w:basedOn w:val="Normal"/>
    <w:next w:val="Normal"/>
    <w:link w:val="IntenseQuoteChar"/>
    <w:uiPriority w:val="30"/>
    <w:qFormat/>
    <w:rsid w:val="00BF0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8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089E"/>
    <w:rPr>
      <w:smallCaps/>
      <w:color w:val="auto"/>
      <w:u w:val="single"/>
    </w:rPr>
  </w:style>
  <w:style w:type="character" w:styleId="IntenseReference">
    <w:name w:val="Intense Reference"/>
    <w:basedOn w:val="DefaultParagraphFont"/>
    <w:uiPriority w:val="32"/>
    <w:qFormat/>
    <w:rsid w:val="00BF089E"/>
    <w:rPr>
      <w:b/>
      <w:bCs/>
      <w:smallCaps/>
      <w:color w:val="auto"/>
      <w:spacing w:val="5"/>
      <w:u w:val="single"/>
    </w:rPr>
  </w:style>
  <w:style w:type="paragraph" w:customStyle="1" w:styleId="2ColumnHeading">
    <w:name w:val="2Column Heading"/>
    <w:basedOn w:val="BodyText"/>
    <w:qFormat/>
    <w:rsid w:val="00BF089E"/>
    <w:pPr>
      <w:spacing w:after="60"/>
      <w:ind w:left="-2268"/>
    </w:pPr>
    <w:rPr>
      <w:b/>
    </w:rPr>
  </w:style>
  <w:style w:type="paragraph" w:customStyle="1" w:styleId="Heading1TOC">
    <w:name w:val="Heading1 TOC"/>
    <w:basedOn w:val="Normal"/>
    <w:qFormat/>
    <w:rsid w:val="00BF089E"/>
    <w:pPr>
      <w:spacing w:before="240" w:after="120"/>
    </w:pPr>
    <w:rPr>
      <w:rFonts w:ascii="Times New Roman" w:hAnsi="Times New Roman"/>
      <w:b/>
      <w:sz w:val="32"/>
    </w:rPr>
  </w:style>
  <w:style w:type="paragraph" w:customStyle="1" w:styleId="Heading2TOC">
    <w:name w:val="Heading2 TOC"/>
    <w:basedOn w:val="Normal"/>
    <w:qFormat/>
    <w:rsid w:val="00BF089E"/>
    <w:pPr>
      <w:spacing w:before="240" w:after="60"/>
    </w:pPr>
    <w:rPr>
      <w:rFonts w:ascii="Times New Roman" w:hAnsi="Times New Roman"/>
      <w:b/>
      <w:sz w:val="28"/>
    </w:rPr>
  </w:style>
  <w:style w:type="character" w:customStyle="1" w:styleId="Underline">
    <w:name w:val="Underline"/>
    <w:basedOn w:val="DefaultParagraphFont"/>
    <w:qFormat/>
    <w:rsid w:val="00BF089E"/>
    <w:rPr>
      <w:u w:val="single"/>
    </w:rPr>
  </w:style>
  <w:style w:type="character" w:customStyle="1" w:styleId="BoldandItalics">
    <w:name w:val="Bold and Italics"/>
    <w:qFormat/>
    <w:rsid w:val="00BF089E"/>
    <w:rPr>
      <w:b/>
      <w:i/>
      <w:u w:val="none"/>
    </w:rPr>
  </w:style>
  <w:style w:type="paragraph" w:styleId="BalloonText">
    <w:name w:val="Balloon Text"/>
    <w:basedOn w:val="Normal"/>
    <w:link w:val="BalloonTextChar"/>
    <w:rsid w:val="00BF089E"/>
    <w:rPr>
      <w:rFonts w:ascii="Tahoma" w:hAnsi="Tahoma" w:cs="Tahoma"/>
      <w:sz w:val="16"/>
      <w:szCs w:val="16"/>
    </w:rPr>
  </w:style>
  <w:style w:type="character" w:customStyle="1" w:styleId="BalloonTextChar">
    <w:name w:val="Balloon Text Char"/>
    <w:basedOn w:val="DefaultParagraphFont"/>
    <w:link w:val="BalloonText"/>
    <w:rsid w:val="00BF08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8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881</Words>
  <Characters>5816</Characters>
  <Application>Microsoft Office Word</Application>
  <DocSecurity>0</DocSecurity>
  <Lines>205</Lines>
  <Paragraphs>89</Paragraphs>
  <ScaleCrop>false</ScaleCrop>
  <Company>Author-it Software Corporation Ltd.</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MEM09004B Perform electrical/electronic detail drafting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2012-05-27T01:38:00Z</dcterms:created>
  <dcterms:modified xsi:type="dcterms:W3CDTF">2012-05-27T01:38:00Z</dcterms:modified>
</cp:coreProperties>
</file>