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129" w:rsidP="00FD7129">
      <w:pPr>
        <w:pStyle w:val="Title"/>
      </w:pPr>
      <w:r>
        <w:fldChar w:fldCharType="begin"/>
      </w:r>
      <w:r>
        <w:instrText xml:space="preserve"> TITLE   \* MERGEFORMAT </w:instrText>
      </w:r>
      <w:r>
        <w:fldChar w:fldCharType="separate"/>
      </w:r>
      <w:r>
        <w:t>MEM09002B Interpret technical drawing</w:t>
      </w:r>
      <w:r>
        <w:fldChar w:fldCharType="end"/>
      </w:r>
    </w:p>
    <w:p w:rsidR="00FD7129" w:rsidP="00FD7129">
      <w:pPr>
        <w:pStyle w:val="Version"/>
        <w:sectPr w:rsidSect="009339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9EA" w:rsidP="009339EA">
      <w:pPr>
        <w:pStyle w:val="SuperHeading"/>
      </w:pPr>
      <w:r w:rsidRPr="009339EA">
        <w:t>MEM09002B Interpret technical drawing</w:t>
      </w:r>
    </w:p>
    <w:p w:rsidR="00000000" w:rsidRPr="009339EA" w:rsidP="009339EA">
      <w:pPr>
        <w:pStyle w:val="Heading1"/>
      </w:pPr>
      <w:bookmarkStart w:id="1" w:name="O_272102"/>
      <w:bookmarkEnd w:id="1"/>
      <w:r w:rsidRPr="009339EA">
        <w:t>Modification History</w:t>
      </w:r>
    </w:p>
    <w:p w:rsidR="00000000" w:rsidRPr="009339EA" w:rsidP="009339EA">
      <w:pPr>
        <w:pStyle w:val="BodyText"/>
      </w:pPr>
      <w:r w:rsidRPr="009339EA">
        <w:t>Not Applicable</w:t>
      </w:r>
    </w:p>
    <w:p w:rsidR="00000000" w:rsidRPr="009339EA" w:rsidP="009339EA">
      <w:pPr>
        <w:pStyle w:val="AllowPageBreak"/>
      </w:pPr>
    </w:p>
    <w:p w:rsidR="00000000" w:rsidRPr="009339EA" w:rsidP="009339EA">
      <w:pPr>
        <w:pStyle w:val="Heading1"/>
      </w:pPr>
      <w:bookmarkStart w:id="2" w:name="O_211152"/>
      <w:bookmarkEnd w:id="2"/>
      <w:r w:rsidRPr="009339EA">
        <w:t>Unit Descriptor</w:t>
      </w:r>
    </w:p>
    <w:tbl>
      <w:tblPr>
        <w:tblW w:w="0" w:type="auto"/>
        <w:tblLayout w:type="fixed"/>
        <w:tblCellMar>
          <w:left w:w="62" w:type="dxa"/>
          <w:right w:w="62" w:type="dxa"/>
        </w:tblCellMar>
        <w:tblLook w:val="0000"/>
      </w:tblPr>
      <w:tblGrid>
        <w:gridCol w:w="2672"/>
        <w:gridCol w:w="5850"/>
      </w:tblGrid>
      <w:tr w:rsidTr="00FD7129">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r w:rsidRPr="009339EA">
              <w:t>This unit covers interpreting technical drawing applying to any of the full range of engineering disciplines.</w:t>
            </w:r>
          </w:p>
        </w:tc>
      </w:tr>
    </w:tbl>
    <w:p w:rsidR="00FD7129" w:rsidP="009339EA">
      <w:pPr>
        <w:pStyle w:val="BodyText"/>
      </w:pPr>
    </w:p>
    <w:p w:rsidR="00FD7129" w:rsidP="009339EA">
      <w:pPr>
        <w:pStyle w:val="BodyText"/>
      </w:pPr>
    </w:p>
    <w:p w:rsidR="00000000" w:rsidRPr="009339EA" w:rsidP="009339EA">
      <w:pPr>
        <w:pStyle w:val="Heading1"/>
      </w:pPr>
      <w:bookmarkStart w:id="3" w:name="O_211156"/>
      <w:bookmarkEnd w:id="3"/>
      <w:r w:rsidRPr="009339EA">
        <w:t>Application of the Unit</w:t>
      </w:r>
    </w:p>
    <w:tbl>
      <w:tblPr>
        <w:tblW w:w="0" w:type="auto"/>
        <w:tblLayout w:type="fixed"/>
        <w:tblCellMar>
          <w:left w:w="62" w:type="dxa"/>
          <w:right w:w="62" w:type="dxa"/>
        </w:tblCellMar>
        <w:tblLook w:val="0000"/>
      </w:tblPr>
      <w:tblGrid>
        <w:gridCol w:w="2745"/>
        <w:gridCol w:w="5777"/>
      </w:tblGrid>
      <w:tr w:rsidTr="00FD712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r w:rsidRPr="009339EA">
              <w:t>Technical drawings may utilise perspective, exploded views or hidden view techniques. Drawings are provided to Australian Standard 1100 and/or Australian Standard 1102 and their equivalents fr</w:t>
            </w:r>
            <w:r w:rsidRPr="009339EA">
              <w:t>om the full range of engineering disciplines.</w:t>
            </w:r>
          </w:p>
          <w:p w:rsidR="00000000" w:rsidRPr="009339EA" w:rsidP="009339EA">
            <w:pPr>
              <w:pStyle w:val="BodyText"/>
            </w:pPr>
            <w:r w:rsidRPr="009339EA">
              <w:t>Standard symbols to Australian Standard 1100 and/or Australian Standard 1102 or equivalent are recognised in field of employment. Technical drawings may include symbol glossaries.</w:t>
            </w:r>
          </w:p>
          <w:p w:rsidR="00000000" w:rsidRPr="009339EA" w:rsidP="009339EA">
            <w:pPr>
              <w:pStyle w:val="BodyText"/>
            </w:pPr>
            <w:r w:rsidRPr="009339EA">
              <w:t>Where any drawing, sketch, cha</w:t>
            </w:r>
            <w:r w:rsidRPr="009339EA">
              <w:t>rt, diagram is only used as the technique for communication, then this unit does not apply: see Unit MEM12023A (perform engineering measurements) or Unit MEM16006A (Organise and communicate information).</w:t>
            </w:r>
          </w:p>
          <w:p w:rsidR="00000000" w:rsidRPr="009339EA" w:rsidP="009339EA">
            <w:pPr>
              <w:pStyle w:val="BodyText"/>
            </w:pPr>
          </w:p>
          <w:p w:rsidR="00000000" w:rsidRPr="009339EA" w:rsidP="009339EA">
            <w:pPr>
              <w:pStyle w:val="BodyText"/>
            </w:pPr>
            <w:r w:rsidRPr="009339EA">
              <w:rPr>
                <w:rStyle w:val="SpecialBold"/>
              </w:rPr>
              <w:t>Band</w:t>
            </w:r>
            <w:r w:rsidRPr="009339EA">
              <w:t>:</w:t>
            </w:r>
            <w:r w:rsidRPr="009339EA">
              <w:tab/>
            </w:r>
            <w:r w:rsidRPr="009339EA">
              <w:rPr>
                <w:rStyle w:val="SpecialBold"/>
              </w:rPr>
              <w:t>A</w:t>
            </w:r>
          </w:p>
          <w:p w:rsidR="00000000" w:rsidRPr="009339EA" w:rsidP="009339EA">
            <w:pPr>
              <w:pStyle w:val="BodyText"/>
            </w:pPr>
            <w:r w:rsidRPr="009339EA">
              <w:rPr>
                <w:rStyle w:val="SpecialBold"/>
              </w:rPr>
              <w:t>Unit Weight</w:t>
            </w:r>
            <w:r w:rsidRPr="009339EA">
              <w:t>:</w:t>
            </w:r>
            <w:r w:rsidRPr="009339EA">
              <w:tab/>
            </w:r>
            <w:r w:rsidRPr="009339EA">
              <w:rPr>
                <w:rStyle w:val="SpecialBold"/>
              </w:rPr>
              <w:t>4</w:t>
            </w:r>
          </w:p>
        </w:tc>
      </w:tr>
    </w:tbl>
    <w:p w:rsidR="00FD7129" w:rsidP="009339EA">
      <w:pPr>
        <w:pStyle w:val="BodyText"/>
      </w:pPr>
    </w:p>
    <w:p w:rsidR="00FD7129" w:rsidP="009339EA">
      <w:pPr>
        <w:pStyle w:val="BodyText"/>
      </w:pPr>
    </w:p>
    <w:p w:rsidR="00000000" w:rsidRPr="009339EA" w:rsidP="009339EA">
      <w:pPr>
        <w:pStyle w:val="Heading1"/>
      </w:pPr>
      <w:bookmarkStart w:id="4" w:name="O_280362"/>
      <w:bookmarkEnd w:id="4"/>
      <w:r w:rsidRPr="009339EA">
        <w:t>Licensing/Regulatory Information</w:t>
      </w:r>
    </w:p>
    <w:p w:rsidR="00000000" w:rsidRPr="009339EA" w:rsidP="009339EA">
      <w:pPr>
        <w:pStyle w:val="BodyText"/>
      </w:pPr>
      <w:r w:rsidRPr="009339EA">
        <w:t>Not Applicable</w:t>
      </w:r>
    </w:p>
    <w:p w:rsidR="00000000" w:rsidRPr="009339EA" w:rsidP="009339EA">
      <w:pPr>
        <w:pStyle w:val="AllowPageBreak"/>
      </w:pPr>
    </w:p>
    <w:p w:rsidR="00000000" w:rsidRPr="009339EA" w:rsidP="009339EA">
      <w:pPr>
        <w:pStyle w:val="Heading1"/>
      </w:pPr>
      <w:bookmarkStart w:id="5" w:name="O_211154"/>
      <w:bookmarkEnd w:id="5"/>
      <w:r w:rsidRPr="009339EA">
        <w:t>Pre-Requisites</w:t>
      </w:r>
    </w:p>
    <w:tbl>
      <w:tblPr>
        <w:tblW w:w="0" w:type="auto"/>
        <w:tblLayout w:type="fixed"/>
        <w:tblCellMar>
          <w:left w:w="62" w:type="dxa"/>
          <w:right w:w="62" w:type="dxa"/>
        </w:tblCellMar>
        <w:tblLook w:val="0000"/>
      </w:tblPr>
      <w:tblGrid>
        <w:gridCol w:w="2775"/>
        <w:gridCol w:w="1295"/>
        <w:gridCol w:w="4452"/>
      </w:tblGrid>
      <w:tr w:rsidTr="00FD71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p>
        </w:tc>
      </w:tr>
      <w:tr w:rsidTr="00FD71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p>
        </w:tc>
      </w:tr>
      <w:tr w:rsidTr="00FD71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p>
        </w:tc>
      </w:tr>
    </w:tbl>
    <w:p w:rsidR="00FD7129" w:rsidP="009339EA">
      <w:pPr>
        <w:pStyle w:val="BodyText"/>
      </w:pPr>
    </w:p>
    <w:p w:rsidR="00FD7129" w:rsidP="009339EA">
      <w:pPr>
        <w:pStyle w:val="BodyText"/>
      </w:pPr>
    </w:p>
    <w:p w:rsidR="00000000" w:rsidRPr="009339EA" w:rsidP="009339EA">
      <w:pPr>
        <w:pStyle w:val="Heading1"/>
      </w:pPr>
      <w:bookmarkStart w:id="6" w:name="O_211153"/>
      <w:bookmarkEnd w:id="6"/>
      <w:r w:rsidRPr="009339EA">
        <w:t>Employability Skills Information</w:t>
      </w:r>
    </w:p>
    <w:tbl>
      <w:tblPr>
        <w:tblW w:w="0" w:type="auto"/>
        <w:tblLayout w:type="fixed"/>
        <w:tblCellMar>
          <w:left w:w="62" w:type="dxa"/>
          <w:right w:w="62" w:type="dxa"/>
        </w:tblCellMar>
        <w:tblLook w:val="0000"/>
      </w:tblPr>
      <w:tblGrid>
        <w:gridCol w:w="2802"/>
        <w:gridCol w:w="5720"/>
      </w:tblGrid>
      <w:tr w:rsidTr="00FD71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r w:rsidRPr="009339EA">
              <w:t>This unit contains employability skills.</w:t>
            </w:r>
          </w:p>
        </w:tc>
      </w:tr>
    </w:tbl>
    <w:p w:rsidR="00FD7129" w:rsidP="009339EA">
      <w:pPr>
        <w:pStyle w:val="BodyText"/>
      </w:pPr>
    </w:p>
    <w:p w:rsidR="00FD7129" w:rsidP="009339EA">
      <w:pPr>
        <w:pStyle w:val="BodyText"/>
      </w:pPr>
    </w:p>
    <w:p w:rsidR="00000000" w:rsidRPr="009339EA" w:rsidP="009339EA">
      <w:pPr>
        <w:pStyle w:val="Heading1"/>
      </w:pPr>
      <w:bookmarkStart w:id="7" w:name="O_290148"/>
      <w:bookmarkEnd w:id="7"/>
      <w:r w:rsidRPr="009339EA">
        <w:t>Elements and Performance Criteria Pre-Content</w:t>
      </w:r>
    </w:p>
    <w:tbl>
      <w:tblPr>
        <w:tblW w:w="0" w:type="auto"/>
        <w:tblLayout w:type="fixed"/>
        <w:tblCellMar>
          <w:left w:w="62" w:type="dxa"/>
          <w:right w:w="62" w:type="dxa"/>
        </w:tblCellMar>
        <w:tblLook w:val="0000"/>
      </w:tblPr>
      <w:tblGrid>
        <w:gridCol w:w="2538"/>
        <w:gridCol w:w="5984"/>
      </w:tblGrid>
      <w:tr w:rsidTr="00FD712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r w:rsidRPr="009339EA">
              <w:t>Performance criteria describe the performance needed to demonstrate achievement of the element. Where bold italicised text is used, further info</w:t>
            </w:r>
            <w:r w:rsidRPr="009339EA">
              <w:t>rmation is detailed in the required skills and knowledge section and the range statement. Assessment of performance is to be consistent with the evidence guide.</w:t>
            </w:r>
          </w:p>
        </w:tc>
      </w:tr>
    </w:tbl>
    <w:p w:rsidR="00000000" w:rsidRPr="009339EA" w:rsidP="009339EA">
      <w:pPr>
        <w:pStyle w:val="BodyText"/>
      </w:pPr>
    </w:p>
    <w:p w:rsidR="00000000" w:rsidRPr="009339EA" w:rsidP="009339EA">
      <w:pPr>
        <w:pStyle w:val="AllowPageBreak"/>
      </w:pPr>
    </w:p>
    <w:p w:rsidR="00000000" w:rsidRPr="009339EA" w:rsidP="009339EA">
      <w:pPr>
        <w:pStyle w:val="Heading1"/>
      </w:pPr>
      <w:bookmarkStart w:id="8" w:name="O_236815"/>
      <w:bookmarkEnd w:id="8"/>
      <w:r w:rsidRPr="009339EA">
        <w:t>Elements and Performance Criteria</w:t>
      </w:r>
    </w:p>
    <w:tbl>
      <w:tblPr>
        <w:tblW w:w="0" w:type="auto"/>
        <w:tblLayout w:type="fixed"/>
        <w:tblCellMar>
          <w:left w:w="62" w:type="dxa"/>
          <w:right w:w="62" w:type="dxa"/>
        </w:tblCellMar>
        <w:tblLook w:val="0000"/>
      </w:tblPr>
      <w:tblGrid>
        <w:gridCol w:w="2538"/>
        <w:gridCol w:w="5984"/>
      </w:tblGrid>
      <w:tr w:rsidTr="00FD7129">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r w:rsidRPr="009339EA">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PERFORMANCE CRITERIA</w:t>
            </w:r>
          </w:p>
        </w:tc>
      </w:tr>
      <w:tr w:rsidTr="00FD712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List"/>
              <w:rPr>
                <w:lang w:val="en-NZ"/>
              </w:rPr>
            </w:pPr>
            <w:r w:rsidRPr="009339EA">
              <w:t>1.</w:t>
            </w:r>
            <w:r w:rsidRPr="009339EA">
              <w:tab/>
            </w:r>
            <w:r w:rsidRPr="009339EA">
              <w:t>Select correct technical drawing</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List2"/>
            </w:pPr>
            <w:r w:rsidRPr="009339EA">
              <w:t>1.1.</w:t>
            </w:r>
            <w:r w:rsidRPr="009339EA">
              <w:tab/>
              <w:t>Drawing is checked and validated against job requirements or equipment.</w:t>
            </w:r>
          </w:p>
          <w:p w:rsidR="00000000" w:rsidP="009339EA">
            <w:pPr>
              <w:pStyle w:val="List2"/>
              <w:rPr>
                <w:lang w:val="en-NZ"/>
              </w:rPr>
            </w:pPr>
            <w:r w:rsidRPr="009339EA">
              <w:t>1.2.</w:t>
            </w:r>
            <w:r w:rsidRPr="009339EA">
              <w:tab/>
              <w:t>Drawing version is checked and validated.</w:t>
            </w:r>
          </w:p>
        </w:tc>
      </w:tr>
      <w:tr w:rsidTr="00FD712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List"/>
              <w:rPr>
                <w:lang w:val="en-NZ"/>
              </w:rPr>
            </w:pPr>
            <w:r w:rsidRPr="009339EA">
              <w:t>2.</w:t>
            </w:r>
            <w:r w:rsidRPr="009339EA">
              <w:tab/>
              <w:t>Interpret technical drawing</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List2"/>
            </w:pPr>
            <w:r w:rsidRPr="009339EA">
              <w:t>2.1.</w:t>
            </w:r>
            <w:r w:rsidRPr="009339EA">
              <w:tab/>
              <w:t>Components, assemblies or objects are recognised as required.</w:t>
            </w:r>
          </w:p>
          <w:p w:rsidR="00000000" w:rsidRPr="009339EA" w:rsidP="009339EA">
            <w:pPr>
              <w:pStyle w:val="List2"/>
            </w:pPr>
            <w:r w:rsidRPr="009339EA">
              <w:t>2.2.</w:t>
            </w:r>
            <w:r w:rsidRPr="009339EA">
              <w:tab/>
              <w:t>Dimensions are identified as appropriate to field of employment.</w:t>
            </w:r>
          </w:p>
          <w:p w:rsidR="00000000" w:rsidRPr="009339EA" w:rsidP="009339EA">
            <w:pPr>
              <w:pStyle w:val="List2"/>
            </w:pPr>
            <w:r w:rsidRPr="009339EA">
              <w:t>2.3.</w:t>
            </w:r>
            <w:r w:rsidRPr="009339EA">
              <w:tab/>
              <w:t>Instructions are identified and followed as required.</w:t>
            </w:r>
          </w:p>
          <w:p w:rsidR="00000000" w:rsidRPr="009339EA" w:rsidP="009339EA">
            <w:pPr>
              <w:pStyle w:val="List2"/>
            </w:pPr>
            <w:r w:rsidRPr="009339EA">
              <w:t>2.4.</w:t>
            </w:r>
            <w:r w:rsidRPr="009339EA">
              <w:tab/>
              <w:t>Material requirements are identified as required.</w:t>
            </w:r>
          </w:p>
          <w:p w:rsidR="00000000" w:rsidRPr="009339EA" w:rsidP="009339EA">
            <w:pPr>
              <w:pStyle w:val="List2"/>
            </w:pPr>
            <w:r w:rsidRPr="009339EA">
              <w:t>2.5.</w:t>
            </w:r>
            <w:r w:rsidRPr="009339EA">
              <w:tab/>
              <w:t>Symbols are recognised in the drawing as appropriate.</w:t>
            </w:r>
          </w:p>
        </w:tc>
      </w:tr>
    </w:tbl>
    <w:p w:rsidR="00FD7129" w:rsidP="009339EA">
      <w:pPr>
        <w:pStyle w:val="BodyText"/>
      </w:pPr>
    </w:p>
    <w:p w:rsidR="00FD7129" w:rsidP="009339EA">
      <w:pPr>
        <w:pStyle w:val="BodyText"/>
      </w:pPr>
    </w:p>
    <w:p w:rsidR="00000000" w:rsidRPr="009339EA" w:rsidP="009339EA">
      <w:pPr>
        <w:pStyle w:val="Heading1"/>
      </w:pPr>
      <w:bookmarkStart w:id="9" w:name="O_260765"/>
      <w:bookmarkEnd w:id="9"/>
      <w:r w:rsidRPr="009339EA">
        <w:t>Required Skills and Knowledge</w:t>
      </w:r>
    </w:p>
    <w:tbl>
      <w:tblPr>
        <w:tblW w:w="0" w:type="auto"/>
        <w:tblLayout w:type="fixed"/>
        <w:tblCellMar>
          <w:left w:w="62" w:type="dxa"/>
          <w:right w:w="62" w:type="dxa"/>
        </w:tblCellMar>
        <w:tblLook w:val="0000"/>
      </w:tblPr>
      <w:tblGrid>
        <w:gridCol w:w="8522"/>
      </w:tblGrid>
      <w:tr w:rsidTr="00FD71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REQUIRED SKILLS AND KNOWLEDGE</w:t>
            </w:r>
          </w:p>
        </w:tc>
      </w:tr>
      <w:tr w:rsidTr="00FD71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t>This section describes the skills and knowledge required for this unit.</w:t>
            </w:r>
          </w:p>
        </w:tc>
      </w:tr>
      <w:tr w:rsidTr="00FD7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Required skills</w:t>
            </w:r>
          </w:p>
        </w:tc>
      </w:tr>
      <w:tr w:rsidTr="00FD7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r w:rsidRPr="009339EA">
              <w:t>Look for evidence that confirms skills in:</w:t>
            </w:r>
          </w:p>
          <w:p w:rsidR="00000000" w:rsidRPr="009339EA" w:rsidP="009339EA">
            <w:pPr>
              <w:pStyle w:val="ListBullet"/>
            </w:pPr>
            <w:r w:rsidRPr="009339EA">
              <w:t>checking the drawing against job requirements/related equipment in accordance with standard operating procedures</w:t>
            </w:r>
          </w:p>
          <w:p w:rsidR="00000000" w:rsidRPr="009339EA" w:rsidP="009339EA">
            <w:pPr>
              <w:pStyle w:val="ListBullet"/>
            </w:pPr>
            <w:r w:rsidRPr="009339EA">
              <w:t>confirming the drawing version as being current in accordance with standard operating procedures</w:t>
            </w:r>
          </w:p>
          <w:p w:rsidR="00000000" w:rsidRPr="009339EA" w:rsidP="009339EA">
            <w:pPr>
              <w:pStyle w:val="ListBullet"/>
            </w:pPr>
            <w:r w:rsidRPr="009339EA">
              <w:t>where appropriate, obtaining the current versi</w:t>
            </w:r>
            <w:r w:rsidRPr="009339EA">
              <w:t>on of the drawing in accordance with standard operating procedures</w:t>
            </w:r>
          </w:p>
          <w:p w:rsidR="00000000" w:rsidRPr="009339EA" w:rsidP="009339EA">
            <w:pPr>
              <w:pStyle w:val="ListBullet"/>
            </w:pPr>
            <w:r w:rsidRPr="009339EA">
              <w:t>reading, interpreting information on the drawing, written job instructions, specifications, standard operating procedures, charts, lists and other applicable reference documents</w:t>
            </w:r>
          </w:p>
          <w:p w:rsidR="00000000" w:rsidRPr="009339EA" w:rsidP="009339EA">
            <w:pPr>
              <w:pStyle w:val="ListBullet"/>
            </w:pPr>
            <w:r w:rsidRPr="009339EA">
              <w:t>checking an</w:t>
            </w:r>
            <w:r w:rsidRPr="009339EA">
              <w:t>d clarifying task related information</w:t>
            </w:r>
          </w:p>
          <w:p w:rsidR="00000000" w:rsidP="009339EA">
            <w:pPr>
              <w:pStyle w:val="ListBullet"/>
              <w:rPr>
                <w:lang w:val="en-NZ"/>
              </w:rPr>
            </w:pPr>
            <w:r w:rsidRPr="009339EA">
              <w:t>undertaking numerical operations, geometry and calculations/formulae within the scope of this unit</w:t>
            </w:r>
          </w:p>
        </w:tc>
      </w:tr>
      <w:tr w:rsidTr="00FD7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Required knowledge</w:t>
            </w:r>
          </w:p>
        </w:tc>
      </w:tr>
      <w:tr w:rsidTr="00FD7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r w:rsidRPr="009339EA">
              <w:t>Look for evidence that confirms knowledge of:</w:t>
            </w:r>
          </w:p>
          <w:p w:rsidR="00000000" w:rsidRPr="009339EA" w:rsidP="009339EA">
            <w:pPr>
              <w:pStyle w:val="ListBullet"/>
            </w:pPr>
            <w:r w:rsidRPr="009339EA">
              <w:t>application of AS1100.101 in accordance with standa</w:t>
            </w:r>
            <w:r w:rsidRPr="009339EA">
              <w:t>rd operating procedures</w:t>
            </w:r>
          </w:p>
          <w:p w:rsidR="00000000" w:rsidRPr="009339EA" w:rsidP="009339EA">
            <w:pPr>
              <w:pStyle w:val="ListBullet"/>
            </w:pPr>
            <w:r w:rsidRPr="009339EA">
              <w:t>relationship between the views contained in the drawing</w:t>
            </w:r>
          </w:p>
          <w:p w:rsidR="00000000" w:rsidRPr="009339EA" w:rsidP="009339EA">
            <w:pPr>
              <w:pStyle w:val="ListBullet"/>
            </w:pPr>
            <w:r w:rsidRPr="009339EA">
              <w:t xml:space="preserve">objects represented in the drawing </w:t>
            </w:r>
          </w:p>
          <w:p w:rsidR="00000000" w:rsidRPr="009339EA" w:rsidP="009339EA">
            <w:pPr>
              <w:pStyle w:val="ListBullet"/>
            </w:pPr>
            <w:r w:rsidRPr="009339EA">
              <w:t xml:space="preserve">units of measurement used in the preparation of the drawing </w:t>
            </w:r>
          </w:p>
          <w:p w:rsidR="00000000" w:rsidRPr="009339EA" w:rsidP="009339EA">
            <w:pPr>
              <w:pStyle w:val="ListBullet"/>
            </w:pPr>
            <w:r w:rsidRPr="009339EA">
              <w:t xml:space="preserve">dimensions of the key features of the objects depicted in the drawing </w:t>
            </w:r>
          </w:p>
          <w:p w:rsidR="00000000" w:rsidRPr="009339EA" w:rsidP="009339EA">
            <w:pPr>
              <w:pStyle w:val="ListBullet"/>
            </w:pPr>
            <w:r w:rsidRPr="009339EA">
              <w:t xml:space="preserve">understanding of the instructions contained in the drawing </w:t>
            </w:r>
          </w:p>
          <w:p w:rsidR="00000000" w:rsidRPr="009339EA" w:rsidP="009339EA">
            <w:pPr>
              <w:pStyle w:val="ListBullet"/>
            </w:pPr>
            <w:r w:rsidRPr="009339EA">
              <w:t>the actions to be undertaken in response to those instructions</w:t>
            </w:r>
          </w:p>
          <w:p w:rsidR="00000000" w:rsidRPr="009339EA" w:rsidP="009339EA">
            <w:pPr>
              <w:pStyle w:val="ListBullet"/>
            </w:pPr>
            <w:r w:rsidRPr="009339EA">
              <w:t>the materials from which the object(s) are made</w:t>
            </w:r>
          </w:p>
          <w:p w:rsidR="00000000" w:rsidRPr="009339EA" w:rsidP="009339EA">
            <w:pPr>
              <w:pStyle w:val="ListBullet"/>
            </w:pPr>
            <w:r w:rsidRPr="009339EA">
              <w:t>any symbols used in the drawing as described in range statement</w:t>
            </w:r>
          </w:p>
          <w:p w:rsidR="00000000" w:rsidRPr="009339EA" w:rsidP="009339EA">
            <w:pPr>
              <w:pStyle w:val="ListBullet"/>
            </w:pPr>
            <w:r w:rsidRPr="009339EA">
              <w:t>hazard and control me</w:t>
            </w:r>
            <w:r w:rsidRPr="009339EA">
              <w:t>asures associated with interpreting technical drawings, including housekeeping</w:t>
            </w:r>
          </w:p>
          <w:p w:rsidR="00000000" w:rsidRPr="009339EA" w:rsidP="009339EA">
            <w:pPr>
              <w:pStyle w:val="ListBullet"/>
            </w:pPr>
            <w:r w:rsidRPr="009339EA">
              <w:t>safe work practices and procedures</w:t>
            </w:r>
          </w:p>
        </w:tc>
      </w:tr>
    </w:tbl>
    <w:p w:rsidR="00FD7129" w:rsidP="009339EA">
      <w:pPr>
        <w:pStyle w:val="BodyText"/>
      </w:pPr>
    </w:p>
    <w:p w:rsidR="00FD7129" w:rsidP="009339EA">
      <w:pPr>
        <w:pStyle w:val="BodyText"/>
      </w:pPr>
    </w:p>
    <w:p w:rsidR="00000000" w:rsidRPr="009339EA" w:rsidP="009339EA">
      <w:pPr>
        <w:pStyle w:val="AllowPageBreak"/>
      </w:pPr>
    </w:p>
    <w:p w:rsidR="00000000" w:rsidRPr="009339EA" w:rsidP="009339EA">
      <w:pPr>
        <w:pStyle w:val="Heading1"/>
      </w:pPr>
      <w:bookmarkStart w:id="10" w:name="O_244799"/>
      <w:bookmarkEnd w:id="10"/>
      <w:r w:rsidRPr="009339EA">
        <w:t>Evidence Guide</w:t>
      </w:r>
    </w:p>
    <w:tbl>
      <w:tblPr>
        <w:tblW w:w="9570" w:type="dxa"/>
        <w:tblLayout w:type="fixed"/>
        <w:tblCellMar>
          <w:left w:w="62" w:type="dxa"/>
          <w:right w:w="62" w:type="dxa"/>
        </w:tblCellMar>
        <w:tblLook w:val="0000"/>
      </w:tblPr>
      <w:tblGrid>
        <w:gridCol w:w="3908"/>
        <w:gridCol w:w="5662"/>
      </w:tblGrid>
      <w:tr w:rsidTr="00FD71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EVIDENCE GUIDE</w:t>
            </w:r>
          </w:p>
        </w:tc>
      </w:tr>
      <w:tr w:rsidTr="00FD71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t>The evidence guide provides advi</w:t>
            </w:r>
            <w:r w:rsidRPr="009339EA">
              <w:t>ce on assessment and must be read in conjunction with the performance criteria, required skills and knowledge, range statement and the Assessment Guidelines for the Training Package.</w:t>
            </w:r>
          </w:p>
        </w:tc>
      </w:tr>
      <w:tr w:rsidTr="00FD7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t xml:space="preserve">A person who demonstrates competency in this unit must be able to interpret technical drawings as described. </w:t>
            </w:r>
          </w:p>
        </w:tc>
      </w:tr>
      <w:tr w:rsidTr="00FD7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t>Assessors must be satisfied that the candidate can c</w:t>
            </w:r>
            <w:r w:rsidRPr="009339EA">
              <w:t>ompetently and consistently perform all elements of the unit as specified by the criteria, including required knowledge, and be capable of applying the competency in new and different situations and contexts.</w:t>
            </w:r>
          </w:p>
        </w:tc>
      </w:tr>
      <w:tr w:rsidTr="00FD7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Context of and specific resources for assessme</w:t>
            </w:r>
            <w:r w:rsidRPr="009339EA">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r w:rsidRPr="009339EA">
              <w:t>This unit may be assessed on the job, off the job or a combination of both on and off the job. Where assessment occurs off the job, that is the candidate is not in productive work, then an appropriate simulation must be used where the range of condition</w:t>
            </w:r>
            <w:r w:rsidRPr="009339EA">
              <w:t xml:space="preserve">s reflects realistic workplace situations. The competencies covered by this unit would be demonstrated by an individual working alone or as part of a team. The assessment environment should not disadvantage the candidate. </w:t>
            </w:r>
          </w:p>
          <w:p w:rsidR="00000000" w:rsidP="009339EA">
            <w:pPr>
              <w:pStyle w:val="BodyText"/>
              <w:rPr>
                <w:lang w:val="en-NZ"/>
              </w:rPr>
            </w:pPr>
            <w:r w:rsidRPr="009339EA">
              <w:t>This unit could be assessed in co</w:t>
            </w:r>
            <w:r w:rsidRPr="009339EA">
              <w:t>njunction with any other units addressing the safety, quality, communication, materials handling, recording and reporting associated with interpreting technical drawings or other units requiring the exercise of the skills and knowledge covered by this unit</w:t>
            </w:r>
            <w:r w:rsidRPr="009339EA">
              <w:t>.</w:t>
            </w:r>
          </w:p>
        </w:tc>
      </w:tr>
      <w:tr w:rsidTr="00FD7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t>Assessors should gather a range of evidence that is valid, sufficient, current and authentic. Evidence can be gathered through a variety of ways including direct observation, supervisor's reports, project work, samples and questioni</w:t>
            </w:r>
            <w:r w:rsidRPr="009339EA">
              <w:t>ng. Questioning should not require language, literacy and numeracy skills beyond those required in this unit. The candidate must have access to all tools, equipment, materials and documentation required. The candidate must be permitted to refer to any rele</w:t>
            </w:r>
            <w:r w:rsidRPr="009339EA">
              <w:t>vant workplace procedures, product and manufacturing specifications, codes, standards, manuals and reference materials.</w:t>
            </w:r>
          </w:p>
        </w:tc>
      </w:tr>
      <w:tr w:rsidTr="00FD7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p>
        </w:tc>
      </w:tr>
    </w:tbl>
    <w:p w:rsidR="00FD7129" w:rsidP="009339EA">
      <w:pPr>
        <w:pStyle w:val="BodyText"/>
      </w:pPr>
    </w:p>
    <w:p w:rsidR="00FD7129" w:rsidP="009339EA">
      <w:pPr>
        <w:pStyle w:val="BodyText"/>
      </w:pPr>
    </w:p>
    <w:p w:rsidR="00000000" w:rsidRPr="009339EA" w:rsidP="009339EA">
      <w:pPr>
        <w:pStyle w:val="Heading1"/>
      </w:pPr>
      <w:bookmarkStart w:id="11" w:name="O_252782"/>
      <w:bookmarkEnd w:id="11"/>
      <w:r w:rsidRPr="009339EA">
        <w:t>Range Statement</w:t>
      </w:r>
    </w:p>
    <w:tbl>
      <w:tblPr>
        <w:tblW w:w="0" w:type="auto"/>
        <w:tblLayout w:type="fixed"/>
        <w:tblCellMar>
          <w:left w:w="62" w:type="dxa"/>
          <w:right w:w="62" w:type="dxa"/>
        </w:tblCellMar>
        <w:tblLook w:val="0000"/>
      </w:tblPr>
      <w:tblGrid>
        <w:gridCol w:w="3492"/>
        <w:gridCol w:w="5030"/>
      </w:tblGrid>
      <w:tr w:rsidTr="00FD71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RANGE STATEMENT</w:t>
            </w:r>
          </w:p>
        </w:tc>
      </w:tr>
      <w:tr w:rsidTr="00FD71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t>The range statement relates to the unit of competency as a whole. It allows for different work environments and situations that may affect performance. Bold italicised wording, if used in the performance criteria, is detailed below. Essential operating con</w:t>
            </w:r>
            <w:r w:rsidRPr="009339EA">
              <w:t>ditions that may be present with training and assessment (depending on the work situation, needs of the candidate, accessibility of the item, and local industry and regional contexts) may also be included.</w:t>
            </w:r>
          </w:p>
        </w:tc>
      </w:tr>
      <w:tr w:rsidTr="00FD712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Interpret technical drawing</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r w:rsidRPr="009339EA">
              <w:t>AS1100.101 is an ext</w:t>
            </w:r>
            <w:r w:rsidRPr="009339EA">
              <w:t>ensive work and the candidate is not required to have complete familiarity with all its contents, the application of AS1100 would usually be in line with standard operating procedures; interpretation may require guidance particularly in respect to any geom</w:t>
            </w:r>
            <w:r w:rsidRPr="009339EA">
              <w:t>etric tolerancing</w:t>
            </w:r>
          </w:p>
        </w:tc>
      </w:tr>
    </w:tbl>
    <w:p w:rsidR="00FD7129" w:rsidP="009339EA">
      <w:pPr>
        <w:pStyle w:val="BodyText"/>
      </w:pPr>
    </w:p>
    <w:p w:rsidR="00FD7129" w:rsidP="009339EA">
      <w:pPr>
        <w:pStyle w:val="BodyText"/>
      </w:pPr>
    </w:p>
    <w:p w:rsidR="00000000" w:rsidRPr="009339EA" w:rsidP="009339EA">
      <w:pPr>
        <w:pStyle w:val="Heading1"/>
      </w:pPr>
      <w:bookmarkStart w:id="12" w:name="O_211158"/>
      <w:bookmarkEnd w:id="12"/>
      <w:r w:rsidRPr="009339EA">
        <w:t>Unit Sector(s)</w:t>
      </w:r>
    </w:p>
    <w:tbl>
      <w:tblPr>
        <w:tblW w:w="0" w:type="auto"/>
        <w:tblLayout w:type="fixed"/>
        <w:tblCellMar>
          <w:left w:w="62" w:type="dxa"/>
          <w:right w:w="62" w:type="dxa"/>
        </w:tblCellMar>
        <w:tblLook w:val="0000"/>
      </w:tblPr>
      <w:tblGrid>
        <w:gridCol w:w="2654"/>
        <w:gridCol w:w="5868"/>
      </w:tblGrid>
      <w:tr w:rsidTr="00FD712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p>
        </w:tc>
      </w:tr>
    </w:tbl>
    <w:p w:rsidR="00FD7129" w:rsidP="009339EA">
      <w:pPr>
        <w:pStyle w:val="BodyText"/>
      </w:pPr>
    </w:p>
    <w:p w:rsidR="00FD7129" w:rsidP="009339EA">
      <w:pPr>
        <w:pStyle w:val="BodyText"/>
      </w:pPr>
    </w:p>
    <w:p w:rsidR="00000000" w:rsidRPr="009339EA" w:rsidP="009339EA">
      <w:pPr>
        <w:pStyle w:val="Heading1"/>
      </w:pPr>
      <w:bookmarkStart w:id="13" w:name="O_211155"/>
      <w:bookmarkEnd w:id="13"/>
      <w:r w:rsidRPr="009339EA">
        <w:t>Co-requisite units</w:t>
      </w:r>
    </w:p>
    <w:tbl>
      <w:tblPr>
        <w:tblW w:w="0" w:type="auto"/>
        <w:tblLayout w:type="fixed"/>
        <w:tblCellMar>
          <w:left w:w="62" w:type="dxa"/>
          <w:right w:w="62" w:type="dxa"/>
        </w:tblCellMar>
        <w:tblLook w:val="0000"/>
      </w:tblPr>
      <w:tblGrid>
        <w:gridCol w:w="2641"/>
        <w:gridCol w:w="1322"/>
        <w:gridCol w:w="4559"/>
      </w:tblGrid>
      <w:tr w:rsidTr="00FD71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p>
        </w:tc>
      </w:tr>
      <w:tr w:rsidTr="00FD71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p>
        </w:tc>
      </w:tr>
      <w:tr w:rsidTr="00FD71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p>
        </w:tc>
      </w:tr>
    </w:tbl>
    <w:p w:rsidR="00FD7129" w:rsidP="009339EA">
      <w:pPr>
        <w:pStyle w:val="BodyText"/>
      </w:pPr>
    </w:p>
    <w:p w:rsidR="00FD7129" w:rsidP="009339EA">
      <w:pPr>
        <w:pStyle w:val="BodyText"/>
      </w:pPr>
    </w:p>
    <w:p w:rsidR="00000000" w:rsidRPr="009339EA" w:rsidP="009339EA">
      <w:pPr>
        <w:pStyle w:val="Heading1"/>
      </w:pPr>
      <w:bookmarkStart w:id="14" w:name="O_211157"/>
      <w:bookmarkEnd w:id="14"/>
      <w:r w:rsidRPr="009339EA">
        <w:t>Competency field</w:t>
      </w:r>
    </w:p>
    <w:tbl>
      <w:tblPr>
        <w:tblW w:w="0" w:type="auto"/>
        <w:tblLayout w:type="fixed"/>
        <w:tblCellMar>
          <w:left w:w="62" w:type="dxa"/>
          <w:right w:w="62" w:type="dxa"/>
        </w:tblCellMar>
        <w:tblLook w:val="0000"/>
      </w:tblPr>
      <w:tblGrid>
        <w:gridCol w:w="2777"/>
        <w:gridCol w:w="5745"/>
      </w:tblGrid>
      <w:tr w:rsidTr="00FD712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9EA">
            <w:pPr>
              <w:pStyle w:val="BodyText"/>
              <w:rPr>
                <w:lang w:val="en-NZ"/>
              </w:rPr>
            </w:pPr>
            <w:r w:rsidRPr="009339E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9EA" w:rsidP="009339EA">
            <w:pPr>
              <w:pStyle w:val="BodyText"/>
            </w:pPr>
            <w:r w:rsidRPr="009339EA">
              <w:t>Drawing, drafting and design</w:t>
            </w:r>
          </w:p>
        </w:tc>
      </w:tr>
    </w:tbl>
    <w:p w:rsidR="00FD7129" w:rsidP="009339EA">
      <w:pPr>
        <w:pStyle w:val="BodyText"/>
      </w:pPr>
    </w:p>
    <w:p w:rsidR="00FD7129" w:rsidP="009339EA">
      <w:pPr>
        <w:pStyle w:val="BodyText"/>
      </w:pPr>
    </w:p>
    <w:p w:rsidR="00000000" w:rsidRPr="009339EA" w:rsidP="009339EA"/>
    <w:sectPr w:rsidSect="009339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129" w:rsidP="00FD7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29" w:rsidP="00933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7129" w:rsidP="009339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7129" w:rsidP="009339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129" w:rsidP="00FD71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29" w:rsidP="009339EA">
    <w:pPr>
      <w:pStyle w:val="Header"/>
      <w:framePr w:wrap="around"/>
    </w:pPr>
    <w:r>
      <w:fldChar w:fldCharType="begin"/>
    </w:r>
    <w:r>
      <w:instrText xml:space="preserve"> TITLE   \* MERGEFORMAT </w:instrText>
    </w:r>
    <w:r>
      <w:fldChar w:fldCharType="separate"/>
    </w:r>
    <w:r>
      <w:t>MEM09002B Interpret technical drawing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7129" w:rsidP="009339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3EA8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9E1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9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9EA"/>
    <w:pPr>
      <w:spacing w:before="360" w:after="60"/>
      <w:outlineLvl w:val="0"/>
    </w:pPr>
    <w:rPr>
      <w:sz w:val="32"/>
    </w:rPr>
  </w:style>
  <w:style w:type="paragraph" w:styleId="Heading2">
    <w:name w:val="heading 2"/>
    <w:basedOn w:val="HeadingBase"/>
    <w:next w:val="BodyText"/>
    <w:link w:val="Heading2Char"/>
    <w:qFormat/>
    <w:rsid w:val="009339EA"/>
    <w:pPr>
      <w:keepLines/>
      <w:spacing w:before="240" w:after="120"/>
      <w:outlineLvl w:val="1"/>
    </w:pPr>
    <w:rPr>
      <w:sz w:val="28"/>
      <w:szCs w:val="40"/>
    </w:rPr>
  </w:style>
  <w:style w:type="paragraph" w:styleId="Heading3">
    <w:name w:val="heading 3"/>
    <w:basedOn w:val="HeadingBase"/>
    <w:next w:val="BodyText"/>
    <w:link w:val="Heading3Char"/>
    <w:qFormat/>
    <w:rsid w:val="009339EA"/>
    <w:pPr>
      <w:spacing w:before="180" w:after="120"/>
      <w:outlineLvl w:val="2"/>
    </w:pPr>
    <w:rPr>
      <w:spacing w:val="-10"/>
      <w:kern w:val="32"/>
    </w:rPr>
  </w:style>
  <w:style w:type="paragraph" w:styleId="Heading4">
    <w:name w:val="heading 4"/>
    <w:basedOn w:val="HeadingBase"/>
    <w:next w:val="BodyText"/>
    <w:link w:val="Heading4Char"/>
    <w:qFormat/>
    <w:rsid w:val="009339EA"/>
    <w:pPr>
      <w:spacing w:before="160" w:after="120"/>
      <w:outlineLvl w:val="3"/>
    </w:pPr>
    <w:rPr>
      <w:sz w:val="22"/>
    </w:rPr>
  </w:style>
  <w:style w:type="paragraph" w:styleId="Heading5">
    <w:name w:val="heading 5"/>
    <w:basedOn w:val="HeadingBase"/>
    <w:next w:val="Normal"/>
    <w:link w:val="Heading5Char"/>
    <w:qFormat/>
    <w:rsid w:val="009339EA"/>
    <w:pPr>
      <w:spacing w:before="80"/>
      <w:outlineLvl w:val="4"/>
    </w:pPr>
    <w:rPr>
      <w:color w:val="918585"/>
      <w:sz w:val="20"/>
    </w:rPr>
  </w:style>
  <w:style w:type="paragraph" w:styleId="Heading6">
    <w:name w:val="heading 6"/>
    <w:basedOn w:val="HeadingBase"/>
    <w:next w:val="Normal"/>
    <w:link w:val="Heading6Char"/>
    <w:qFormat/>
    <w:rsid w:val="009339EA"/>
    <w:pPr>
      <w:spacing w:before="60"/>
      <w:outlineLvl w:val="5"/>
    </w:pPr>
    <w:rPr>
      <w:color w:val="918585"/>
      <w:sz w:val="20"/>
    </w:rPr>
  </w:style>
  <w:style w:type="paragraph" w:styleId="Heading7">
    <w:name w:val="heading 7"/>
    <w:basedOn w:val="Normal"/>
    <w:next w:val="Normal"/>
    <w:link w:val="Heading7Char"/>
    <w:qFormat/>
    <w:rsid w:val="009339EA"/>
    <w:pPr>
      <w:ind w:left="720"/>
      <w:outlineLvl w:val="6"/>
    </w:pPr>
    <w:rPr>
      <w:i/>
    </w:rPr>
  </w:style>
  <w:style w:type="paragraph" w:styleId="Heading8">
    <w:name w:val="heading 8"/>
    <w:basedOn w:val="Normal"/>
    <w:next w:val="Normal"/>
    <w:link w:val="Heading8Char"/>
    <w:qFormat/>
    <w:rsid w:val="009339EA"/>
    <w:pPr>
      <w:ind w:left="720"/>
      <w:outlineLvl w:val="7"/>
    </w:pPr>
    <w:rPr>
      <w:i/>
    </w:rPr>
  </w:style>
  <w:style w:type="paragraph" w:styleId="Heading9">
    <w:name w:val="heading 9"/>
    <w:basedOn w:val="Normal"/>
    <w:next w:val="Normal"/>
    <w:link w:val="Heading9Char"/>
    <w:qFormat/>
    <w:rsid w:val="009339EA"/>
    <w:pPr>
      <w:ind w:left="720"/>
      <w:outlineLvl w:val="8"/>
    </w:pPr>
    <w:rPr>
      <w:i/>
    </w:rPr>
  </w:style>
  <w:style w:type="character" w:default="1" w:styleId="DefaultParagraphFont">
    <w:name w:val="Default Paragraph Font"/>
    <w:uiPriority w:val="1"/>
    <w:unhideWhenUsed/>
    <w:rsid w:val="00933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9EA"/>
  </w:style>
  <w:style w:type="character" w:customStyle="1" w:styleId="Heading1Char">
    <w:name w:val="Heading 1 Char"/>
    <w:link w:val="Heading1"/>
    <w:rsid w:val="009339EA"/>
    <w:rPr>
      <w:rFonts w:ascii="Times New Roman" w:eastAsia="Times New Roman" w:hAnsi="Times New Roman" w:cs="Times New Roman"/>
      <w:b/>
      <w:sz w:val="32"/>
      <w:szCs w:val="20"/>
      <w:lang w:eastAsia="en-US"/>
    </w:rPr>
  </w:style>
  <w:style w:type="paragraph" w:styleId="BodyText">
    <w:name w:val="Body Text"/>
    <w:basedOn w:val="Normal"/>
    <w:link w:val="BodyTextChar"/>
    <w:rsid w:val="009339EA"/>
    <w:pPr>
      <w:spacing w:before="120" w:after="120"/>
      <w:contextualSpacing/>
    </w:pPr>
    <w:rPr>
      <w:rFonts w:ascii="Times New Roman" w:hAnsi="Times New Roman"/>
      <w:sz w:val="24"/>
      <w:szCs w:val="22"/>
    </w:rPr>
  </w:style>
  <w:style w:type="character" w:customStyle="1" w:styleId="BodyTextChar">
    <w:name w:val="Body Text Char"/>
    <w:link w:val="BodyText"/>
    <w:rsid w:val="009339EA"/>
    <w:rPr>
      <w:rFonts w:ascii="Times New Roman" w:eastAsia="Times New Roman" w:hAnsi="Times New Roman" w:cs="Times New Roman"/>
      <w:sz w:val="24"/>
      <w:lang w:val="en-US" w:eastAsia="en-US"/>
    </w:rPr>
  </w:style>
  <w:style w:type="paragraph" w:styleId="Footer">
    <w:name w:val="footer"/>
    <w:basedOn w:val="Normal"/>
    <w:link w:val="FooterChar"/>
    <w:rsid w:val="00933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39EA"/>
    <w:rPr>
      <w:rFonts w:ascii="Times New Roman" w:eastAsia="Times New Roman" w:hAnsi="Times New Roman" w:cs="Times New Roman"/>
      <w:sz w:val="16"/>
      <w:lang w:val="en-US" w:eastAsia="en-US"/>
    </w:rPr>
  </w:style>
  <w:style w:type="paragraph" w:styleId="List">
    <w:name w:val="List"/>
    <w:basedOn w:val="BodyText"/>
    <w:next w:val="BodyText"/>
    <w:rsid w:val="009339EA"/>
    <w:pPr>
      <w:tabs>
        <w:tab w:val="left" w:pos="340"/>
      </w:tabs>
      <w:spacing w:before="60" w:after="60"/>
      <w:ind w:left="340" w:hanging="340"/>
    </w:pPr>
  </w:style>
  <w:style w:type="paragraph" w:styleId="ListBullet">
    <w:name w:val="List Bullet"/>
    <w:basedOn w:val="List"/>
    <w:rsid w:val="009339EA"/>
    <w:pPr>
      <w:numPr>
        <w:numId w:val="12"/>
      </w:numPr>
      <w:tabs>
        <w:tab w:val="clear" w:pos="340"/>
      </w:tabs>
      <w:spacing w:before="40" w:after="40"/>
    </w:pPr>
  </w:style>
  <w:style w:type="character" w:customStyle="1" w:styleId="SpecialBold">
    <w:name w:val="Special Bold"/>
    <w:rsid w:val="009339EA"/>
    <w:rPr>
      <w:b/>
      <w:spacing w:val="0"/>
    </w:rPr>
  </w:style>
  <w:style w:type="paragraph" w:styleId="Header">
    <w:name w:val="header"/>
    <w:basedOn w:val="Normal"/>
    <w:link w:val="HeaderChar"/>
    <w:rsid w:val="00933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39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39EA"/>
    <w:pPr>
      <w:spacing w:before="240" w:after="120"/>
      <w:outlineLvl w:val="0"/>
    </w:pPr>
    <w:rPr>
      <w:rFonts w:ascii="Times New Roman" w:hAnsi="Times New Roman"/>
      <w:b/>
      <w:sz w:val="28"/>
    </w:rPr>
  </w:style>
  <w:style w:type="paragraph" w:customStyle="1" w:styleId="AllowPageBreak">
    <w:name w:val="AllowPageBreak"/>
    <w:rsid w:val="009339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9EA"/>
    <w:pPr>
      <w:tabs>
        <w:tab w:val="left" w:pos="680"/>
      </w:tabs>
      <w:spacing w:before="60" w:after="60"/>
      <w:ind w:left="680" w:hanging="340"/>
    </w:pPr>
  </w:style>
  <w:style w:type="character" w:customStyle="1" w:styleId="Heading2Char">
    <w:name w:val="Heading 2 Char"/>
    <w:link w:val="Heading2"/>
    <w:rsid w:val="009339EA"/>
    <w:rPr>
      <w:rFonts w:ascii="Times New Roman" w:eastAsia="Times New Roman" w:hAnsi="Times New Roman" w:cs="Times New Roman"/>
      <w:b/>
      <w:sz w:val="28"/>
      <w:szCs w:val="40"/>
      <w:lang w:eastAsia="en-US"/>
    </w:rPr>
  </w:style>
  <w:style w:type="character" w:customStyle="1" w:styleId="Heading3Char">
    <w:name w:val="Heading 3 Char"/>
    <w:link w:val="Heading3"/>
    <w:rsid w:val="009339E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39EA"/>
    <w:rPr>
      <w:rFonts w:ascii="Times New Roman" w:eastAsia="Times New Roman" w:hAnsi="Times New Roman" w:cs="Times New Roman"/>
      <w:b/>
      <w:szCs w:val="20"/>
      <w:lang w:eastAsia="en-US"/>
    </w:rPr>
  </w:style>
  <w:style w:type="character" w:customStyle="1" w:styleId="Heading5Char">
    <w:name w:val="Heading 5 Char"/>
    <w:link w:val="Heading5"/>
    <w:rsid w:val="009339E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3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9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9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9EA"/>
    <w:rPr>
      <w:rFonts w:ascii="Courier New" w:eastAsia="Times New Roman" w:hAnsi="Courier New" w:cs="Times New Roman"/>
      <w:i/>
      <w:szCs w:val="20"/>
      <w:lang w:val="en-US" w:eastAsia="en-US"/>
    </w:rPr>
  </w:style>
  <w:style w:type="paragraph" w:customStyle="1" w:styleId="HeadingBase">
    <w:name w:val="Heading Base"/>
    <w:rsid w:val="00933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9EA"/>
    <w:pPr>
      <w:tabs>
        <w:tab w:val="right" w:leader="dot" w:pos="9072"/>
      </w:tabs>
      <w:ind w:left="567"/>
    </w:pPr>
    <w:rPr>
      <w:szCs w:val="22"/>
    </w:rPr>
  </w:style>
  <w:style w:type="paragraph" w:customStyle="1" w:styleId="TOCBase">
    <w:name w:val="TOC Base"/>
    <w:rsid w:val="00933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9EA"/>
    <w:pPr>
      <w:tabs>
        <w:tab w:val="right" w:leader="dot" w:pos="9072"/>
      </w:tabs>
      <w:spacing w:before="40" w:after="40"/>
      <w:ind w:left="284"/>
    </w:pPr>
    <w:rPr>
      <w:rFonts w:ascii="Times New Roman" w:hAnsi="Times New Roman"/>
    </w:rPr>
  </w:style>
  <w:style w:type="paragraph" w:styleId="TOC1">
    <w:name w:val="toc 1"/>
    <w:basedOn w:val="TOCBase"/>
    <w:next w:val="Normal"/>
    <w:rsid w:val="009339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9EA"/>
    <w:pPr>
      <w:spacing w:before="5040"/>
      <w:jc w:val="center"/>
    </w:pPr>
    <w:rPr>
      <w:sz w:val="48"/>
      <w:szCs w:val="72"/>
      <w:lang w:val="en-US"/>
    </w:rPr>
  </w:style>
  <w:style w:type="character" w:customStyle="1" w:styleId="TitleChar">
    <w:name w:val="Title Char"/>
    <w:link w:val="Title"/>
    <w:rsid w:val="00933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9EA"/>
    <w:pPr>
      <w:tabs>
        <w:tab w:val="left" w:pos="3600"/>
        <w:tab w:val="left" w:pos="3958"/>
      </w:tabs>
    </w:pPr>
  </w:style>
  <w:style w:type="paragraph" w:customStyle="1" w:styleId="Note">
    <w:name w:val="Note"/>
    <w:basedOn w:val="BodyText"/>
    <w:rsid w:val="00933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9EA"/>
    <w:pPr>
      <w:framePr w:wrap="auto" w:hAnchor="text" w:y="6049"/>
    </w:pPr>
    <w:rPr>
      <w:color w:val="000000"/>
      <w:sz w:val="40"/>
    </w:rPr>
  </w:style>
  <w:style w:type="paragraph" w:customStyle="1" w:styleId="TOCTitle">
    <w:name w:val="TOCTitle"/>
    <w:basedOn w:val="Heading1"/>
    <w:rsid w:val="009339EA"/>
    <w:pPr>
      <w:spacing w:after="240"/>
      <w:jc w:val="center"/>
      <w:outlineLvl w:val="9"/>
    </w:pPr>
    <w:rPr>
      <w:caps/>
    </w:rPr>
  </w:style>
  <w:style w:type="paragraph" w:customStyle="1" w:styleId="Version">
    <w:name w:val="Version"/>
    <w:rsid w:val="00933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9EA"/>
    <w:pPr>
      <w:numPr>
        <w:numId w:val="13"/>
      </w:numPr>
      <w:tabs>
        <w:tab w:val="clear" w:pos="680"/>
      </w:tabs>
    </w:pPr>
  </w:style>
  <w:style w:type="paragraph" w:styleId="Index1">
    <w:name w:val="index 1"/>
    <w:basedOn w:val="Normal"/>
    <w:next w:val="Normal"/>
    <w:semiHidden/>
    <w:rsid w:val="009339EA"/>
    <w:pPr>
      <w:keepNext w:val="0"/>
      <w:tabs>
        <w:tab w:val="right" w:pos="4176"/>
      </w:tabs>
      <w:ind w:left="198" w:hanging="198"/>
    </w:pPr>
    <w:rPr>
      <w:rFonts w:ascii="Garamond" w:hAnsi="Garamond"/>
    </w:rPr>
  </w:style>
  <w:style w:type="paragraph" w:styleId="IndexHeading">
    <w:name w:val="index heading"/>
    <w:basedOn w:val="Normal"/>
    <w:next w:val="Index1"/>
    <w:semiHidden/>
    <w:rsid w:val="009339EA"/>
    <w:pPr>
      <w:spacing w:before="120" w:after="120"/>
    </w:pPr>
    <w:rPr>
      <w:rFonts w:ascii="Arial" w:hAnsi="Arial"/>
      <w:b/>
      <w:color w:val="918585"/>
      <w:sz w:val="24"/>
    </w:rPr>
  </w:style>
  <w:style w:type="paragraph" w:customStyle="1" w:styleId="Chapter">
    <w:name w:val="Chapter"/>
    <w:basedOn w:val="Normal"/>
    <w:rsid w:val="009339EA"/>
    <w:pPr>
      <w:spacing w:before="240"/>
    </w:pPr>
    <w:rPr>
      <w:rFonts w:ascii="Times New Roman" w:hAnsi="Times New Roman"/>
      <w:smallCaps/>
      <w:spacing w:val="80"/>
      <w:sz w:val="28"/>
    </w:rPr>
  </w:style>
  <w:style w:type="paragraph" w:customStyle="1" w:styleId="InChapter">
    <w:name w:val="InChapter"/>
    <w:basedOn w:val="Heading3"/>
    <w:rsid w:val="009339EA"/>
    <w:pPr>
      <w:spacing w:after="240"/>
      <w:outlineLvl w:val="9"/>
    </w:pPr>
    <w:rPr>
      <w:noProof/>
    </w:rPr>
  </w:style>
  <w:style w:type="paragraph" w:styleId="Index2">
    <w:name w:val="index 2"/>
    <w:basedOn w:val="Normal"/>
    <w:next w:val="Normal"/>
    <w:semiHidden/>
    <w:rsid w:val="009339EA"/>
    <w:pPr>
      <w:tabs>
        <w:tab w:val="right" w:pos="4176"/>
      </w:tabs>
      <w:ind w:left="568" w:hanging="284"/>
    </w:pPr>
    <w:rPr>
      <w:rFonts w:ascii="Garamond" w:hAnsi="Garamond"/>
    </w:rPr>
  </w:style>
  <w:style w:type="paragraph" w:customStyle="1" w:styleId="Byline">
    <w:name w:val="Byline"/>
    <w:rsid w:val="00933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9EA"/>
    <w:pPr>
      <w:tabs>
        <w:tab w:val="clear" w:pos="3600"/>
        <w:tab w:val="clear" w:pos="3958"/>
      </w:tabs>
      <w:jc w:val="right"/>
    </w:pPr>
  </w:style>
  <w:style w:type="character" w:styleId="Emphasis">
    <w:name w:val="Emphasis"/>
    <w:qFormat/>
    <w:rsid w:val="009339EA"/>
    <w:rPr>
      <w:i/>
    </w:rPr>
  </w:style>
  <w:style w:type="paragraph" w:styleId="Caption">
    <w:name w:val="caption"/>
    <w:basedOn w:val="BodyText"/>
    <w:next w:val="Normal"/>
    <w:qFormat/>
    <w:rsid w:val="009339EA"/>
    <w:pPr>
      <w:framePr w:w="2268" w:hSpace="181" w:vSpace="181" w:wrap="around" w:vAnchor="text" w:hAnchor="page" w:x="1135" w:y="285" w:anchorLock="1"/>
    </w:pPr>
    <w:rPr>
      <w:i/>
    </w:rPr>
  </w:style>
  <w:style w:type="paragraph" w:customStyle="1" w:styleId="MiniTOCTitle">
    <w:name w:val="MiniTOCTitle"/>
    <w:basedOn w:val="Heading4"/>
    <w:rsid w:val="009339EA"/>
    <w:pPr>
      <w:spacing w:before="240"/>
      <w:outlineLvl w:val="9"/>
    </w:pPr>
    <w:rPr>
      <w:noProof/>
      <w:sz w:val="24"/>
    </w:rPr>
  </w:style>
  <w:style w:type="paragraph" w:customStyle="1" w:styleId="MiniTOCItem">
    <w:name w:val="MiniTOCItem"/>
    <w:basedOn w:val="ListBullet"/>
    <w:rsid w:val="009339EA"/>
    <w:pPr>
      <w:numPr>
        <w:numId w:val="0"/>
      </w:numPr>
      <w:tabs>
        <w:tab w:val="right" w:leader="dot" w:pos="6521"/>
      </w:tabs>
      <w:spacing w:before="0" w:after="0"/>
    </w:pPr>
  </w:style>
  <w:style w:type="paragraph" w:customStyle="1" w:styleId="TOFTitle">
    <w:name w:val="TOFTitle"/>
    <w:basedOn w:val="TOCTitle"/>
    <w:rsid w:val="009339EA"/>
  </w:style>
  <w:style w:type="paragraph" w:styleId="TableofFigures">
    <w:name w:val="table of figures"/>
    <w:basedOn w:val="Normal"/>
    <w:next w:val="Normal"/>
    <w:semiHidden/>
    <w:rsid w:val="009339EA"/>
    <w:pPr>
      <w:tabs>
        <w:tab w:val="right" w:leader="dot" w:pos="9072"/>
      </w:tabs>
      <w:ind w:left="970" w:hanging="403"/>
    </w:pPr>
    <w:rPr>
      <w:rFonts w:ascii="Times New Roman" w:hAnsi="Times New Roman"/>
      <w:b/>
    </w:rPr>
  </w:style>
  <w:style w:type="paragraph" w:styleId="ListNumber">
    <w:name w:val="List Number"/>
    <w:basedOn w:val="List"/>
    <w:rsid w:val="009339EA"/>
    <w:pPr>
      <w:numPr>
        <w:numId w:val="10"/>
      </w:numPr>
    </w:pPr>
  </w:style>
  <w:style w:type="character" w:customStyle="1" w:styleId="WingdingSymbols">
    <w:name w:val="Wingding Symbols"/>
    <w:rsid w:val="009339EA"/>
    <w:rPr>
      <w:rFonts w:ascii="Wingdings" w:hAnsi="Wingdings"/>
    </w:rPr>
  </w:style>
  <w:style w:type="paragraph" w:customStyle="1" w:styleId="TableHeading">
    <w:name w:val="Table Heading"/>
    <w:basedOn w:val="HeadingBase"/>
    <w:rsid w:val="009339EA"/>
    <w:pPr>
      <w:keepLines/>
      <w:pBdr>
        <w:bottom w:val="single" w:sz="6" w:space="1" w:color="918585"/>
      </w:pBdr>
      <w:spacing w:before="240"/>
    </w:pPr>
  </w:style>
  <w:style w:type="character" w:customStyle="1" w:styleId="HotSpot">
    <w:name w:val="HotSpot"/>
    <w:rsid w:val="009339EA"/>
    <w:rPr>
      <w:color w:val="0033CC"/>
      <w:u w:val="none"/>
    </w:rPr>
  </w:style>
  <w:style w:type="paragraph" w:customStyle="1" w:styleId="BodyTextRight">
    <w:name w:val="Body Text Right"/>
    <w:basedOn w:val="BodyText"/>
    <w:rsid w:val="009339EA"/>
    <w:pPr>
      <w:spacing w:before="0" w:after="0"/>
      <w:jc w:val="right"/>
    </w:pPr>
  </w:style>
  <w:style w:type="paragraph" w:styleId="Index3">
    <w:name w:val="index 3"/>
    <w:basedOn w:val="ListNumber2"/>
    <w:next w:val="Normal"/>
    <w:semiHidden/>
    <w:rsid w:val="009339EA"/>
    <w:pPr>
      <w:numPr>
        <w:numId w:val="0"/>
      </w:numPr>
      <w:tabs>
        <w:tab w:val="right" w:leader="dot" w:pos="4176"/>
      </w:tabs>
    </w:pPr>
  </w:style>
  <w:style w:type="paragraph" w:styleId="ListNumber2">
    <w:name w:val="List Number 2"/>
    <w:basedOn w:val="List2"/>
    <w:rsid w:val="009339EA"/>
    <w:pPr>
      <w:numPr>
        <w:numId w:val="9"/>
      </w:numPr>
      <w:tabs>
        <w:tab w:val="clear" w:pos="1060"/>
      </w:tabs>
    </w:pPr>
  </w:style>
  <w:style w:type="paragraph" w:customStyle="1" w:styleId="MarginNote">
    <w:name w:val="Margin Note"/>
    <w:basedOn w:val="BodyText"/>
    <w:rsid w:val="00933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39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9EA"/>
    <w:rPr>
      <w:sz w:val="32"/>
    </w:rPr>
  </w:style>
  <w:style w:type="paragraph" w:customStyle="1" w:styleId="HeadingProcedure">
    <w:name w:val="Heading Procedure"/>
    <w:basedOn w:val="HeadingBase"/>
    <w:next w:val="Normal"/>
    <w:rsid w:val="009339EA"/>
    <w:pPr>
      <w:tabs>
        <w:tab w:val="left" w:pos="0"/>
      </w:tabs>
      <w:spacing w:before="120" w:after="60"/>
    </w:pPr>
    <w:rPr>
      <w:i/>
      <w:color w:val="918585"/>
      <w:sz w:val="22"/>
    </w:rPr>
  </w:style>
  <w:style w:type="paragraph" w:customStyle="1" w:styleId="TableBodyText">
    <w:name w:val="Table Body Text"/>
    <w:basedOn w:val="BodyText"/>
    <w:rsid w:val="009339EA"/>
    <w:pPr>
      <w:spacing w:before="60" w:after="60"/>
    </w:pPr>
  </w:style>
  <w:style w:type="paragraph" w:styleId="ListContinue">
    <w:name w:val="List Continue"/>
    <w:basedOn w:val="List"/>
    <w:rsid w:val="009339EA"/>
    <w:pPr>
      <w:ind w:firstLine="0"/>
    </w:pPr>
  </w:style>
  <w:style w:type="paragraph" w:customStyle="1" w:styleId="ListNote">
    <w:name w:val="List Note"/>
    <w:basedOn w:val="List"/>
    <w:rsid w:val="009339EA"/>
    <w:pPr>
      <w:pBdr>
        <w:top w:val="single" w:sz="6" w:space="2" w:color="918585"/>
        <w:bottom w:val="single" w:sz="6" w:space="2" w:color="918585"/>
      </w:pBdr>
      <w:tabs>
        <w:tab w:val="left" w:pos="1021"/>
      </w:tabs>
      <w:ind w:firstLine="0"/>
    </w:pPr>
  </w:style>
  <w:style w:type="paragraph" w:customStyle="1" w:styleId="Warning">
    <w:name w:val="Warning"/>
    <w:basedOn w:val="BodyText"/>
    <w:rsid w:val="009339EA"/>
    <w:pPr>
      <w:shd w:val="clear" w:color="auto" w:fill="D9D9D9"/>
      <w:tabs>
        <w:tab w:val="left" w:pos="992"/>
      </w:tabs>
      <w:ind w:left="119" w:right="119"/>
    </w:pPr>
    <w:rPr>
      <w:sz w:val="20"/>
    </w:rPr>
  </w:style>
  <w:style w:type="paragraph" w:customStyle="1" w:styleId="MarginIcons">
    <w:name w:val="Margin Icons"/>
    <w:basedOn w:val="BodyText"/>
    <w:rsid w:val="009339E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39EA"/>
    <w:rPr>
      <w:rFonts w:ascii="Courier New" w:hAnsi="Courier New"/>
    </w:rPr>
  </w:style>
  <w:style w:type="paragraph" w:customStyle="1" w:styleId="NoteBullet">
    <w:name w:val="Note Bullet"/>
    <w:basedOn w:val="Note"/>
    <w:rsid w:val="009339EA"/>
    <w:pPr>
      <w:tabs>
        <w:tab w:val="clear" w:pos="680"/>
      </w:tabs>
      <w:spacing w:before="60" w:after="60"/>
    </w:pPr>
  </w:style>
  <w:style w:type="paragraph" w:customStyle="1" w:styleId="SubHeading2">
    <w:name w:val="SubHeading2"/>
    <w:basedOn w:val="HeadingBase"/>
    <w:rsid w:val="009339EA"/>
    <w:pPr>
      <w:spacing w:before="240" w:after="60"/>
    </w:pPr>
    <w:rPr>
      <w:sz w:val="20"/>
    </w:rPr>
  </w:style>
  <w:style w:type="paragraph" w:customStyle="1" w:styleId="SubHeading1">
    <w:name w:val="SubHeading1"/>
    <w:basedOn w:val="HeadingBase"/>
    <w:rsid w:val="009339EA"/>
    <w:pPr>
      <w:spacing w:before="240" w:after="60"/>
    </w:pPr>
    <w:rPr>
      <w:color w:val="918585"/>
      <w:sz w:val="22"/>
    </w:rPr>
  </w:style>
  <w:style w:type="paragraph" w:customStyle="1" w:styleId="SideHeading">
    <w:name w:val="Side Heading"/>
    <w:basedOn w:val="HeadingBase"/>
    <w:rsid w:val="00933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9EA"/>
    <w:pPr>
      <w:tabs>
        <w:tab w:val="num" w:pos="360"/>
      </w:tabs>
    </w:pPr>
  </w:style>
  <w:style w:type="paragraph" w:styleId="PlainText">
    <w:name w:val="Plain Text"/>
    <w:basedOn w:val="Normal"/>
    <w:link w:val="PlainTextChar"/>
    <w:rsid w:val="009339EA"/>
    <w:rPr>
      <w:sz w:val="20"/>
    </w:rPr>
  </w:style>
  <w:style w:type="character" w:customStyle="1" w:styleId="PlainTextChar">
    <w:name w:val="Plain Text Char"/>
    <w:basedOn w:val="DefaultParagraphFont"/>
    <w:link w:val="PlainText"/>
    <w:rsid w:val="009339EA"/>
    <w:rPr>
      <w:rFonts w:ascii="Courier New" w:eastAsia="Times New Roman" w:hAnsi="Courier New" w:cs="Times New Roman"/>
      <w:sz w:val="20"/>
      <w:szCs w:val="20"/>
      <w:lang w:val="en-US" w:eastAsia="en-US"/>
    </w:rPr>
  </w:style>
  <w:style w:type="character" w:customStyle="1" w:styleId="MenuOption">
    <w:name w:val="Menu Option"/>
    <w:rsid w:val="009339EA"/>
    <w:rPr>
      <w:b/>
      <w:smallCaps/>
    </w:rPr>
  </w:style>
  <w:style w:type="paragraph" w:customStyle="1" w:styleId="TableListNumber">
    <w:name w:val="Table List Number"/>
    <w:basedOn w:val="ListNumber"/>
    <w:rsid w:val="009339EA"/>
    <w:pPr>
      <w:numPr>
        <w:numId w:val="0"/>
      </w:numPr>
    </w:pPr>
  </w:style>
  <w:style w:type="paragraph" w:styleId="TOC4">
    <w:name w:val="toc 4"/>
    <w:basedOn w:val="TOCBase"/>
    <w:next w:val="Normal"/>
    <w:semiHidden/>
    <w:rsid w:val="009339EA"/>
    <w:pPr>
      <w:tabs>
        <w:tab w:val="right" w:leader="dot" w:pos="9071"/>
      </w:tabs>
      <w:ind w:left="1701"/>
    </w:pPr>
  </w:style>
  <w:style w:type="paragraph" w:customStyle="1" w:styleId="ListAlpha">
    <w:name w:val="List Alpha"/>
    <w:basedOn w:val="List"/>
    <w:rsid w:val="009339EA"/>
    <w:pPr>
      <w:numPr>
        <w:numId w:val="8"/>
      </w:numPr>
    </w:pPr>
  </w:style>
  <w:style w:type="paragraph" w:customStyle="1" w:styleId="ListAlpha2">
    <w:name w:val="List Alpha 2"/>
    <w:basedOn w:val="List2"/>
    <w:rsid w:val="009339EA"/>
    <w:pPr>
      <w:numPr>
        <w:numId w:val="7"/>
      </w:numPr>
    </w:pPr>
  </w:style>
  <w:style w:type="paragraph" w:styleId="List3">
    <w:name w:val="List 3"/>
    <w:basedOn w:val="BodyText"/>
    <w:rsid w:val="009339EA"/>
    <w:pPr>
      <w:tabs>
        <w:tab w:val="left" w:pos="1021"/>
      </w:tabs>
      <w:spacing w:before="60" w:after="60"/>
      <w:ind w:left="1020" w:hanging="340"/>
    </w:pPr>
  </w:style>
  <w:style w:type="paragraph" w:styleId="List4">
    <w:name w:val="List 4"/>
    <w:basedOn w:val="BodyText"/>
    <w:rsid w:val="009339EA"/>
    <w:pPr>
      <w:tabs>
        <w:tab w:val="left" w:pos="1361"/>
      </w:tabs>
      <w:spacing w:before="60" w:after="60"/>
      <w:ind w:left="1361" w:hanging="340"/>
    </w:pPr>
  </w:style>
  <w:style w:type="paragraph" w:styleId="List5">
    <w:name w:val="List 5"/>
    <w:basedOn w:val="BodyText"/>
    <w:rsid w:val="009339EA"/>
    <w:pPr>
      <w:tabs>
        <w:tab w:val="left" w:pos="1701"/>
      </w:tabs>
      <w:spacing w:before="60" w:after="60"/>
      <w:ind w:left="1701" w:hanging="340"/>
    </w:pPr>
  </w:style>
  <w:style w:type="paragraph" w:styleId="ListBullet3">
    <w:name w:val="List Bullet 3"/>
    <w:basedOn w:val="List3"/>
    <w:rsid w:val="009339EA"/>
    <w:pPr>
      <w:numPr>
        <w:numId w:val="14"/>
      </w:numPr>
      <w:tabs>
        <w:tab w:val="clear" w:pos="1021"/>
      </w:tabs>
      <w:ind w:left="1037" w:hanging="357"/>
    </w:pPr>
  </w:style>
  <w:style w:type="paragraph" w:styleId="ListBullet4">
    <w:name w:val="List Bullet 4"/>
    <w:basedOn w:val="List4"/>
    <w:rsid w:val="009339EA"/>
    <w:pPr>
      <w:numPr>
        <w:numId w:val="2"/>
      </w:numPr>
    </w:pPr>
  </w:style>
  <w:style w:type="paragraph" w:styleId="ListBullet5">
    <w:name w:val="List Bullet 5"/>
    <w:basedOn w:val="List5"/>
    <w:rsid w:val="009339EA"/>
    <w:pPr>
      <w:numPr>
        <w:numId w:val="3"/>
      </w:numPr>
    </w:pPr>
  </w:style>
  <w:style w:type="paragraph" w:styleId="ListContinue2">
    <w:name w:val="List Continue 2"/>
    <w:basedOn w:val="List2"/>
    <w:rsid w:val="009339EA"/>
    <w:pPr>
      <w:ind w:firstLine="0"/>
    </w:pPr>
  </w:style>
  <w:style w:type="paragraph" w:styleId="ListContinue3">
    <w:name w:val="List Continue 3"/>
    <w:basedOn w:val="List3"/>
    <w:rsid w:val="009339EA"/>
    <w:pPr>
      <w:ind w:left="1021" w:firstLine="0"/>
    </w:pPr>
  </w:style>
  <w:style w:type="paragraph" w:styleId="ListContinue4">
    <w:name w:val="List Continue 4"/>
    <w:basedOn w:val="List4"/>
    <w:rsid w:val="009339EA"/>
    <w:pPr>
      <w:ind w:firstLine="0"/>
    </w:pPr>
  </w:style>
  <w:style w:type="paragraph" w:styleId="ListContinue5">
    <w:name w:val="List Continue 5"/>
    <w:basedOn w:val="List5"/>
    <w:rsid w:val="009339EA"/>
    <w:pPr>
      <w:ind w:firstLine="0"/>
    </w:pPr>
  </w:style>
  <w:style w:type="paragraph" w:styleId="ListNumber3">
    <w:name w:val="List Number 3"/>
    <w:basedOn w:val="List3"/>
    <w:rsid w:val="009339EA"/>
    <w:pPr>
      <w:numPr>
        <w:numId w:val="4"/>
      </w:numPr>
    </w:pPr>
  </w:style>
  <w:style w:type="paragraph" w:styleId="ListNumber4">
    <w:name w:val="List Number 4"/>
    <w:basedOn w:val="List4"/>
    <w:rsid w:val="009339EA"/>
    <w:pPr>
      <w:numPr>
        <w:numId w:val="5"/>
      </w:numPr>
    </w:pPr>
  </w:style>
  <w:style w:type="paragraph" w:styleId="ListNumber5">
    <w:name w:val="List Number 5"/>
    <w:basedOn w:val="List5"/>
    <w:rsid w:val="009339EA"/>
    <w:pPr>
      <w:numPr>
        <w:numId w:val="6"/>
      </w:numPr>
    </w:pPr>
  </w:style>
  <w:style w:type="paragraph" w:styleId="BlockText">
    <w:name w:val="Block Text"/>
    <w:basedOn w:val="Normal"/>
    <w:rsid w:val="009339EA"/>
    <w:pPr>
      <w:spacing w:after="120"/>
      <w:ind w:left="1440" w:right="1440"/>
    </w:pPr>
  </w:style>
  <w:style w:type="character" w:customStyle="1" w:styleId="Subscript">
    <w:name w:val="Subscript"/>
    <w:rsid w:val="009339EA"/>
    <w:rPr>
      <w:sz w:val="16"/>
      <w:vertAlign w:val="subscript"/>
    </w:rPr>
  </w:style>
  <w:style w:type="character" w:customStyle="1" w:styleId="Superscript">
    <w:name w:val="Superscript"/>
    <w:rsid w:val="009339EA"/>
    <w:rPr>
      <w:sz w:val="16"/>
      <w:vertAlign w:val="superscript"/>
    </w:rPr>
  </w:style>
  <w:style w:type="character" w:customStyle="1" w:styleId="Symbols">
    <w:name w:val="Symbols"/>
    <w:rsid w:val="009339EA"/>
    <w:rPr>
      <w:rFonts w:ascii="Symbol" w:hAnsi="Symbol"/>
    </w:rPr>
  </w:style>
  <w:style w:type="character" w:customStyle="1" w:styleId="MenuOptions">
    <w:name w:val="Menu Options"/>
    <w:rsid w:val="009339EA"/>
    <w:rPr>
      <w:rFonts w:ascii="Arial Narrow" w:hAnsi="Arial Narrow"/>
      <w:smallCaps/>
    </w:rPr>
  </w:style>
  <w:style w:type="character" w:customStyle="1" w:styleId="Buttons">
    <w:name w:val="Buttons"/>
    <w:rsid w:val="009339EA"/>
    <w:rPr>
      <w:b/>
    </w:rPr>
  </w:style>
  <w:style w:type="character" w:customStyle="1" w:styleId="Underlined">
    <w:name w:val="Underlined"/>
    <w:rsid w:val="009339EA"/>
    <w:rPr>
      <w:u w:val="single"/>
    </w:rPr>
  </w:style>
  <w:style w:type="paragraph" w:customStyle="1" w:styleId="TableBodyTextRight">
    <w:name w:val="Table Body Text Right"/>
    <w:basedOn w:val="TableBodyText"/>
    <w:rsid w:val="009339EA"/>
    <w:pPr>
      <w:widowControl w:val="0"/>
      <w:autoSpaceDE w:val="0"/>
      <w:autoSpaceDN w:val="0"/>
      <w:adjustRightInd w:val="0"/>
      <w:jc w:val="right"/>
    </w:pPr>
    <w:rPr>
      <w:rFonts w:cs="Arial"/>
      <w:szCs w:val="18"/>
    </w:rPr>
  </w:style>
  <w:style w:type="paragraph" w:customStyle="1" w:styleId="CopyrightText">
    <w:name w:val="Copyright Text"/>
    <w:basedOn w:val="BodyText"/>
    <w:rsid w:val="009339EA"/>
    <w:rPr>
      <w:sz w:val="18"/>
    </w:rPr>
  </w:style>
  <w:style w:type="paragraph" w:customStyle="1" w:styleId="BodySmallRight">
    <w:name w:val="Body Small Right"/>
    <w:basedOn w:val="BodyTextRight"/>
    <w:rsid w:val="009339EA"/>
    <w:rPr>
      <w:sz w:val="18"/>
      <w:szCs w:val="18"/>
    </w:rPr>
  </w:style>
  <w:style w:type="paragraph" w:customStyle="1" w:styleId="MarginEdition">
    <w:name w:val="Margin Edition"/>
    <w:basedOn w:val="MarginNote"/>
    <w:rsid w:val="009339EA"/>
    <w:pPr>
      <w:spacing w:before="0" w:after="0"/>
    </w:pPr>
    <w:rPr>
      <w:rFonts w:ascii="Times New Roman" w:hAnsi="Times New Roman"/>
      <w:color w:val="999999"/>
    </w:rPr>
  </w:style>
  <w:style w:type="paragraph" w:customStyle="1" w:styleId="Spacer">
    <w:name w:val="Spacer"/>
    <w:basedOn w:val="Normal"/>
    <w:rsid w:val="009339EA"/>
    <w:rPr>
      <w:sz w:val="2"/>
      <w:szCs w:val="2"/>
    </w:rPr>
  </w:style>
  <w:style w:type="character" w:customStyle="1" w:styleId="Small">
    <w:name w:val="Small"/>
    <w:rsid w:val="009339EA"/>
    <w:rPr>
      <w:sz w:val="16"/>
    </w:rPr>
  </w:style>
  <w:style w:type="paragraph" w:customStyle="1" w:styleId="WideTable">
    <w:name w:val="Wide Table"/>
    <w:basedOn w:val="Normal"/>
    <w:rsid w:val="009339EA"/>
    <w:pPr>
      <w:ind w:left="-1418"/>
    </w:pPr>
    <w:rPr>
      <w:sz w:val="2"/>
      <w:szCs w:val="2"/>
    </w:rPr>
  </w:style>
  <w:style w:type="character" w:styleId="PageNumber">
    <w:name w:val="page number"/>
    <w:rsid w:val="009339EA"/>
  </w:style>
  <w:style w:type="paragraph" w:styleId="Quote">
    <w:name w:val="Quote"/>
    <w:basedOn w:val="Heading1"/>
    <w:link w:val="QuoteChar"/>
    <w:qFormat/>
    <w:rsid w:val="009339EA"/>
    <w:rPr>
      <w:b w:val="0"/>
      <w:sz w:val="72"/>
      <w:szCs w:val="72"/>
      <w:lang w:val="en-NZ"/>
    </w:rPr>
  </w:style>
  <w:style w:type="character" w:customStyle="1" w:styleId="QuoteChar">
    <w:name w:val="Quote Char"/>
    <w:link w:val="Quote"/>
    <w:rsid w:val="00933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9EA"/>
    <w:pPr>
      <w:pageBreakBefore/>
    </w:pPr>
  </w:style>
  <w:style w:type="paragraph" w:customStyle="1" w:styleId="Border">
    <w:name w:val="Border"/>
    <w:basedOn w:val="Normal"/>
    <w:qFormat/>
    <w:rsid w:val="009339EA"/>
    <w:pPr>
      <w:pBdr>
        <w:top w:val="single" w:sz="18" w:space="1" w:color="auto"/>
      </w:pBdr>
    </w:pPr>
    <w:rPr>
      <w:rFonts w:ascii="Times New Roman" w:hAnsi="Times New Roman"/>
      <w:color w:val="FFFFFF"/>
      <w:sz w:val="2"/>
    </w:rPr>
  </w:style>
  <w:style w:type="character" w:styleId="IntenseEmphasis">
    <w:name w:val="Intense Emphasis"/>
    <w:uiPriority w:val="21"/>
    <w:qFormat/>
    <w:rsid w:val="009339EA"/>
    <w:rPr>
      <w:b/>
      <w:bCs/>
      <w:i/>
      <w:iCs/>
      <w:color w:val="auto"/>
    </w:rPr>
  </w:style>
  <w:style w:type="paragraph" w:styleId="IntenseQuote">
    <w:name w:val="Intense Quote"/>
    <w:basedOn w:val="Normal"/>
    <w:next w:val="Normal"/>
    <w:link w:val="IntenseQuoteChar"/>
    <w:uiPriority w:val="30"/>
    <w:qFormat/>
    <w:rsid w:val="009339E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39EA"/>
    <w:rPr>
      <w:rFonts w:ascii="Courier New" w:eastAsia="Times New Roman" w:hAnsi="Courier New" w:cs="Times New Roman"/>
      <w:b/>
      <w:bCs/>
      <w:i/>
      <w:iCs/>
      <w:szCs w:val="20"/>
      <w:lang w:val="en-US" w:eastAsia="en-US"/>
    </w:rPr>
  </w:style>
  <w:style w:type="character" w:styleId="SubtleReference">
    <w:name w:val="Subtle Reference"/>
    <w:uiPriority w:val="31"/>
    <w:qFormat/>
    <w:rsid w:val="009339EA"/>
    <w:rPr>
      <w:smallCaps/>
      <w:color w:val="auto"/>
      <w:u w:val="single"/>
    </w:rPr>
  </w:style>
  <w:style w:type="character" w:styleId="IntenseReference">
    <w:name w:val="Intense Reference"/>
    <w:uiPriority w:val="32"/>
    <w:qFormat/>
    <w:rsid w:val="009339EA"/>
    <w:rPr>
      <w:b/>
      <w:bCs/>
      <w:smallCaps/>
      <w:color w:val="auto"/>
      <w:spacing w:val="5"/>
      <w:u w:val="single"/>
    </w:rPr>
  </w:style>
  <w:style w:type="paragraph" w:customStyle="1" w:styleId="2ColumnHeading">
    <w:name w:val="2Column Heading"/>
    <w:basedOn w:val="BodyText"/>
    <w:qFormat/>
    <w:rsid w:val="009339EA"/>
    <w:pPr>
      <w:spacing w:after="60"/>
      <w:ind w:left="-2268"/>
    </w:pPr>
    <w:rPr>
      <w:b/>
    </w:rPr>
  </w:style>
  <w:style w:type="paragraph" w:customStyle="1" w:styleId="Heading1TOC">
    <w:name w:val="Heading1 TOC"/>
    <w:basedOn w:val="Normal"/>
    <w:qFormat/>
    <w:rsid w:val="009339EA"/>
    <w:pPr>
      <w:spacing w:before="240" w:after="120"/>
    </w:pPr>
    <w:rPr>
      <w:rFonts w:ascii="Times New Roman" w:hAnsi="Times New Roman"/>
      <w:b/>
      <w:sz w:val="32"/>
    </w:rPr>
  </w:style>
  <w:style w:type="paragraph" w:customStyle="1" w:styleId="Heading2TOC">
    <w:name w:val="Heading2 TOC"/>
    <w:basedOn w:val="Normal"/>
    <w:qFormat/>
    <w:rsid w:val="009339EA"/>
    <w:pPr>
      <w:spacing w:before="240" w:after="60"/>
    </w:pPr>
    <w:rPr>
      <w:rFonts w:ascii="Times New Roman" w:hAnsi="Times New Roman"/>
      <w:b/>
      <w:sz w:val="28"/>
    </w:rPr>
  </w:style>
  <w:style w:type="character" w:customStyle="1" w:styleId="Underline">
    <w:name w:val="Underline"/>
    <w:qFormat/>
    <w:rsid w:val="009339EA"/>
    <w:rPr>
      <w:u w:val="single"/>
    </w:rPr>
  </w:style>
  <w:style w:type="character" w:customStyle="1" w:styleId="BoldandItalics">
    <w:name w:val="Bold and Italics"/>
    <w:qFormat/>
    <w:rsid w:val="009339EA"/>
    <w:rPr>
      <w:b/>
      <w:i/>
      <w:u w:val="none"/>
    </w:rPr>
  </w:style>
  <w:style w:type="paragraph" w:styleId="BalloonText">
    <w:name w:val="Balloon Text"/>
    <w:basedOn w:val="Normal"/>
    <w:link w:val="BalloonTextChar"/>
    <w:rsid w:val="009339EA"/>
    <w:rPr>
      <w:rFonts w:ascii="Tahoma" w:hAnsi="Tahoma" w:cs="Tahoma"/>
      <w:sz w:val="16"/>
      <w:szCs w:val="16"/>
    </w:rPr>
  </w:style>
  <w:style w:type="character" w:customStyle="1" w:styleId="BalloonTextChar">
    <w:name w:val="Balloon Text Char"/>
    <w:link w:val="BalloonText"/>
    <w:rsid w:val="009339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9E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39E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963</Words>
  <Characters>5925</Characters>
  <Application>Microsoft Office Word</Application>
  <DocSecurity>0</DocSecurity>
  <Lines>209</Lines>
  <Paragraphs>86</Paragraphs>
  <ScaleCrop>false</ScaleCrop>
  <Company>Author-it Software Corporation Ltd.</Company>
  <LinksUpToDate>false</LinksUpToDate>
  <CharactersWithSpaces>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MEM09002B Interpret technical drawing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2012-05-27T01:38:00Z</dcterms:created>
  <dcterms:modified xsi:type="dcterms:W3CDTF">2012-05-27T01:38:00Z</dcterms:modified>
</cp:coreProperties>
</file>