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389" w:rsidP="00975389">
      <w:pPr>
        <w:pStyle w:val="Title"/>
      </w:pPr>
      <w:r>
        <w:fldChar w:fldCharType="begin"/>
      </w:r>
      <w:r>
        <w:instrText xml:space="preserve"> TITLE   \* MERGEFORMAT </w:instrText>
      </w:r>
      <w:r>
        <w:fldChar w:fldCharType="separate"/>
      </w:r>
      <w:r>
        <w:t>MEM08016B Control blast coating by-products, materials and emissions</w:t>
      </w:r>
      <w:r>
        <w:fldChar w:fldCharType="end"/>
      </w:r>
    </w:p>
    <w:p w:rsidR="00975389" w:rsidP="00975389">
      <w:pPr>
        <w:pStyle w:val="Version"/>
        <w:sectPr w:rsidSect="00CE4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40F" w:rsidP="00CE440F">
      <w:pPr>
        <w:pStyle w:val="SuperHeading"/>
      </w:pPr>
      <w:r w:rsidRPr="00CE440F">
        <w:t>MEM08016B Control blast coating by-products, materials and emissions</w:t>
      </w:r>
    </w:p>
    <w:p w:rsidR="00000000" w:rsidRPr="00CE440F" w:rsidP="00CE440F">
      <w:pPr>
        <w:pStyle w:val="Heading1"/>
      </w:pPr>
      <w:bookmarkStart w:id="1" w:name="O_272098"/>
      <w:bookmarkEnd w:id="1"/>
      <w:r w:rsidRPr="00CE440F">
        <w:t>Modification History</w:t>
      </w:r>
    </w:p>
    <w:p w:rsidR="00000000" w:rsidRPr="00CE440F" w:rsidP="00CE440F">
      <w:pPr>
        <w:pStyle w:val="BodyText"/>
      </w:pPr>
      <w:r w:rsidRPr="00CE440F">
        <w:t>Not Applicable</w:t>
      </w:r>
    </w:p>
    <w:p w:rsidR="00000000" w:rsidRPr="00CE440F" w:rsidP="00CE440F">
      <w:pPr>
        <w:pStyle w:val="AllowPageBreak"/>
      </w:pPr>
    </w:p>
    <w:p w:rsidR="00000000" w:rsidRPr="00CE440F" w:rsidP="00CE440F">
      <w:pPr>
        <w:pStyle w:val="Heading1"/>
      </w:pPr>
      <w:bookmarkStart w:id="2" w:name="O_211124"/>
      <w:bookmarkEnd w:id="2"/>
      <w:r w:rsidRPr="00CE440F">
        <w:t>Unit Descriptor</w:t>
      </w:r>
    </w:p>
    <w:tbl>
      <w:tblPr>
        <w:tblW w:w="0" w:type="auto"/>
        <w:tblLayout w:type="fixed"/>
        <w:tblCellMar>
          <w:left w:w="62" w:type="dxa"/>
          <w:right w:w="62" w:type="dxa"/>
        </w:tblCellMar>
        <w:tblLook w:val="0000"/>
      </w:tblPr>
      <w:tblGrid>
        <w:gridCol w:w="2673"/>
        <w:gridCol w:w="5849"/>
      </w:tblGrid>
      <w:tr w:rsidTr="0097538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Unit descrip</w:t>
            </w:r>
            <w:r w:rsidRPr="00CE440F">
              <w:rPr>
                <w:rStyle w:val="SpecialBold"/>
              </w:rPr>
              <w:t>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This unit covers identifying, evaluating and controlling blaster coating by-products, materials and emissions.</w:t>
            </w:r>
          </w:p>
        </w:tc>
      </w:tr>
    </w:tbl>
    <w:p w:rsidR="00975389" w:rsidP="00CE440F">
      <w:pPr>
        <w:pStyle w:val="BodyText"/>
      </w:pPr>
    </w:p>
    <w:p w:rsidR="00975389" w:rsidP="00CE440F">
      <w:pPr>
        <w:pStyle w:val="BodyText"/>
      </w:pPr>
    </w:p>
    <w:p w:rsidR="00000000" w:rsidRPr="00CE440F" w:rsidP="00CE440F">
      <w:pPr>
        <w:pStyle w:val="Heading1"/>
      </w:pPr>
      <w:bookmarkStart w:id="3" w:name="O_211128"/>
      <w:bookmarkEnd w:id="3"/>
      <w:r w:rsidRPr="00CE440F">
        <w:t>Application of the Unit</w:t>
      </w:r>
    </w:p>
    <w:tbl>
      <w:tblPr>
        <w:tblW w:w="0" w:type="auto"/>
        <w:tblLayout w:type="fixed"/>
        <w:tblCellMar>
          <w:left w:w="62" w:type="dxa"/>
          <w:right w:w="62" w:type="dxa"/>
        </w:tblCellMar>
        <w:tblLook w:val="0000"/>
      </w:tblPr>
      <w:tblGrid>
        <w:gridCol w:w="2745"/>
        <w:gridCol w:w="5777"/>
      </w:tblGrid>
      <w:tr w:rsidTr="0097538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This unit applies to common containment practices and regulatory waste removal processes, documentation and implementation related to blaster coating by-products, materials and emissions in accordance with regulatory and legislative requirements.</w:t>
            </w:r>
          </w:p>
          <w:p w:rsidR="00000000" w:rsidRPr="00CE440F" w:rsidP="00CE440F">
            <w:pPr>
              <w:pStyle w:val="BodyText"/>
            </w:pPr>
          </w:p>
          <w:p w:rsidR="00000000" w:rsidRPr="00CE440F" w:rsidP="00CE440F">
            <w:pPr>
              <w:pStyle w:val="BodyText"/>
            </w:pPr>
            <w:r w:rsidRPr="00CE440F">
              <w:rPr>
                <w:rStyle w:val="SpecialBold"/>
              </w:rPr>
              <w:t>Band</w:t>
            </w:r>
            <w:r w:rsidRPr="00CE440F">
              <w:t>:</w:t>
            </w:r>
            <w:r w:rsidRPr="00CE440F">
              <w:tab/>
            </w:r>
            <w:r w:rsidRPr="00CE440F">
              <w:rPr>
                <w:rStyle w:val="SpecialBold"/>
              </w:rPr>
              <w:t>A</w:t>
            </w:r>
          </w:p>
          <w:p w:rsidR="00000000" w:rsidRPr="00CE440F" w:rsidP="00CE440F">
            <w:pPr>
              <w:pStyle w:val="BodyText"/>
            </w:pPr>
            <w:r w:rsidRPr="00CE440F">
              <w:rPr>
                <w:rStyle w:val="SpecialBold"/>
              </w:rPr>
              <w:t>Unit Weight</w:t>
            </w:r>
            <w:r w:rsidRPr="00CE440F">
              <w:t>:</w:t>
            </w:r>
            <w:r w:rsidRPr="00CE440F">
              <w:tab/>
            </w:r>
            <w:r w:rsidRPr="00CE440F">
              <w:rPr>
                <w:rStyle w:val="SpecialBold"/>
              </w:rPr>
              <w:t>1</w:t>
            </w:r>
          </w:p>
        </w:tc>
      </w:tr>
    </w:tbl>
    <w:p w:rsidR="00975389" w:rsidP="00CE440F">
      <w:pPr>
        <w:pStyle w:val="BodyText"/>
      </w:pPr>
    </w:p>
    <w:p w:rsidR="00975389" w:rsidP="00CE440F">
      <w:pPr>
        <w:pStyle w:val="BodyText"/>
      </w:pPr>
    </w:p>
    <w:p w:rsidR="00000000" w:rsidRPr="00CE440F" w:rsidP="00CE440F">
      <w:pPr>
        <w:pStyle w:val="Heading1"/>
      </w:pPr>
      <w:bookmarkStart w:id="4" w:name="O_280358"/>
      <w:bookmarkEnd w:id="4"/>
      <w:r w:rsidRPr="00CE440F">
        <w:t>Licensing/Regulatory Information</w:t>
      </w:r>
    </w:p>
    <w:p w:rsidR="00000000" w:rsidRPr="00CE440F" w:rsidP="00CE440F">
      <w:pPr>
        <w:pStyle w:val="BodyText"/>
      </w:pPr>
      <w:r w:rsidRPr="00CE440F">
        <w:t>Not Applicable</w:t>
      </w:r>
    </w:p>
    <w:p w:rsidR="00000000" w:rsidRPr="00CE440F" w:rsidP="00CE440F">
      <w:pPr>
        <w:pStyle w:val="AllowPageBreak"/>
      </w:pPr>
    </w:p>
    <w:p w:rsidR="00000000" w:rsidRPr="00CE440F" w:rsidP="00CE440F">
      <w:pPr>
        <w:pStyle w:val="Heading1"/>
      </w:pPr>
      <w:bookmarkStart w:id="5" w:name="O_211126"/>
      <w:bookmarkEnd w:id="5"/>
      <w:r w:rsidRPr="00CE440F">
        <w:t>Pre-Requisites</w:t>
      </w:r>
    </w:p>
    <w:tbl>
      <w:tblPr>
        <w:tblW w:w="0" w:type="auto"/>
        <w:tblLayout w:type="fixed"/>
        <w:tblCellMar>
          <w:left w:w="62" w:type="dxa"/>
          <w:right w:w="62" w:type="dxa"/>
        </w:tblCellMar>
        <w:tblLook w:val="0000"/>
      </w:tblPr>
      <w:tblGrid>
        <w:gridCol w:w="2720"/>
        <w:gridCol w:w="2195"/>
        <w:gridCol w:w="3607"/>
      </w:tblGrid>
      <w:tr w:rsidTr="00975389">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p>
        </w:tc>
      </w:tr>
      <w:tr w:rsidTr="00975389">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Work safely with industrial chemicals and materials</w:t>
            </w:r>
          </w:p>
        </w:tc>
      </w:tr>
      <w:tr w:rsidTr="00975389">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p>
        </w:tc>
      </w:tr>
    </w:tbl>
    <w:p w:rsidR="00975389" w:rsidP="00CE440F">
      <w:pPr>
        <w:pStyle w:val="BodyText"/>
      </w:pPr>
    </w:p>
    <w:p w:rsidR="00975389" w:rsidP="00CE440F">
      <w:pPr>
        <w:pStyle w:val="BodyText"/>
      </w:pPr>
    </w:p>
    <w:p w:rsidR="00000000" w:rsidRPr="00CE440F" w:rsidP="00CE440F">
      <w:pPr>
        <w:pStyle w:val="Heading1"/>
      </w:pPr>
      <w:bookmarkStart w:id="6" w:name="O_211125"/>
      <w:bookmarkEnd w:id="6"/>
      <w:r w:rsidRPr="00CE440F">
        <w:t>Employability Skills Information</w:t>
      </w:r>
    </w:p>
    <w:tbl>
      <w:tblPr>
        <w:tblW w:w="0" w:type="auto"/>
        <w:tblLayout w:type="fixed"/>
        <w:tblCellMar>
          <w:left w:w="62" w:type="dxa"/>
          <w:right w:w="62" w:type="dxa"/>
        </w:tblCellMar>
        <w:tblLook w:val="0000"/>
      </w:tblPr>
      <w:tblGrid>
        <w:gridCol w:w="2802"/>
        <w:gridCol w:w="5720"/>
      </w:tblGrid>
      <w:tr w:rsidTr="009753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This unit contains employability skills.</w:t>
            </w:r>
          </w:p>
        </w:tc>
      </w:tr>
    </w:tbl>
    <w:p w:rsidR="00975389" w:rsidP="00CE440F">
      <w:pPr>
        <w:pStyle w:val="BodyText"/>
      </w:pPr>
    </w:p>
    <w:p w:rsidR="00975389" w:rsidP="00CE440F">
      <w:pPr>
        <w:pStyle w:val="BodyText"/>
      </w:pPr>
    </w:p>
    <w:p w:rsidR="00000000" w:rsidRPr="00CE440F" w:rsidP="00CE440F">
      <w:pPr>
        <w:pStyle w:val="Heading1"/>
      </w:pPr>
      <w:bookmarkStart w:id="7" w:name="O_290144"/>
      <w:bookmarkEnd w:id="7"/>
      <w:r w:rsidRPr="00CE440F">
        <w:t>Elements and Performance Criteria Pre-Content</w:t>
      </w:r>
    </w:p>
    <w:tbl>
      <w:tblPr>
        <w:tblW w:w="0" w:type="auto"/>
        <w:tblLayout w:type="fixed"/>
        <w:tblCellMar>
          <w:left w:w="62" w:type="dxa"/>
          <w:right w:w="62" w:type="dxa"/>
        </w:tblCellMar>
        <w:tblLook w:val="0000"/>
      </w:tblPr>
      <w:tblGrid>
        <w:gridCol w:w="2571"/>
        <w:gridCol w:w="5951"/>
      </w:tblGrid>
      <w:tr w:rsidTr="0097538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Performance criteria describe</w:t>
            </w:r>
            <w:r w:rsidRPr="00CE440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CE440F">
              <w:t>the evidence guide.</w:t>
            </w:r>
          </w:p>
        </w:tc>
      </w:tr>
    </w:tbl>
    <w:p w:rsidR="00000000" w:rsidRPr="00CE440F" w:rsidP="00CE440F">
      <w:pPr>
        <w:pStyle w:val="BodyText"/>
      </w:pPr>
    </w:p>
    <w:p w:rsidR="00000000" w:rsidRPr="00CE440F" w:rsidP="00CE440F">
      <w:pPr>
        <w:pStyle w:val="AllowPageBreak"/>
      </w:pPr>
    </w:p>
    <w:p w:rsidR="00000000" w:rsidRPr="00CE440F" w:rsidP="00CE440F">
      <w:pPr>
        <w:pStyle w:val="Heading1"/>
      </w:pPr>
      <w:bookmarkStart w:id="8" w:name="O_236811"/>
      <w:bookmarkEnd w:id="8"/>
      <w:r w:rsidRPr="00CE440F">
        <w:t>Elements and Performance Criteria</w:t>
      </w:r>
    </w:p>
    <w:tbl>
      <w:tblPr>
        <w:tblW w:w="0" w:type="auto"/>
        <w:tblLayout w:type="fixed"/>
        <w:tblCellMar>
          <w:left w:w="62" w:type="dxa"/>
          <w:right w:w="62" w:type="dxa"/>
        </w:tblCellMar>
        <w:tblLook w:val="0000"/>
      </w:tblPr>
      <w:tblGrid>
        <w:gridCol w:w="2571"/>
        <w:gridCol w:w="5951"/>
      </w:tblGrid>
      <w:tr w:rsidTr="00975389">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PERFORMANCE CRITERIA</w:t>
            </w:r>
          </w:p>
        </w:tc>
      </w:tr>
      <w:tr w:rsidTr="0097538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List"/>
              <w:rPr>
                <w:lang w:val="en-NZ"/>
              </w:rPr>
            </w:pPr>
            <w:r w:rsidRPr="00CE440F">
              <w:t>1.</w:t>
            </w:r>
            <w:r w:rsidRPr="00CE440F">
              <w:tab/>
              <w:t xml:space="preserve">Apply specific health and safety considerations to surface preparation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List2"/>
            </w:pPr>
            <w:r w:rsidRPr="00CE440F">
              <w:t>1.1.</w:t>
            </w:r>
            <w:r w:rsidRPr="00CE440F">
              <w:tab/>
            </w:r>
            <w:r w:rsidRPr="00CE440F">
              <w:t>Products, hazardous materials and processes used in blaster cleaning and coating operations are identified.</w:t>
            </w:r>
          </w:p>
          <w:p w:rsidR="00000000" w:rsidRPr="00CE440F" w:rsidP="00CE440F">
            <w:pPr>
              <w:pStyle w:val="List2"/>
            </w:pPr>
            <w:r w:rsidRPr="00CE440F">
              <w:t>1.2.</w:t>
            </w:r>
            <w:r w:rsidRPr="00CE440F">
              <w:tab/>
              <w:t>Safety procedures appropriate to the work requirements are applied.</w:t>
            </w:r>
          </w:p>
          <w:p w:rsidR="00000000" w:rsidP="00CE440F">
            <w:pPr>
              <w:pStyle w:val="List2"/>
              <w:rPr>
                <w:lang w:val="en-NZ"/>
              </w:rPr>
            </w:pPr>
            <w:r w:rsidRPr="00CE440F">
              <w:t>1.3.</w:t>
            </w:r>
            <w:r w:rsidRPr="00CE440F">
              <w:tab/>
              <w:t>Unsafe working conditions are identified and reported to appropriate p</w:t>
            </w:r>
            <w:r w:rsidRPr="00CE440F">
              <w:t>ersonnel.</w:t>
            </w:r>
          </w:p>
        </w:tc>
      </w:tr>
      <w:tr w:rsidTr="0097538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List"/>
              <w:rPr>
                <w:lang w:val="en-NZ"/>
              </w:rPr>
            </w:pPr>
            <w:r w:rsidRPr="00CE440F">
              <w:t>2.</w:t>
            </w:r>
            <w:r w:rsidRPr="00CE440F">
              <w:tab/>
              <w:t>Control by-products, materials and emissions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List2"/>
            </w:pPr>
            <w:r w:rsidRPr="00CE440F">
              <w:t>2.1.</w:t>
            </w:r>
            <w:r w:rsidRPr="00CE440F">
              <w:tab/>
              <w:t>By-products, materials and emissions are contained using established procedures.</w:t>
            </w:r>
          </w:p>
          <w:p w:rsidR="00000000" w:rsidRPr="00CE440F" w:rsidP="00CE440F">
            <w:pPr>
              <w:pStyle w:val="List2"/>
            </w:pPr>
            <w:r w:rsidRPr="00CE440F">
              <w:t>2.2.</w:t>
            </w:r>
            <w:r w:rsidRPr="00CE440F">
              <w:tab/>
              <w:t>By-products, materials and emissions are monitored and directed to appropriate treatment or storage area.</w:t>
            </w:r>
          </w:p>
          <w:p w:rsidR="00000000" w:rsidRPr="00CE440F" w:rsidP="00CE440F">
            <w:pPr>
              <w:pStyle w:val="List2"/>
            </w:pPr>
            <w:r w:rsidRPr="00CE440F">
              <w:t>2.3.</w:t>
            </w:r>
            <w:r w:rsidRPr="00CE440F">
              <w:tab/>
              <w:t>Monitoring devices are checked for correct/continuous operation.</w:t>
            </w:r>
          </w:p>
          <w:p w:rsidR="00000000" w:rsidP="00CE440F">
            <w:pPr>
              <w:pStyle w:val="List2"/>
              <w:rPr>
                <w:lang w:val="en-NZ"/>
              </w:rPr>
            </w:pPr>
            <w:r w:rsidRPr="00CE440F">
              <w:t>2.4.</w:t>
            </w:r>
            <w:r w:rsidRPr="00CE440F">
              <w:tab/>
              <w:t>Status/reports are recorded and reported.</w:t>
            </w:r>
          </w:p>
        </w:tc>
      </w:tr>
      <w:tr w:rsidTr="0097538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List"/>
              <w:rPr>
                <w:lang w:val="en-NZ"/>
              </w:rPr>
            </w:pPr>
            <w:r w:rsidRPr="00CE440F">
              <w:t>3.</w:t>
            </w:r>
            <w:r w:rsidRPr="00CE440F">
              <w:tab/>
              <w:t>Dispose of by-product, materials and emissions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List2"/>
            </w:pPr>
            <w:r w:rsidRPr="00CE440F">
              <w:t>3.1.</w:t>
            </w:r>
            <w:r w:rsidRPr="00CE440F">
              <w:tab/>
              <w:t>Waste treatment processes are applied in accordance with standard operating procedu</w:t>
            </w:r>
            <w:r w:rsidRPr="00CE440F">
              <w:t>res.</w:t>
            </w:r>
          </w:p>
          <w:p w:rsidR="00000000" w:rsidRPr="00CE440F" w:rsidP="00CE440F">
            <w:pPr>
              <w:pStyle w:val="List2"/>
            </w:pPr>
            <w:r w:rsidRPr="00CE440F">
              <w:t>3.2.</w:t>
            </w:r>
            <w:r w:rsidRPr="00CE440F">
              <w:tab/>
              <w:t>Treatment processes are carried out in accordance with standard operating procedures and to meet relevant authority waste requirements.</w:t>
            </w:r>
          </w:p>
        </w:tc>
      </w:tr>
    </w:tbl>
    <w:p w:rsidR="00975389" w:rsidP="00CE440F">
      <w:pPr>
        <w:pStyle w:val="BodyText"/>
      </w:pPr>
    </w:p>
    <w:p w:rsidR="00975389" w:rsidP="00CE440F">
      <w:pPr>
        <w:pStyle w:val="BodyText"/>
      </w:pPr>
    </w:p>
    <w:p w:rsidR="00000000" w:rsidRPr="00CE440F" w:rsidP="00CE440F">
      <w:pPr>
        <w:pStyle w:val="Heading1"/>
      </w:pPr>
      <w:bookmarkStart w:id="9" w:name="O_260761"/>
      <w:bookmarkEnd w:id="9"/>
      <w:r w:rsidRPr="00CE440F">
        <w:t>Required Skills and Knowledge</w:t>
      </w:r>
    </w:p>
    <w:tbl>
      <w:tblPr>
        <w:tblW w:w="0" w:type="auto"/>
        <w:tblLayout w:type="fixed"/>
        <w:tblCellMar>
          <w:left w:w="62" w:type="dxa"/>
          <w:right w:w="62" w:type="dxa"/>
        </w:tblCellMar>
        <w:tblLook w:val="0000"/>
      </w:tblPr>
      <w:tblGrid>
        <w:gridCol w:w="8522"/>
      </w:tblGrid>
      <w:tr w:rsidTr="009753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REQUIRED SKILLS AND KNOWLEDGE</w:t>
            </w:r>
          </w:p>
        </w:tc>
      </w:tr>
      <w:tr w:rsidTr="009753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This section describes the skills and knowledge required for this unit.</w:t>
            </w:r>
          </w:p>
        </w:tc>
      </w:tr>
      <w:tr w:rsidTr="009753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Required skills</w:t>
            </w:r>
          </w:p>
        </w:tc>
      </w:tr>
      <w:tr w:rsidTr="009753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Look for evidence that confirms skills in:</w:t>
            </w:r>
          </w:p>
          <w:p w:rsidR="00000000" w:rsidRPr="00CE440F" w:rsidP="00CE440F">
            <w:pPr>
              <w:pStyle w:val="ListBullet"/>
            </w:pPr>
            <w:r w:rsidRPr="00CE440F">
              <w:t>collecting, storing and removing samples of by-products</w:t>
            </w:r>
          </w:p>
          <w:p w:rsidR="00000000" w:rsidRPr="00CE440F" w:rsidP="00CE440F">
            <w:pPr>
              <w:pStyle w:val="ListBullet"/>
            </w:pPr>
            <w:r w:rsidRPr="00CE440F">
              <w:t>monitoring and transferring by-product and emissions</w:t>
            </w:r>
          </w:p>
          <w:p w:rsidR="00000000" w:rsidRPr="00CE440F" w:rsidP="00CE440F">
            <w:pPr>
              <w:pStyle w:val="ListBullet"/>
            </w:pPr>
            <w:r w:rsidRPr="00CE440F">
              <w:t>checking monitoring devices</w:t>
            </w:r>
          </w:p>
          <w:p w:rsidR="00000000" w:rsidRPr="00CE440F" w:rsidP="00CE440F">
            <w:pPr>
              <w:pStyle w:val="ListBullet"/>
            </w:pPr>
            <w:r w:rsidRPr="00CE440F">
              <w:t>implementing waste treatment process</w:t>
            </w:r>
          </w:p>
          <w:p w:rsidR="00000000" w:rsidRPr="00CE440F" w:rsidP="00CE440F">
            <w:pPr>
              <w:pStyle w:val="ListBullet"/>
            </w:pPr>
            <w:r w:rsidRPr="00CE440F">
              <w:t>recording and reporting of all results</w:t>
            </w:r>
          </w:p>
          <w:p w:rsidR="00000000" w:rsidP="00CE440F">
            <w:pPr>
              <w:pStyle w:val="ListBullet"/>
              <w:rPr>
                <w:lang w:val="en-NZ"/>
              </w:rPr>
            </w:pPr>
            <w:r w:rsidRPr="00CE440F">
              <w:t>collecting, storing, removing and sampling by-products</w:t>
            </w:r>
          </w:p>
        </w:tc>
      </w:tr>
      <w:tr w:rsidTr="009753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Required knowledge</w:t>
            </w:r>
          </w:p>
        </w:tc>
      </w:tr>
      <w:tr w:rsidTr="009753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Required knowledge</w:t>
            </w:r>
          </w:p>
          <w:p w:rsidR="00000000" w:rsidRPr="00CE440F" w:rsidP="00CE440F">
            <w:pPr>
              <w:pStyle w:val="ListBullet"/>
            </w:pPr>
            <w:r w:rsidRPr="00CE440F">
              <w:t>Look for evidence that confirms knowledge of:</w:t>
            </w:r>
          </w:p>
          <w:p w:rsidR="00000000" w:rsidRPr="00CE440F" w:rsidP="00CE440F">
            <w:pPr>
              <w:pStyle w:val="ListBullet"/>
            </w:pPr>
            <w:r w:rsidRPr="00CE440F">
              <w:t>products, hazardous materials and processes within the scope of this unit</w:t>
            </w:r>
          </w:p>
          <w:p w:rsidR="00000000" w:rsidRPr="00CE440F" w:rsidP="00CE440F">
            <w:pPr>
              <w:pStyle w:val="ListBullet"/>
            </w:pPr>
            <w:r w:rsidRPr="00CE440F">
              <w:t>regulatory and legislative requirements relating to control of blast coating by-products, materials and emissions</w:t>
            </w:r>
          </w:p>
          <w:p w:rsidR="00000000" w:rsidRPr="00CE440F" w:rsidP="00CE440F">
            <w:pPr>
              <w:pStyle w:val="ListBullet"/>
            </w:pPr>
            <w:r w:rsidRPr="00CE440F">
              <w:t>procedures for collecting samples</w:t>
            </w:r>
          </w:p>
          <w:p w:rsidR="00000000" w:rsidRPr="00CE440F" w:rsidP="00CE440F">
            <w:pPr>
              <w:pStyle w:val="ListBullet"/>
            </w:pPr>
            <w:r w:rsidRPr="00CE440F">
              <w:t>by-product collection equipment op</w:t>
            </w:r>
            <w:r w:rsidRPr="00CE440F">
              <w:t>eration methods</w:t>
            </w:r>
          </w:p>
          <w:p w:rsidR="00000000" w:rsidRPr="00CE440F" w:rsidP="00CE440F">
            <w:pPr>
              <w:pStyle w:val="ListBullet"/>
            </w:pPr>
            <w:r w:rsidRPr="00CE440F">
              <w:t>waste control monitoring equipment and procedures</w:t>
            </w:r>
          </w:p>
          <w:p w:rsidR="00000000" w:rsidRPr="00CE440F" w:rsidP="00CE440F">
            <w:pPr>
              <w:pStyle w:val="ListBullet"/>
            </w:pPr>
            <w:r w:rsidRPr="00CE440F">
              <w:t>waste treatment processes</w:t>
            </w:r>
          </w:p>
          <w:p w:rsidR="00000000" w:rsidRPr="00CE440F" w:rsidP="00CE440F">
            <w:pPr>
              <w:pStyle w:val="ListBullet"/>
            </w:pPr>
            <w:r w:rsidRPr="00CE440F">
              <w:t>requirements and procedures for recording and reporting process status reports</w:t>
            </w:r>
          </w:p>
          <w:p w:rsidR="00000000" w:rsidRPr="00CE440F" w:rsidP="00CE440F">
            <w:pPr>
              <w:pStyle w:val="ListBullet"/>
            </w:pPr>
            <w:r w:rsidRPr="00CE440F">
              <w:t>hazards and control measures associated with controlling blast coating by-products, m</w:t>
            </w:r>
            <w:r w:rsidRPr="00CE440F">
              <w:t>aterials and emissions</w:t>
            </w:r>
          </w:p>
          <w:p w:rsidR="00000000" w:rsidRPr="00CE440F" w:rsidP="00CE440F">
            <w:pPr>
              <w:pStyle w:val="ListBullet"/>
            </w:pPr>
            <w:r w:rsidRPr="00CE440F">
              <w:t>use and application of personal protective equipment</w:t>
            </w:r>
          </w:p>
          <w:p w:rsidR="00000000" w:rsidRPr="00CE440F" w:rsidP="00CE440F">
            <w:pPr>
              <w:pStyle w:val="ListBullet"/>
            </w:pPr>
            <w:r w:rsidRPr="00CE440F">
              <w:t>safe work practices and procedures</w:t>
            </w:r>
          </w:p>
        </w:tc>
      </w:tr>
    </w:tbl>
    <w:p w:rsidR="00975389" w:rsidP="00CE440F">
      <w:pPr>
        <w:pStyle w:val="BodyText"/>
      </w:pPr>
    </w:p>
    <w:p w:rsidR="00975389" w:rsidP="00CE440F">
      <w:pPr>
        <w:pStyle w:val="BodyText"/>
      </w:pPr>
    </w:p>
    <w:p w:rsidR="00000000" w:rsidRPr="00CE440F" w:rsidP="00CE440F">
      <w:pPr>
        <w:pStyle w:val="AllowPageBreak"/>
      </w:pPr>
    </w:p>
    <w:p w:rsidR="00000000" w:rsidRPr="00CE440F" w:rsidP="00CE440F">
      <w:pPr>
        <w:pStyle w:val="Heading1"/>
      </w:pPr>
      <w:bookmarkStart w:id="10" w:name="O_244795"/>
      <w:bookmarkEnd w:id="10"/>
      <w:r w:rsidRPr="00CE440F">
        <w:t>Evidence Guide</w:t>
      </w:r>
    </w:p>
    <w:tbl>
      <w:tblPr>
        <w:tblW w:w="9570" w:type="dxa"/>
        <w:tblLayout w:type="fixed"/>
        <w:tblCellMar>
          <w:left w:w="62" w:type="dxa"/>
          <w:right w:w="62" w:type="dxa"/>
        </w:tblCellMar>
        <w:tblLook w:val="0000"/>
      </w:tblPr>
      <w:tblGrid>
        <w:gridCol w:w="3908"/>
        <w:gridCol w:w="5662"/>
      </w:tblGrid>
      <w:tr w:rsidTr="009753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EVIDENCE GUIDE</w:t>
            </w:r>
          </w:p>
        </w:tc>
      </w:tr>
      <w:tr w:rsidTr="009753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The evidence guide provides advice on assessment and must be read in conjunction with the performance criteria, required skills and knowledge, range statement and the Assessment Guidelines for the Training Package.</w:t>
            </w:r>
          </w:p>
        </w:tc>
      </w:tr>
      <w:tr w:rsidTr="009753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Assessors must b</w:t>
            </w:r>
            <w:r w:rsidRPr="00CE440F">
              <w:t>e satisfied that the candidate can competently and consistently perform all elements of the unit as specified by the criteria, including required knowledge, and be capable of applying the competency in new and different situations and contexts.</w:t>
            </w:r>
          </w:p>
        </w:tc>
      </w:tr>
      <w:tr w:rsidTr="009753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This unit may be assessed on the job, off the job or a combination of both on and off the job. Where assessment occurs off the job, that is the candidate is not in</w:t>
            </w:r>
            <w:r w:rsidRPr="00CE440F">
              <w:t xml:space="preserve"> productive work, then an appropriate simulation must be used where the range of conditions reflects realistic workplace situations. The competencies covered by this unit would be demonstrated by an individual working alone or as part of a team. The assess</w:t>
            </w:r>
            <w:r w:rsidRPr="00CE440F">
              <w:t>ment environment should not disadvantage the candidate.</w:t>
            </w:r>
          </w:p>
          <w:p w:rsidR="00000000" w:rsidP="00CE440F">
            <w:pPr>
              <w:pStyle w:val="BodyText"/>
              <w:rPr>
                <w:lang w:val="en-NZ"/>
              </w:rPr>
            </w:pPr>
            <w:r w:rsidRPr="00CE440F">
              <w:t>This unit could be assessed in conjunction with any other units addressing the safety, quality, communication, materials handling, recording and reporting associated with controlling blast coating by-</w:t>
            </w:r>
            <w:r w:rsidRPr="00CE440F">
              <w:t>products, materials and emissions or other units requiring the exercise of the skills and knowledge covered by this unit.</w:t>
            </w:r>
          </w:p>
        </w:tc>
      </w:tr>
      <w:tr w:rsidTr="009753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Assessors should gather a range of evidence that is valid, sufficient, current and a</w:t>
            </w:r>
            <w:r w:rsidRPr="00CE440F">
              <w:t>uthentic. Evidence can be gathered through a variety of ways including direct observation, supervisor's reports, project work, samples and questioning. Questioning techniques should not require language, literacy and numeracy skills beyond those required i</w:t>
            </w:r>
            <w:r w:rsidRPr="00CE440F">
              <w:t>n this unit of competency. The candidate must have access to all tools, equipment, materials and documentation required. The candidate must be permitted to refer to any relevant workplace procedures, product and manufacturing specifications, codes, standar</w:t>
            </w:r>
            <w:r w:rsidRPr="00CE440F">
              <w:t>ds, manuals and reference materials.</w:t>
            </w:r>
          </w:p>
        </w:tc>
      </w:tr>
      <w:tr w:rsidTr="009753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Assessors must be satisfied that the candidate can competently and consistently perform all elements of the unit as specified by the criteria, including required knowledge, and be capable of applyi</w:t>
            </w:r>
            <w:r w:rsidRPr="00CE440F">
              <w:t>ng the competency in new and different situations and contexts.</w:t>
            </w:r>
          </w:p>
        </w:tc>
      </w:tr>
      <w:tr w:rsidTr="009753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p>
        </w:tc>
      </w:tr>
    </w:tbl>
    <w:p w:rsidR="00975389" w:rsidP="00CE440F">
      <w:pPr>
        <w:pStyle w:val="BodyText"/>
      </w:pPr>
    </w:p>
    <w:p w:rsidR="00975389" w:rsidP="00CE440F">
      <w:pPr>
        <w:pStyle w:val="BodyText"/>
      </w:pPr>
    </w:p>
    <w:p w:rsidR="00000000" w:rsidRPr="00CE440F" w:rsidP="00CE440F">
      <w:pPr>
        <w:pStyle w:val="Heading1"/>
      </w:pPr>
      <w:bookmarkStart w:id="11" w:name="O_252778"/>
      <w:bookmarkEnd w:id="11"/>
      <w:r w:rsidRPr="00CE440F">
        <w:t>Range Statement</w:t>
      </w:r>
    </w:p>
    <w:tbl>
      <w:tblPr>
        <w:tblW w:w="0" w:type="auto"/>
        <w:tblLayout w:type="fixed"/>
        <w:tblCellMar>
          <w:left w:w="62" w:type="dxa"/>
          <w:right w:w="62" w:type="dxa"/>
        </w:tblCellMar>
        <w:tblLook w:val="0000"/>
      </w:tblPr>
      <w:tblGrid>
        <w:gridCol w:w="3473"/>
        <w:gridCol w:w="5049"/>
      </w:tblGrid>
      <w:tr w:rsidTr="009753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RANGE STATEMENT</w:t>
            </w:r>
          </w:p>
        </w:tc>
      </w:tr>
      <w:tr w:rsidTr="009753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The range statement relates to the unit of competency as a whole. It allows for different work environments and situations that may affect performance. Bold italicised wording, if used in the performance criteria, is detailed below. Essential operating con</w:t>
            </w:r>
            <w:r w:rsidRPr="00CE440F">
              <w:t>ditions that may be present with training and assessment (depending on the work situation, needs of the candidate, accessibility of the item, and local industry and regional contexts) may also be included.</w:t>
            </w:r>
          </w:p>
        </w:tc>
      </w:tr>
      <w:tr w:rsidTr="0097538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Products</w:t>
            </w:r>
            <w:r w:rsidRPr="00CE440F">
              <w:t xml:space="preserve">, </w:t>
            </w:r>
            <w:r w:rsidRPr="00CE440F">
              <w:rPr>
                <w:rStyle w:val="SpecialBold"/>
              </w:rPr>
              <w:t>hazardous materials and processes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 xml:space="preserve">All </w:t>
            </w:r>
            <w:r w:rsidRPr="00CE440F">
              <w:t>products, hazardous materials and processes that are subject to codes and/or regulations in use</w:t>
            </w:r>
          </w:p>
        </w:tc>
      </w:tr>
      <w:tr w:rsidTr="0097538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Monitoring devices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t>pH meters, probes</w:t>
            </w:r>
          </w:p>
        </w:tc>
      </w:tr>
      <w:tr w:rsidTr="0097538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Waste treatment processes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Neutralisation, metals precipitation, solid separation-gravity/centrifuging</w:t>
            </w:r>
          </w:p>
        </w:tc>
      </w:tr>
    </w:tbl>
    <w:p w:rsidR="00975389" w:rsidP="00CE440F">
      <w:pPr>
        <w:pStyle w:val="BodyText"/>
      </w:pPr>
    </w:p>
    <w:p w:rsidR="00975389" w:rsidP="00CE440F">
      <w:pPr>
        <w:pStyle w:val="BodyText"/>
      </w:pPr>
    </w:p>
    <w:p w:rsidR="00000000" w:rsidRPr="00CE440F" w:rsidP="00CE440F">
      <w:pPr>
        <w:pStyle w:val="Heading1"/>
      </w:pPr>
      <w:bookmarkStart w:id="12" w:name="O_211130"/>
      <w:bookmarkEnd w:id="12"/>
      <w:r w:rsidRPr="00CE440F">
        <w:t>Unit Sector(s)</w:t>
      </w:r>
    </w:p>
    <w:tbl>
      <w:tblPr>
        <w:tblW w:w="0" w:type="auto"/>
        <w:tblLayout w:type="fixed"/>
        <w:tblCellMar>
          <w:left w:w="62" w:type="dxa"/>
          <w:right w:w="62" w:type="dxa"/>
        </w:tblCellMar>
        <w:tblLook w:val="0000"/>
      </w:tblPr>
      <w:tblGrid>
        <w:gridCol w:w="2654"/>
        <w:gridCol w:w="5868"/>
      </w:tblGrid>
      <w:tr w:rsidTr="009753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p>
        </w:tc>
      </w:tr>
    </w:tbl>
    <w:p w:rsidR="00975389" w:rsidP="00CE440F">
      <w:pPr>
        <w:pStyle w:val="BodyText"/>
      </w:pPr>
    </w:p>
    <w:p w:rsidR="00975389" w:rsidP="00CE440F">
      <w:pPr>
        <w:pStyle w:val="BodyText"/>
      </w:pPr>
    </w:p>
    <w:p w:rsidR="00000000" w:rsidRPr="00CE440F" w:rsidP="00CE440F">
      <w:pPr>
        <w:pStyle w:val="Heading1"/>
      </w:pPr>
      <w:bookmarkStart w:id="13" w:name="O_211127"/>
      <w:bookmarkEnd w:id="13"/>
      <w:r w:rsidRPr="00CE440F">
        <w:t>Co-requisite units</w:t>
      </w:r>
    </w:p>
    <w:tbl>
      <w:tblPr>
        <w:tblW w:w="0" w:type="auto"/>
        <w:tblLayout w:type="fixed"/>
        <w:tblCellMar>
          <w:left w:w="62" w:type="dxa"/>
          <w:right w:w="62" w:type="dxa"/>
        </w:tblCellMar>
        <w:tblLook w:val="0000"/>
      </w:tblPr>
      <w:tblGrid>
        <w:gridCol w:w="2641"/>
        <w:gridCol w:w="1322"/>
        <w:gridCol w:w="4559"/>
      </w:tblGrid>
      <w:tr w:rsidTr="009753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p>
        </w:tc>
      </w:tr>
      <w:tr w:rsidTr="009753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p>
        </w:tc>
      </w:tr>
      <w:tr w:rsidTr="009753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p>
        </w:tc>
      </w:tr>
    </w:tbl>
    <w:p w:rsidR="00975389" w:rsidP="00CE440F">
      <w:pPr>
        <w:pStyle w:val="BodyText"/>
      </w:pPr>
    </w:p>
    <w:p w:rsidR="00975389" w:rsidP="00CE440F">
      <w:pPr>
        <w:pStyle w:val="BodyText"/>
      </w:pPr>
    </w:p>
    <w:p w:rsidR="00000000" w:rsidRPr="00CE440F" w:rsidP="00CE440F">
      <w:pPr>
        <w:pStyle w:val="Heading1"/>
      </w:pPr>
      <w:bookmarkStart w:id="14" w:name="O_211129"/>
      <w:bookmarkEnd w:id="14"/>
      <w:r w:rsidRPr="00CE440F">
        <w:t>Competency field</w:t>
      </w:r>
    </w:p>
    <w:tbl>
      <w:tblPr>
        <w:tblW w:w="0" w:type="auto"/>
        <w:tblLayout w:type="fixed"/>
        <w:tblCellMar>
          <w:left w:w="62" w:type="dxa"/>
          <w:right w:w="62" w:type="dxa"/>
        </w:tblCellMar>
        <w:tblLook w:val="0000"/>
      </w:tblPr>
      <w:tblGrid>
        <w:gridCol w:w="2778"/>
        <w:gridCol w:w="5744"/>
      </w:tblGrid>
      <w:tr w:rsidTr="0097538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40F">
            <w:pPr>
              <w:pStyle w:val="BodyText"/>
              <w:rPr>
                <w:lang w:val="en-NZ"/>
              </w:rPr>
            </w:pPr>
            <w:r w:rsidRPr="00CE440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40F" w:rsidP="00CE440F">
            <w:pPr>
              <w:pStyle w:val="BodyText"/>
            </w:pPr>
            <w:r w:rsidRPr="00CE440F">
              <w:t>Surface finishing</w:t>
            </w:r>
          </w:p>
        </w:tc>
      </w:tr>
    </w:tbl>
    <w:p w:rsidR="00975389" w:rsidP="00CE440F">
      <w:pPr>
        <w:pStyle w:val="BodyText"/>
      </w:pPr>
    </w:p>
    <w:p w:rsidR="00975389" w:rsidP="00CE440F">
      <w:pPr>
        <w:pStyle w:val="BodyText"/>
      </w:pPr>
    </w:p>
    <w:p w:rsidR="00000000" w:rsidRPr="00CE440F" w:rsidP="00CE440F"/>
    <w:sectPr w:rsidSect="00CE4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389" w:rsidP="00975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89" w:rsidP="00CE4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5389" w:rsidP="00CE44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5389" w:rsidP="00CE44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0F" w:rsidRPr="00975389" w:rsidP="009753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89" w:rsidP="00CE440F">
    <w:pPr>
      <w:pStyle w:val="Header"/>
      <w:framePr w:wrap="around"/>
    </w:pPr>
    <w:r>
      <w:fldChar w:fldCharType="begin"/>
    </w:r>
    <w:r>
      <w:instrText xml:space="preserve"> TITLE   \* MERGEFORMAT </w:instrText>
    </w:r>
    <w:r>
      <w:fldChar w:fldCharType="separate"/>
    </w:r>
    <w:r>
      <w:t>MEM08016B Control blast coating by-products, materials and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5389" w:rsidP="00CE4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00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3694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40F"/>
    <w:pPr>
      <w:spacing w:before="360" w:after="60"/>
      <w:outlineLvl w:val="0"/>
    </w:pPr>
    <w:rPr>
      <w:sz w:val="32"/>
    </w:rPr>
  </w:style>
  <w:style w:type="paragraph" w:styleId="Heading2">
    <w:name w:val="heading 2"/>
    <w:basedOn w:val="HeadingBase"/>
    <w:next w:val="BodyText"/>
    <w:link w:val="Heading2Char"/>
    <w:qFormat/>
    <w:rsid w:val="00CE440F"/>
    <w:pPr>
      <w:keepLines/>
      <w:spacing w:before="240" w:after="120"/>
      <w:outlineLvl w:val="1"/>
    </w:pPr>
    <w:rPr>
      <w:sz w:val="28"/>
      <w:szCs w:val="40"/>
    </w:rPr>
  </w:style>
  <w:style w:type="paragraph" w:styleId="Heading3">
    <w:name w:val="heading 3"/>
    <w:basedOn w:val="HeadingBase"/>
    <w:next w:val="BodyText"/>
    <w:link w:val="Heading3Char"/>
    <w:qFormat/>
    <w:rsid w:val="00CE440F"/>
    <w:pPr>
      <w:spacing w:before="180" w:after="120"/>
      <w:outlineLvl w:val="2"/>
    </w:pPr>
    <w:rPr>
      <w:spacing w:val="-10"/>
      <w:kern w:val="32"/>
    </w:rPr>
  </w:style>
  <w:style w:type="paragraph" w:styleId="Heading4">
    <w:name w:val="heading 4"/>
    <w:basedOn w:val="HeadingBase"/>
    <w:next w:val="BodyText"/>
    <w:link w:val="Heading4Char"/>
    <w:qFormat/>
    <w:rsid w:val="00CE440F"/>
    <w:pPr>
      <w:spacing w:before="160" w:after="120"/>
      <w:outlineLvl w:val="3"/>
    </w:pPr>
    <w:rPr>
      <w:sz w:val="22"/>
    </w:rPr>
  </w:style>
  <w:style w:type="paragraph" w:styleId="Heading5">
    <w:name w:val="heading 5"/>
    <w:basedOn w:val="HeadingBase"/>
    <w:next w:val="Normal"/>
    <w:link w:val="Heading5Char"/>
    <w:qFormat/>
    <w:rsid w:val="00CE440F"/>
    <w:pPr>
      <w:spacing w:before="80"/>
      <w:outlineLvl w:val="4"/>
    </w:pPr>
    <w:rPr>
      <w:color w:val="918585"/>
      <w:sz w:val="20"/>
    </w:rPr>
  </w:style>
  <w:style w:type="paragraph" w:styleId="Heading6">
    <w:name w:val="heading 6"/>
    <w:basedOn w:val="HeadingBase"/>
    <w:next w:val="Normal"/>
    <w:link w:val="Heading6Char"/>
    <w:qFormat/>
    <w:rsid w:val="00CE440F"/>
    <w:pPr>
      <w:spacing w:before="60"/>
      <w:outlineLvl w:val="5"/>
    </w:pPr>
    <w:rPr>
      <w:color w:val="918585"/>
      <w:sz w:val="20"/>
    </w:rPr>
  </w:style>
  <w:style w:type="paragraph" w:styleId="Heading7">
    <w:name w:val="heading 7"/>
    <w:basedOn w:val="Normal"/>
    <w:next w:val="Normal"/>
    <w:link w:val="Heading7Char"/>
    <w:qFormat/>
    <w:rsid w:val="00CE440F"/>
    <w:pPr>
      <w:ind w:left="720"/>
      <w:outlineLvl w:val="6"/>
    </w:pPr>
    <w:rPr>
      <w:i/>
    </w:rPr>
  </w:style>
  <w:style w:type="paragraph" w:styleId="Heading8">
    <w:name w:val="heading 8"/>
    <w:basedOn w:val="Normal"/>
    <w:next w:val="Normal"/>
    <w:link w:val="Heading8Char"/>
    <w:qFormat/>
    <w:rsid w:val="00CE440F"/>
    <w:pPr>
      <w:ind w:left="720"/>
      <w:outlineLvl w:val="7"/>
    </w:pPr>
    <w:rPr>
      <w:i/>
    </w:rPr>
  </w:style>
  <w:style w:type="paragraph" w:styleId="Heading9">
    <w:name w:val="heading 9"/>
    <w:basedOn w:val="Normal"/>
    <w:next w:val="Normal"/>
    <w:link w:val="Heading9Char"/>
    <w:qFormat/>
    <w:rsid w:val="00CE440F"/>
    <w:pPr>
      <w:ind w:left="720"/>
      <w:outlineLvl w:val="8"/>
    </w:pPr>
    <w:rPr>
      <w:i/>
    </w:rPr>
  </w:style>
  <w:style w:type="character" w:default="1" w:styleId="DefaultParagraphFont">
    <w:name w:val="Default Paragraph Font"/>
    <w:uiPriority w:val="1"/>
    <w:unhideWhenUsed/>
    <w:rsid w:val="00CE4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40F"/>
  </w:style>
  <w:style w:type="character" w:customStyle="1" w:styleId="Heading1Char">
    <w:name w:val="Heading 1 Char"/>
    <w:link w:val="Heading1"/>
    <w:rsid w:val="00CE440F"/>
    <w:rPr>
      <w:rFonts w:ascii="Times New Roman" w:eastAsia="Times New Roman" w:hAnsi="Times New Roman" w:cs="Times New Roman"/>
      <w:b/>
      <w:sz w:val="32"/>
      <w:szCs w:val="20"/>
      <w:lang w:eastAsia="en-US"/>
    </w:rPr>
  </w:style>
  <w:style w:type="paragraph" w:styleId="BodyText">
    <w:name w:val="Body Text"/>
    <w:basedOn w:val="Normal"/>
    <w:link w:val="BodyTextChar"/>
    <w:rsid w:val="00CE440F"/>
    <w:pPr>
      <w:spacing w:before="120" w:after="120"/>
      <w:contextualSpacing/>
    </w:pPr>
    <w:rPr>
      <w:rFonts w:ascii="Times New Roman" w:hAnsi="Times New Roman"/>
      <w:sz w:val="24"/>
      <w:szCs w:val="22"/>
    </w:rPr>
  </w:style>
  <w:style w:type="character" w:customStyle="1" w:styleId="BodyTextChar">
    <w:name w:val="Body Text Char"/>
    <w:link w:val="BodyText"/>
    <w:rsid w:val="00CE440F"/>
    <w:rPr>
      <w:rFonts w:ascii="Times New Roman" w:eastAsia="Times New Roman" w:hAnsi="Times New Roman" w:cs="Times New Roman"/>
      <w:sz w:val="24"/>
      <w:lang w:val="en-US" w:eastAsia="en-US"/>
    </w:rPr>
  </w:style>
  <w:style w:type="paragraph" w:styleId="Footer">
    <w:name w:val="footer"/>
    <w:basedOn w:val="Normal"/>
    <w:link w:val="FooterChar"/>
    <w:rsid w:val="00CE4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E440F"/>
    <w:rPr>
      <w:rFonts w:ascii="Times New Roman" w:eastAsia="Times New Roman" w:hAnsi="Times New Roman" w:cs="Times New Roman"/>
      <w:sz w:val="16"/>
      <w:lang w:val="en-US" w:eastAsia="en-US"/>
    </w:rPr>
  </w:style>
  <w:style w:type="paragraph" w:styleId="List">
    <w:name w:val="List"/>
    <w:basedOn w:val="BodyText"/>
    <w:next w:val="BodyText"/>
    <w:rsid w:val="00CE440F"/>
    <w:pPr>
      <w:tabs>
        <w:tab w:val="left" w:pos="340"/>
      </w:tabs>
      <w:spacing w:before="60" w:after="60"/>
      <w:ind w:left="340" w:hanging="340"/>
    </w:pPr>
  </w:style>
  <w:style w:type="paragraph" w:styleId="ListBullet">
    <w:name w:val="List Bullet"/>
    <w:basedOn w:val="List"/>
    <w:rsid w:val="00CE440F"/>
    <w:pPr>
      <w:numPr>
        <w:numId w:val="12"/>
      </w:numPr>
      <w:tabs>
        <w:tab w:val="clear" w:pos="340"/>
      </w:tabs>
      <w:spacing w:before="40" w:after="40"/>
    </w:pPr>
  </w:style>
  <w:style w:type="character" w:customStyle="1" w:styleId="SpecialBold">
    <w:name w:val="Special Bold"/>
    <w:rsid w:val="00CE440F"/>
    <w:rPr>
      <w:b/>
      <w:spacing w:val="0"/>
    </w:rPr>
  </w:style>
  <w:style w:type="paragraph" w:customStyle="1" w:styleId="SuperHeading">
    <w:name w:val="SuperHeading"/>
    <w:basedOn w:val="Normal"/>
    <w:rsid w:val="00CE440F"/>
    <w:pPr>
      <w:spacing w:before="240" w:after="120"/>
      <w:outlineLvl w:val="0"/>
    </w:pPr>
    <w:rPr>
      <w:rFonts w:ascii="Times New Roman" w:hAnsi="Times New Roman"/>
      <w:b/>
      <w:sz w:val="28"/>
    </w:rPr>
  </w:style>
  <w:style w:type="paragraph" w:customStyle="1" w:styleId="AllowPageBreak">
    <w:name w:val="AllowPageBreak"/>
    <w:rsid w:val="00CE44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40F"/>
    <w:pPr>
      <w:tabs>
        <w:tab w:val="left" w:pos="680"/>
      </w:tabs>
      <w:spacing w:before="60" w:after="60"/>
      <w:ind w:left="680" w:hanging="340"/>
    </w:pPr>
  </w:style>
  <w:style w:type="character" w:customStyle="1" w:styleId="Heading2Char">
    <w:name w:val="Heading 2 Char"/>
    <w:link w:val="Heading2"/>
    <w:rsid w:val="00CE440F"/>
    <w:rPr>
      <w:rFonts w:ascii="Times New Roman" w:eastAsia="Times New Roman" w:hAnsi="Times New Roman" w:cs="Times New Roman"/>
      <w:b/>
      <w:sz w:val="28"/>
      <w:szCs w:val="40"/>
      <w:lang w:eastAsia="en-US"/>
    </w:rPr>
  </w:style>
  <w:style w:type="character" w:customStyle="1" w:styleId="Heading3Char">
    <w:name w:val="Heading 3 Char"/>
    <w:link w:val="Heading3"/>
    <w:rsid w:val="00CE44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E440F"/>
    <w:rPr>
      <w:rFonts w:ascii="Times New Roman" w:eastAsia="Times New Roman" w:hAnsi="Times New Roman" w:cs="Times New Roman"/>
      <w:b/>
      <w:szCs w:val="20"/>
      <w:lang w:eastAsia="en-US"/>
    </w:rPr>
  </w:style>
  <w:style w:type="character" w:customStyle="1" w:styleId="Heading5Char">
    <w:name w:val="Heading 5 Char"/>
    <w:link w:val="Heading5"/>
    <w:rsid w:val="00CE44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E4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4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4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40F"/>
    <w:rPr>
      <w:rFonts w:ascii="Courier New" w:eastAsia="Times New Roman" w:hAnsi="Courier New" w:cs="Times New Roman"/>
      <w:i/>
      <w:szCs w:val="20"/>
      <w:lang w:val="en-US" w:eastAsia="en-US"/>
    </w:rPr>
  </w:style>
  <w:style w:type="paragraph" w:customStyle="1" w:styleId="HeadingBase">
    <w:name w:val="Heading Base"/>
    <w:rsid w:val="00CE4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40F"/>
    <w:pPr>
      <w:tabs>
        <w:tab w:val="right" w:leader="dot" w:pos="9072"/>
      </w:tabs>
      <w:ind w:left="567"/>
    </w:pPr>
    <w:rPr>
      <w:szCs w:val="22"/>
    </w:rPr>
  </w:style>
  <w:style w:type="paragraph" w:customStyle="1" w:styleId="TOCBase">
    <w:name w:val="TOC Base"/>
    <w:rsid w:val="00CE4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40F"/>
    <w:pPr>
      <w:tabs>
        <w:tab w:val="right" w:leader="dot" w:pos="9072"/>
      </w:tabs>
      <w:spacing w:before="40" w:after="40"/>
      <w:ind w:left="284"/>
    </w:pPr>
    <w:rPr>
      <w:rFonts w:ascii="Times New Roman" w:hAnsi="Times New Roman"/>
    </w:rPr>
  </w:style>
  <w:style w:type="paragraph" w:styleId="TOC1">
    <w:name w:val="toc 1"/>
    <w:basedOn w:val="TOCBase"/>
    <w:next w:val="Normal"/>
    <w:rsid w:val="00CE44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40F"/>
    <w:pPr>
      <w:spacing w:before="5040"/>
      <w:jc w:val="center"/>
    </w:pPr>
    <w:rPr>
      <w:sz w:val="48"/>
      <w:szCs w:val="72"/>
      <w:lang w:val="en-US"/>
    </w:rPr>
  </w:style>
  <w:style w:type="character" w:customStyle="1" w:styleId="TitleChar">
    <w:name w:val="Title Char"/>
    <w:link w:val="Title"/>
    <w:rsid w:val="00CE4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40F"/>
    <w:pPr>
      <w:tabs>
        <w:tab w:val="left" w:pos="3600"/>
        <w:tab w:val="left" w:pos="3958"/>
      </w:tabs>
    </w:pPr>
  </w:style>
  <w:style w:type="paragraph" w:customStyle="1" w:styleId="Note">
    <w:name w:val="Note"/>
    <w:basedOn w:val="BodyText"/>
    <w:rsid w:val="00CE4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40F"/>
    <w:pPr>
      <w:framePr w:wrap="auto" w:hAnchor="text" w:y="6049"/>
    </w:pPr>
    <w:rPr>
      <w:color w:val="000000"/>
      <w:sz w:val="40"/>
    </w:rPr>
  </w:style>
  <w:style w:type="paragraph" w:customStyle="1" w:styleId="TOCTitle">
    <w:name w:val="TOCTitle"/>
    <w:basedOn w:val="Heading1"/>
    <w:rsid w:val="00CE440F"/>
    <w:pPr>
      <w:spacing w:after="240"/>
      <w:jc w:val="center"/>
      <w:outlineLvl w:val="9"/>
    </w:pPr>
    <w:rPr>
      <w:caps/>
    </w:rPr>
  </w:style>
  <w:style w:type="paragraph" w:customStyle="1" w:styleId="Version">
    <w:name w:val="Version"/>
    <w:rsid w:val="00CE44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40F"/>
    <w:pPr>
      <w:numPr>
        <w:numId w:val="13"/>
      </w:numPr>
      <w:tabs>
        <w:tab w:val="clear" w:pos="680"/>
      </w:tabs>
    </w:pPr>
  </w:style>
  <w:style w:type="paragraph" w:styleId="Index1">
    <w:name w:val="index 1"/>
    <w:basedOn w:val="Normal"/>
    <w:next w:val="Normal"/>
    <w:semiHidden/>
    <w:rsid w:val="00CE440F"/>
    <w:pPr>
      <w:keepNext w:val="0"/>
      <w:tabs>
        <w:tab w:val="right" w:pos="4176"/>
      </w:tabs>
      <w:ind w:left="198" w:hanging="198"/>
    </w:pPr>
    <w:rPr>
      <w:rFonts w:ascii="Garamond" w:hAnsi="Garamond"/>
    </w:rPr>
  </w:style>
  <w:style w:type="paragraph" w:styleId="IndexHeading">
    <w:name w:val="index heading"/>
    <w:basedOn w:val="Normal"/>
    <w:next w:val="Index1"/>
    <w:semiHidden/>
    <w:rsid w:val="00CE440F"/>
    <w:pPr>
      <w:spacing w:before="120" w:after="120"/>
    </w:pPr>
    <w:rPr>
      <w:rFonts w:ascii="Arial" w:hAnsi="Arial"/>
      <w:b/>
      <w:color w:val="918585"/>
      <w:sz w:val="24"/>
    </w:rPr>
  </w:style>
  <w:style w:type="paragraph" w:styleId="Header">
    <w:name w:val="header"/>
    <w:basedOn w:val="Normal"/>
    <w:link w:val="HeaderChar"/>
    <w:rsid w:val="00CE4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E440F"/>
    <w:rPr>
      <w:rFonts w:ascii="Times New Roman" w:eastAsia="Times New Roman" w:hAnsi="Times New Roman" w:cs="Times New Roman"/>
      <w:sz w:val="16"/>
      <w:szCs w:val="20"/>
      <w:lang w:val="en-GB" w:eastAsia="en-US"/>
    </w:rPr>
  </w:style>
  <w:style w:type="paragraph" w:customStyle="1" w:styleId="Chapter">
    <w:name w:val="Chapter"/>
    <w:basedOn w:val="Normal"/>
    <w:rsid w:val="00CE440F"/>
    <w:pPr>
      <w:spacing w:before="240"/>
    </w:pPr>
    <w:rPr>
      <w:rFonts w:ascii="Times New Roman" w:hAnsi="Times New Roman"/>
      <w:smallCaps/>
      <w:spacing w:val="80"/>
      <w:sz w:val="28"/>
    </w:rPr>
  </w:style>
  <w:style w:type="paragraph" w:customStyle="1" w:styleId="InChapter">
    <w:name w:val="InChapter"/>
    <w:basedOn w:val="Heading3"/>
    <w:rsid w:val="00CE440F"/>
    <w:pPr>
      <w:spacing w:after="240"/>
      <w:outlineLvl w:val="9"/>
    </w:pPr>
    <w:rPr>
      <w:noProof/>
    </w:rPr>
  </w:style>
  <w:style w:type="paragraph" w:styleId="Index2">
    <w:name w:val="index 2"/>
    <w:basedOn w:val="Normal"/>
    <w:next w:val="Normal"/>
    <w:semiHidden/>
    <w:rsid w:val="00CE440F"/>
    <w:pPr>
      <w:tabs>
        <w:tab w:val="right" w:pos="4176"/>
      </w:tabs>
      <w:ind w:left="568" w:hanging="284"/>
    </w:pPr>
    <w:rPr>
      <w:rFonts w:ascii="Garamond" w:hAnsi="Garamond"/>
    </w:rPr>
  </w:style>
  <w:style w:type="paragraph" w:customStyle="1" w:styleId="Byline">
    <w:name w:val="Byline"/>
    <w:rsid w:val="00CE4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40F"/>
    <w:pPr>
      <w:tabs>
        <w:tab w:val="clear" w:pos="3600"/>
        <w:tab w:val="clear" w:pos="3958"/>
      </w:tabs>
      <w:jc w:val="right"/>
    </w:pPr>
  </w:style>
  <w:style w:type="character" w:styleId="Emphasis">
    <w:name w:val="Emphasis"/>
    <w:qFormat/>
    <w:rsid w:val="00CE440F"/>
    <w:rPr>
      <w:i/>
    </w:rPr>
  </w:style>
  <w:style w:type="paragraph" w:styleId="Caption">
    <w:name w:val="caption"/>
    <w:basedOn w:val="BodyText"/>
    <w:next w:val="Normal"/>
    <w:qFormat/>
    <w:rsid w:val="00CE440F"/>
    <w:pPr>
      <w:framePr w:w="2268" w:hSpace="181" w:vSpace="181" w:wrap="around" w:vAnchor="text" w:hAnchor="page" w:x="1135" w:y="285" w:anchorLock="1"/>
    </w:pPr>
    <w:rPr>
      <w:i/>
    </w:rPr>
  </w:style>
  <w:style w:type="paragraph" w:customStyle="1" w:styleId="MiniTOCTitle">
    <w:name w:val="MiniTOCTitle"/>
    <w:basedOn w:val="Heading4"/>
    <w:rsid w:val="00CE440F"/>
    <w:pPr>
      <w:spacing w:before="240"/>
      <w:outlineLvl w:val="9"/>
    </w:pPr>
    <w:rPr>
      <w:noProof/>
      <w:sz w:val="24"/>
    </w:rPr>
  </w:style>
  <w:style w:type="paragraph" w:customStyle="1" w:styleId="MiniTOCItem">
    <w:name w:val="MiniTOCItem"/>
    <w:basedOn w:val="ListBullet"/>
    <w:rsid w:val="00CE440F"/>
    <w:pPr>
      <w:numPr>
        <w:numId w:val="0"/>
      </w:numPr>
      <w:tabs>
        <w:tab w:val="right" w:leader="dot" w:pos="6521"/>
      </w:tabs>
      <w:spacing w:before="0" w:after="0"/>
    </w:pPr>
  </w:style>
  <w:style w:type="paragraph" w:customStyle="1" w:styleId="TOFTitle">
    <w:name w:val="TOFTitle"/>
    <w:basedOn w:val="TOCTitle"/>
    <w:rsid w:val="00CE440F"/>
  </w:style>
  <w:style w:type="paragraph" w:styleId="TableofFigures">
    <w:name w:val="table of figures"/>
    <w:basedOn w:val="Normal"/>
    <w:next w:val="Normal"/>
    <w:semiHidden/>
    <w:rsid w:val="00CE440F"/>
    <w:pPr>
      <w:tabs>
        <w:tab w:val="right" w:leader="dot" w:pos="9072"/>
      </w:tabs>
      <w:ind w:left="970" w:hanging="403"/>
    </w:pPr>
    <w:rPr>
      <w:rFonts w:ascii="Times New Roman" w:hAnsi="Times New Roman"/>
      <w:b/>
    </w:rPr>
  </w:style>
  <w:style w:type="paragraph" w:styleId="ListNumber">
    <w:name w:val="List Number"/>
    <w:basedOn w:val="List"/>
    <w:rsid w:val="00CE440F"/>
    <w:pPr>
      <w:numPr>
        <w:numId w:val="10"/>
      </w:numPr>
    </w:pPr>
  </w:style>
  <w:style w:type="character" w:customStyle="1" w:styleId="WingdingSymbols">
    <w:name w:val="Wingding Symbols"/>
    <w:rsid w:val="00CE440F"/>
    <w:rPr>
      <w:rFonts w:ascii="Wingdings" w:hAnsi="Wingdings"/>
    </w:rPr>
  </w:style>
  <w:style w:type="paragraph" w:customStyle="1" w:styleId="TableHeading">
    <w:name w:val="Table Heading"/>
    <w:basedOn w:val="HeadingBase"/>
    <w:rsid w:val="00CE440F"/>
    <w:pPr>
      <w:keepLines/>
      <w:pBdr>
        <w:bottom w:val="single" w:sz="6" w:space="1" w:color="918585"/>
      </w:pBdr>
      <w:spacing w:before="240"/>
    </w:pPr>
  </w:style>
  <w:style w:type="character" w:customStyle="1" w:styleId="HotSpot">
    <w:name w:val="HotSpot"/>
    <w:rsid w:val="00CE440F"/>
    <w:rPr>
      <w:color w:val="0033CC"/>
      <w:u w:val="none"/>
    </w:rPr>
  </w:style>
  <w:style w:type="paragraph" w:customStyle="1" w:styleId="BodyTextRight">
    <w:name w:val="Body Text Right"/>
    <w:basedOn w:val="BodyText"/>
    <w:rsid w:val="00CE440F"/>
    <w:pPr>
      <w:spacing w:before="0" w:after="0"/>
      <w:jc w:val="right"/>
    </w:pPr>
  </w:style>
  <w:style w:type="paragraph" w:styleId="Index3">
    <w:name w:val="index 3"/>
    <w:basedOn w:val="ListNumber2"/>
    <w:next w:val="Normal"/>
    <w:semiHidden/>
    <w:rsid w:val="00CE440F"/>
    <w:pPr>
      <w:numPr>
        <w:numId w:val="0"/>
      </w:numPr>
      <w:tabs>
        <w:tab w:val="right" w:leader="dot" w:pos="4176"/>
      </w:tabs>
    </w:pPr>
  </w:style>
  <w:style w:type="paragraph" w:styleId="ListNumber2">
    <w:name w:val="List Number 2"/>
    <w:basedOn w:val="List2"/>
    <w:rsid w:val="00CE440F"/>
    <w:pPr>
      <w:numPr>
        <w:numId w:val="9"/>
      </w:numPr>
      <w:tabs>
        <w:tab w:val="clear" w:pos="1060"/>
      </w:tabs>
    </w:pPr>
  </w:style>
  <w:style w:type="paragraph" w:customStyle="1" w:styleId="MarginNote">
    <w:name w:val="Margin Note"/>
    <w:basedOn w:val="BodyText"/>
    <w:rsid w:val="00CE4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E44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40F"/>
    <w:rPr>
      <w:sz w:val="32"/>
    </w:rPr>
  </w:style>
  <w:style w:type="paragraph" w:customStyle="1" w:styleId="HeadingProcedure">
    <w:name w:val="Heading Procedure"/>
    <w:basedOn w:val="HeadingBase"/>
    <w:next w:val="Normal"/>
    <w:rsid w:val="00CE440F"/>
    <w:pPr>
      <w:tabs>
        <w:tab w:val="left" w:pos="0"/>
      </w:tabs>
      <w:spacing w:before="120" w:after="60"/>
    </w:pPr>
    <w:rPr>
      <w:i/>
      <w:color w:val="918585"/>
      <w:sz w:val="22"/>
    </w:rPr>
  </w:style>
  <w:style w:type="paragraph" w:customStyle="1" w:styleId="TableBodyText">
    <w:name w:val="Table Body Text"/>
    <w:basedOn w:val="BodyText"/>
    <w:rsid w:val="00CE440F"/>
    <w:pPr>
      <w:spacing w:before="60" w:after="60"/>
    </w:pPr>
  </w:style>
  <w:style w:type="paragraph" w:styleId="ListContinue">
    <w:name w:val="List Continue"/>
    <w:basedOn w:val="List"/>
    <w:rsid w:val="00CE440F"/>
    <w:pPr>
      <w:ind w:firstLine="0"/>
    </w:pPr>
  </w:style>
  <w:style w:type="paragraph" w:customStyle="1" w:styleId="ListNote">
    <w:name w:val="List Note"/>
    <w:basedOn w:val="List"/>
    <w:rsid w:val="00CE440F"/>
    <w:pPr>
      <w:pBdr>
        <w:top w:val="single" w:sz="6" w:space="2" w:color="918585"/>
        <w:bottom w:val="single" w:sz="6" w:space="2" w:color="918585"/>
      </w:pBdr>
      <w:tabs>
        <w:tab w:val="left" w:pos="1021"/>
      </w:tabs>
      <w:ind w:firstLine="0"/>
    </w:pPr>
  </w:style>
  <w:style w:type="paragraph" w:customStyle="1" w:styleId="Warning">
    <w:name w:val="Warning"/>
    <w:basedOn w:val="BodyText"/>
    <w:rsid w:val="00CE440F"/>
    <w:pPr>
      <w:shd w:val="clear" w:color="auto" w:fill="D9D9D9"/>
      <w:tabs>
        <w:tab w:val="left" w:pos="992"/>
      </w:tabs>
      <w:ind w:left="119" w:right="119"/>
    </w:pPr>
    <w:rPr>
      <w:sz w:val="20"/>
    </w:rPr>
  </w:style>
  <w:style w:type="paragraph" w:customStyle="1" w:styleId="MarginIcons">
    <w:name w:val="Margin Icons"/>
    <w:basedOn w:val="BodyText"/>
    <w:rsid w:val="00CE44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E440F"/>
    <w:rPr>
      <w:rFonts w:ascii="Courier New" w:hAnsi="Courier New"/>
    </w:rPr>
  </w:style>
  <w:style w:type="paragraph" w:customStyle="1" w:styleId="NoteBullet">
    <w:name w:val="Note Bullet"/>
    <w:basedOn w:val="Note"/>
    <w:rsid w:val="00CE440F"/>
    <w:pPr>
      <w:tabs>
        <w:tab w:val="clear" w:pos="680"/>
      </w:tabs>
      <w:spacing w:before="60" w:after="60"/>
    </w:pPr>
  </w:style>
  <w:style w:type="paragraph" w:customStyle="1" w:styleId="SubHeading2">
    <w:name w:val="SubHeading2"/>
    <w:basedOn w:val="HeadingBase"/>
    <w:rsid w:val="00CE440F"/>
    <w:pPr>
      <w:spacing w:before="240" w:after="60"/>
    </w:pPr>
    <w:rPr>
      <w:sz w:val="20"/>
    </w:rPr>
  </w:style>
  <w:style w:type="paragraph" w:customStyle="1" w:styleId="SubHeading1">
    <w:name w:val="SubHeading1"/>
    <w:basedOn w:val="HeadingBase"/>
    <w:rsid w:val="00CE440F"/>
    <w:pPr>
      <w:spacing w:before="240" w:after="60"/>
    </w:pPr>
    <w:rPr>
      <w:color w:val="918585"/>
      <w:sz w:val="22"/>
    </w:rPr>
  </w:style>
  <w:style w:type="paragraph" w:customStyle="1" w:styleId="SideHeading">
    <w:name w:val="Side Heading"/>
    <w:basedOn w:val="HeadingBase"/>
    <w:rsid w:val="00CE4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40F"/>
    <w:pPr>
      <w:tabs>
        <w:tab w:val="num" w:pos="360"/>
      </w:tabs>
    </w:pPr>
  </w:style>
  <w:style w:type="paragraph" w:styleId="PlainText">
    <w:name w:val="Plain Text"/>
    <w:basedOn w:val="Normal"/>
    <w:link w:val="PlainTextChar"/>
    <w:rsid w:val="00CE440F"/>
    <w:rPr>
      <w:sz w:val="20"/>
    </w:rPr>
  </w:style>
  <w:style w:type="character" w:customStyle="1" w:styleId="PlainTextChar">
    <w:name w:val="Plain Text Char"/>
    <w:basedOn w:val="DefaultParagraphFont"/>
    <w:link w:val="PlainText"/>
    <w:rsid w:val="00CE440F"/>
    <w:rPr>
      <w:rFonts w:ascii="Courier New" w:eastAsia="Times New Roman" w:hAnsi="Courier New" w:cs="Times New Roman"/>
      <w:sz w:val="20"/>
      <w:szCs w:val="20"/>
      <w:lang w:val="en-US" w:eastAsia="en-US"/>
    </w:rPr>
  </w:style>
  <w:style w:type="character" w:customStyle="1" w:styleId="MenuOption">
    <w:name w:val="Menu Option"/>
    <w:rsid w:val="00CE440F"/>
    <w:rPr>
      <w:b/>
      <w:smallCaps/>
    </w:rPr>
  </w:style>
  <w:style w:type="paragraph" w:customStyle="1" w:styleId="TableListNumber">
    <w:name w:val="Table List Number"/>
    <w:basedOn w:val="ListNumber"/>
    <w:rsid w:val="00CE440F"/>
    <w:pPr>
      <w:numPr>
        <w:numId w:val="0"/>
      </w:numPr>
    </w:pPr>
  </w:style>
  <w:style w:type="paragraph" w:styleId="TOC4">
    <w:name w:val="toc 4"/>
    <w:basedOn w:val="TOCBase"/>
    <w:next w:val="Normal"/>
    <w:semiHidden/>
    <w:rsid w:val="00CE440F"/>
    <w:pPr>
      <w:tabs>
        <w:tab w:val="right" w:leader="dot" w:pos="9071"/>
      </w:tabs>
      <w:ind w:left="1701"/>
    </w:pPr>
  </w:style>
  <w:style w:type="paragraph" w:customStyle="1" w:styleId="ListAlpha">
    <w:name w:val="List Alpha"/>
    <w:basedOn w:val="List"/>
    <w:rsid w:val="00CE440F"/>
    <w:pPr>
      <w:numPr>
        <w:numId w:val="8"/>
      </w:numPr>
    </w:pPr>
  </w:style>
  <w:style w:type="paragraph" w:customStyle="1" w:styleId="ListAlpha2">
    <w:name w:val="List Alpha 2"/>
    <w:basedOn w:val="List2"/>
    <w:rsid w:val="00CE440F"/>
    <w:pPr>
      <w:numPr>
        <w:numId w:val="7"/>
      </w:numPr>
    </w:pPr>
  </w:style>
  <w:style w:type="paragraph" w:styleId="List3">
    <w:name w:val="List 3"/>
    <w:basedOn w:val="BodyText"/>
    <w:rsid w:val="00CE440F"/>
    <w:pPr>
      <w:tabs>
        <w:tab w:val="left" w:pos="1021"/>
      </w:tabs>
      <w:spacing w:before="60" w:after="60"/>
      <w:ind w:left="1020" w:hanging="340"/>
    </w:pPr>
  </w:style>
  <w:style w:type="paragraph" w:styleId="List4">
    <w:name w:val="List 4"/>
    <w:basedOn w:val="BodyText"/>
    <w:rsid w:val="00CE440F"/>
    <w:pPr>
      <w:tabs>
        <w:tab w:val="left" w:pos="1361"/>
      </w:tabs>
      <w:spacing w:before="60" w:after="60"/>
      <w:ind w:left="1361" w:hanging="340"/>
    </w:pPr>
  </w:style>
  <w:style w:type="paragraph" w:styleId="List5">
    <w:name w:val="List 5"/>
    <w:basedOn w:val="BodyText"/>
    <w:rsid w:val="00CE440F"/>
    <w:pPr>
      <w:tabs>
        <w:tab w:val="left" w:pos="1701"/>
      </w:tabs>
      <w:spacing w:before="60" w:after="60"/>
      <w:ind w:left="1701" w:hanging="340"/>
    </w:pPr>
  </w:style>
  <w:style w:type="paragraph" w:styleId="ListBullet3">
    <w:name w:val="List Bullet 3"/>
    <w:basedOn w:val="List3"/>
    <w:rsid w:val="00CE440F"/>
    <w:pPr>
      <w:numPr>
        <w:numId w:val="14"/>
      </w:numPr>
      <w:tabs>
        <w:tab w:val="clear" w:pos="1021"/>
      </w:tabs>
      <w:ind w:left="1037" w:hanging="357"/>
    </w:pPr>
  </w:style>
  <w:style w:type="paragraph" w:styleId="ListBullet4">
    <w:name w:val="List Bullet 4"/>
    <w:basedOn w:val="List4"/>
    <w:rsid w:val="00CE440F"/>
    <w:pPr>
      <w:numPr>
        <w:numId w:val="2"/>
      </w:numPr>
    </w:pPr>
  </w:style>
  <w:style w:type="paragraph" w:styleId="ListBullet5">
    <w:name w:val="List Bullet 5"/>
    <w:basedOn w:val="List5"/>
    <w:rsid w:val="00CE440F"/>
    <w:pPr>
      <w:numPr>
        <w:numId w:val="3"/>
      </w:numPr>
    </w:pPr>
  </w:style>
  <w:style w:type="paragraph" w:styleId="ListContinue2">
    <w:name w:val="List Continue 2"/>
    <w:basedOn w:val="List2"/>
    <w:rsid w:val="00CE440F"/>
    <w:pPr>
      <w:ind w:firstLine="0"/>
    </w:pPr>
  </w:style>
  <w:style w:type="paragraph" w:styleId="ListContinue3">
    <w:name w:val="List Continue 3"/>
    <w:basedOn w:val="List3"/>
    <w:rsid w:val="00CE440F"/>
    <w:pPr>
      <w:ind w:left="1021" w:firstLine="0"/>
    </w:pPr>
  </w:style>
  <w:style w:type="paragraph" w:styleId="ListContinue4">
    <w:name w:val="List Continue 4"/>
    <w:basedOn w:val="List4"/>
    <w:rsid w:val="00CE440F"/>
    <w:pPr>
      <w:ind w:firstLine="0"/>
    </w:pPr>
  </w:style>
  <w:style w:type="paragraph" w:styleId="ListContinue5">
    <w:name w:val="List Continue 5"/>
    <w:basedOn w:val="List5"/>
    <w:rsid w:val="00CE440F"/>
    <w:pPr>
      <w:ind w:firstLine="0"/>
    </w:pPr>
  </w:style>
  <w:style w:type="paragraph" w:styleId="ListNumber3">
    <w:name w:val="List Number 3"/>
    <w:basedOn w:val="List3"/>
    <w:rsid w:val="00CE440F"/>
    <w:pPr>
      <w:numPr>
        <w:numId w:val="4"/>
      </w:numPr>
    </w:pPr>
  </w:style>
  <w:style w:type="paragraph" w:styleId="ListNumber4">
    <w:name w:val="List Number 4"/>
    <w:basedOn w:val="List4"/>
    <w:rsid w:val="00CE440F"/>
    <w:pPr>
      <w:numPr>
        <w:numId w:val="5"/>
      </w:numPr>
    </w:pPr>
  </w:style>
  <w:style w:type="paragraph" w:styleId="ListNumber5">
    <w:name w:val="List Number 5"/>
    <w:basedOn w:val="List5"/>
    <w:rsid w:val="00CE440F"/>
    <w:pPr>
      <w:numPr>
        <w:numId w:val="6"/>
      </w:numPr>
    </w:pPr>
  </w:style>
  <w:style w:type="paragraph" w:styleId="BlockText">
    <w:name w:val="Block Text"/>
    <w:basedOn w:val="Normal"/>
    <w:rsid w:val="00CE440F"/>
    <w:pPr>
      <w:spacing w:after="120"/>
      <w:ind w:left="1440" w:right="1440"/>
    </w:pPr>
  </w:style>
  <w:style w:type="character" w:customStyle="1" w:styleId="Subscript">
    <w:name w:val="Subscript"/>
    <w:rsid w:val="00CE440F"/>
    <w:rPr>
      <w:sz w:val="16"/>
      <w:vertAlign w:val="subscript"/>
    </w:rPr>
  </w:style>
  <w:style w:type="character" w:customStyle="1" w:styleId="Superscript">
    <w:name w:val="Superscript"/>
    <w:rsid w:val="00CE440F"/>
    <w:rPr>
      <w:sz w:val="16"/>
      <w:vertAlign w:val="superscript"/>
    </w:rPr>
  </w:style>
  <w:style w:type="character" w:customStyle="1" w:styleId="Symbols">
    <w:name w:val="Symbols"/>
    <w:rsid w:val="00CE440F"/>
    <w:rPr>
      <w:rFonts w:ascii="Symbol" w:hAnsi="Symbol"/>
    </w:rPr>
  </w:style>
  <w:style w:type="character" w:customStyle="1" w:styleId="MenuOptions">
    <w:name w:val="Menu Options"/>
    <w:rsid w:val="00CE440F"/>
    <w:rPr>
      <w:rFonts w:ascii="Arial Narrow" w:hAnsi="Arial Narrow"/>
      <w:smallCaps/>
    </w:rPr>
  </w:style>
  <w:style w:type="character" w:customStyle="1" w:styleId="Buttons">
    <w:name w:val="Buttons"/>
    <w:rsid w:val="00CE440F"/>
    <w:rPr>
      <w:b/>
    </w:rPr>
  </w:style>
  <w:style w:type="character" w:customStyle="1" w:styleId="Underlined">
    <w:name w:val="Underlined"/>
    <w:rsid w:val="00CE440F"/>
    <w:rPr>
      <w:u w:val="single"/>
    </w:rPr>
  </w:style>
  <w:style w:type="paragraph" w:customStyle="1" w:styleId="TableBodyTextRight">
    <w:name w:val="Table Body Text Right"/>
    <w:basedOn w:val="TableBodyText"/>
    <w:rsid w:val="00CE440F"/>
    <w:pPr>
      <w:widowControl w:val="0"/>
      <w:autoSpaceDE w:val="0"/>
      <w:autoSpaceDN w:val="0"/>
      <w:adjustRightInd w:val="0"/>
      <w:jc w:val="right"/>
    </w:pPr>
    <w:rPr>
      <w:rFonts w:cs="Arial"/>
      <w:szCs w:val="18"/>
    </w:rPr>
  </w:style>
  <w:style w:type="paragraph" w:customStyle="1" w:styleId="CopyrightText">
    <w:name w:val="Copyright Text"/>
    <w:basedOn w:val="BodyText"/>
    <w:rsid w:val="00CE440F"/>
    <w:rPr>
      <w:sz w:val="18"/>
    </w:rPr>
  </w:style>
  <w:style w:type="paragraph" w:customStyle="1" w:styleId="BodySmallRight">
    <w:name w:val="Body Small Right"/>
    <w:basedOn w:val="BodyTextRight"/>
    <w:rsid w:val="00CE440F"/>
    <w:rPr>
      <w:sz w:val="18"/>
      <w:szCs w:val="18"/>
    </w:rPr>
  </w:style>
  <w:style w:type="paragraph" w:customStyle="1" w:styleId="MarginEdition">
    <w:name w:val="Margin Edition"/>
    <w:basedOn w:val="MarginNote"/>
    <w:rsid w:val="00CE440F"/>
    <w:pPr>
      <w:spacing w:before="0" w:after="0"/>
    </w:pPr>
    <w:rPr>
      <w:rFonts w:ascii="Times New Roman" w:hAnsi="Times New Roman"/>
      <w:color w:val="999999"/>
    </w:rPr>
  </w:style>
  <w:style w:type="paragraph" w:customStyle="1" w:styleId="Spacer">
    <w:name w:val="Spacer"/>
    <w:basedOn w:val="Normal"/>
    <w:rsid w:val="00CE440F"/>
    <w:rPr>
      <w:sz w:val="2"/>
      <w:szCs w:val="2"/>
    </w:rPr>
  </w:style>
  <w:style w:type="character" w:customStyle="1" w:styleId="Small">
    <w:name w:val="Small"/>
    <w:rsid w:val="00CE440F"/>
    <w:rPr>
      <w:sz w:val="16"/>
    </w:rPr>
  </w:style>
  <w:style w:type="paragraph" w:customStyle="1" w:styleId="WideTable">
    <w:name w:val="Wide Table"/>
    <w:basedOn w:val="Normal"/>
    <w:rsid w:val="00CE440F"/>
    <w:pPr>
      <w:ind w:left="-1418"/>
    </w:pPr>
    <w:rPr>
      <w:sz w:val="2"/>
      <w:szCs w:val="2"/>
    </w:rPr>
  </w:style>
  <w:style w:type="character" w:styleId="PageNumber">
    <w:name w:val="page number"/>
    <w:rsid w:val="00CE440F"/>
  </w:style>
  <w:style w:type="paragraph" w:styleId="Quote">
    <w:name w:val="Quote"/>
    <w:basedOn w:val="Heading1"/>
    <w:link w:val="QuoteChar"/>
    <w:qFormat/>
    <w:rsid w:val="00CE440F"/>
    <w:rPr>
      <w:b w:val="0"/>
      <w:sz w:val="72"/>
      <w:szCs w:val="72"/>
      <w:lang w:val="en-NZ"/>
    </w:rPr>
  </w:style>
  <w:style w:type="character" w:customStyle="1" w:styleId="QuoteChar">
    <w:name w:val="Quote Char"/>
    <w:link w:val="Quote"/>
    <w:rsid w:val="00CE4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40F"/>
    <w:pPr>
      <w:pageBreakBefore/>
    </w:pPr>
  </w:style>
  <w:style w:type="paragraph" w:customStyle="1" w:styleId="Border">
    <w:name w:val="Border"/>
    <w:basedOn w:val="Normal"/>
    <w:qFormat/>
    <w:rsid w:val="00CE440F"/>
    <w:pPr>
      <w:pBdr>
        <w:top w:val="single" w:sz="18" w:space="1" w:color="auto"/>
      </w:pBdr>
    </w:pPr>
    <w:rPr>
      <w:rFonts w:ascii="Times New Roman" w:hAnsi="Times New Roman"/>
      <w:color w:val="FFFFFF"/>
      <w:sz w:val="2"/>
    </w:rPr>
  </w:style>
  <w:style w:type="character" w:styleId="IntenseEmphasis">
    <w:name w:val="Intense Emphasis"/>
    <w:uiPriority w:val="21"/>
    <w:qFormat/>
    <w:rsid w:val="00CE440F"/>
    <w:rPr>
      <w:b/>
      <w:bCs/>
      <w:i/>
      <w:iCs/>
      <w:color w:val="auto"/>
    </w:rPr>
  </w:style>
  <w:style w:type="paragraph" w:styleId="IntenseQuote">
    <w:name w:val="Intense Quote"/>
    <w:basedOn w:val="Normal"/>
    <w:next w:val="Normal"/>
    <w:link w:val="IntenseQuoteChar"/>
    <w:uiPriority w:val="30"/>
    <w:qFormat/>
    <w:rsid w:val="00CE44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E440F"/>
    <w:rPr>
      <w:rFonts w:ascii="Courier New" w:eastAsia="Times New Roman" w:hAnsi="Courier New" w:cs="Times New Roman"/>
      <w:b/>
      <w:bCs/>
      <w:i/>
      <w:iCs/>
      <w:szCs w:val="20"/>
      <w:lang w:val="en-US" w:eastAsia="en-US"/>
    </w:rPr>
  </w:style>
  <w:style w:type="character" w:styleId="SubtleReference">
    <w:name w:val="Subtle Reference"/>
    <w:uiPriority w:val="31"/>
    <w:qFormat/>
    <w:rsid w:val="00CE440F"/>
    <w:rPr>
      <w:smallCaps/>
      <w:color w:val="auto"/>
      <w:u w:val="single"/>
    </w:rPr>
  </w:style>
  <w:style w:type="character" w:styleId="IntenseReference">
    <w:name w:val="Intense Reference"/>
    <w:uiPriority w:val="32"/>
    <w:qFormat/>
    <w:rsid w:val="00CE440F"/>
    <w:rPr>
      <w:b/>
      <w:bCs/>
      <w:smallCaps/>
      <w:color w:val="auto"/>
      <w:spacing w:val="5"/>
      <w:u w:val="single"/>
    </w:rPr>
  </w:style>
  <w:style w:type="paragraph" w:customStyle="1" w:styleId="2ColumnHeading">
    <w:name w:val="2Column Heading"/>
    <w:basedOn w:val="BodyText"/>
    <w:qFormat/>
    <w:rsid w:val="00CE440F"/>
    <w:pPr>
      <w:spacing w:after="60"/>
      <w:ind w:left="-2268"/>
    </w:pPr>
    <w:rPr>
      <w:b/>
    </w:rPr>
  </w:style>
  <w:style w:type="paragraph" w:customStyle="1" w:styleId="Heading1TOC">
    <w:name w:val="Heading1 TOC"/>
    <w:basedOn w:val="Normal"/>
    <w:qFormat/>
    <w:rsid w:val="00CE440F"/>
    <w:pPr>
      <w:spacing w:before="240" w:after="120"/>
    </w:pPr>
    <w:rPr>
      <w:rFonts w:ascii="Times New Roman" w:hAnsi="Times New Roman"/>
      <w:b/>
      <w:sz w:val="32"/>
    </w:rPr>
  </w:style>
  <w:style w:type="paragraph" w:customStyle="1" w:styleId="Heading2TOC">
    <w:name w:val="Heading2 TOC"/>
    <w:basedOn w:val="Normal"/>
    <w:qFormat/>
    <w:rsid w:val="00CE440F"/>
    <w:pPr>
      <w:spacing w:before="240" w:after="60"/>
    </w:pPr>
    <w:rPr>
      <w:rFonts w:ascii="Times New Roman" w:hAnsi="Times New Roman"/>
      <w:b/>
      <w:sz w:val="28"/>
    </w:rPr>
  </w:style>
  <w:style w:type="character" w:customStyle="1" w:styleId="Underline">
    <w:name w:val="Underline"/>
    <w:qFormat/>
    <w:rsid w:val="00CE440F"/>
    <w:rPr>
      <w:u w:val="single"/>
    </w:rPr>
  </w:style>
  <w:style w:type="character" w:customStyle="1" w:styleId="BoldandItalics">
    <w:name w:val="Bold and Italics"/>
    <w:qFormat/>
    <w:rsid w:val="00CE440F"/>
    <w:rPr>
      <w:b/>
      <w:i/>
      <w:u w:val="none"/>
    </w:rPr>
  </w:style>
  <w:style w:type="paragraph" w:styleId="BalloonText">
    <w:name w:val="Balloon Text"/>
    <w:basedOn w:val="Normal"/>
    <w:link w:val="BalloonTextChar"/>
    <w:rsid w:val="00CE440F"/>
    <w:rPr>
      <w:rFonts w:ascii="Tahoma" w:hAnsi="Tahoma" w:cs="Tahoma"/>
      <w:sz w:val="16"/>
      <w:szCs w:val="16"/>
    </w:rPr>
  </w:style>
  <w:style w:type="character" w:customStyle="1" w:styleId="BalloonTextChar">
    <w:name w:val="Balloon Text Char"/>
    <w:link w:val="BalloonText"/>
    <w:rsid w:val="00CE44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4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E44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928</Words>
  <Characters>5931</Characters>
  <Application>Microsoft Office Word</Application>
  <DocSecurity>0</DocSecurity>
  <Lines>214</Lines>
  <Paragraphs>94</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MEM08016B Control blast coating by-products, materials and emissions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