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2D71" w:rsidP="004D2D71">
      <w:pPr>
        <w:pStyle w:val="Title"/>
      </w:pPr>
      <w:r>
        <w:fldChar w:fldCharType="begin"/>
      </w:r>
      <w:r>
        <w:instrText xml:space="preserve"> TITLE   \* MERGEFORMAT </w:instrText>
      </w:r>
      <w:r>
        <w:fldChar w:fldCharType="separate"/>
      </w:r>
      <w:r>
        <w:t>MEM08011B Prepare surfaces using solvents and/or mechanical means</w:t>
      </w:r>
      <w:r>
        <w:fldChar w:fldCharType="end"/>
      </w:r>
    </w:p>
    <w:p w:rsidR="004D2D71" w:rsidP="004D2D71">
      <w:pPr>
        <w:pStyle w:val="Version"/>
        <w:sectPr w:rsidSect="00E136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362E" w:rsidP="00E1362E">
      <w:pPr>
        <w:pStyle w:val="SuperHeading"/>
      </w:pPr>
      <w:r w:rsidRPr="00E1362E">
        <w:t>MEM08011B Prepare surfaces using solvents and/or mechanical means</w:t>
      </w:r>
    </w:p>
    <w:p w:rsidR="00000000" w:rsidRPr="00E1362E" w:rsidP="00E1362E">
      <w:pPr>
        <w:pStyle w:val="Heading1"/>
      </w:pPr>
      <w:bookmarkStart w:id="1" w:name="O_272093"/>
      <w:bookmarkEnd w:id="1"/>
      <w:r w:rsidRPr="00E1362E">
        <w:t>Modification History</w:t>
      </w:r>
    </w:p>
    <w:p w:rsidR="00000000" w:rsidRPr="00E1362E" w:rsidP="00E1362E">
      <w:pPr>
        <w:pStyle w:val="BodyText"/>
      </w:pPr>
      <w:r w:rsidRPr="00E1362E">
        <w:t>Not Applicable</w:t>
      </w:r>
    </w:p>
    <w:p w:rsidR="00000000" w:rsidRPr="00E1362E" w:rsidP="00E1362E">
      <w:pPr>
        <w:pStyle w:val="AllowPageBreak"/>
      </w:pPr>
    </w:p>
    <w:p w:rsidR="00000000" w:rsidRPr="00E1362E" w:rsidP="00E1362E">
      <w:pPr>
        <w:pStyle w:val="Heading1"/>
      </w:pPr>
      <w:bookmarkStart w:id="2" w:name="O_211089"/>
      <w:bookmarkEnd w:id="2"/>
      <w:r w:rsidRPr="00E1362E">
        <w:t>Unit Descriptor</w:t>
      </w:r>
    </w:p>
    <w:tbl>
      <w:tblPr>
        <w:tblW w:w="0" w:type="auto"/>
        <w:tblLayout w:type="fixed"/>
        <w:tblCellMar>
          <w:left w:w="62" w:type="dxa"/>
          <w:right w:w="62" w:type="dxa"/>
        </w:tblCellMar>
        <w:tblLook w:val="0000"/>
      </w:tblPr>
      <w:tblGrid>
        <w:gridCol w:w="2664"/>
        <w:gridCol w:w="5858"/>
      </w:tblGrid>
      <w:tr w:rsidTr="004D2D71">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62E" w:rsidP="00E1362E">
            <w:pPr>
              <w:pStyle w:val="BodyText"/>
            </w:pPr>
            <w:r w:rsidRPr="00E1362E">
              <w:t>This unit covers selecting the appropriate preparation process, selecting and setting up</w:t>
            </w:r>
            <w:r w:rsidRPr="00E1362E">
              <w:t xml:space="preserve"> the equipment, undertaking blasting or application of solvents as required, and checking the finished surface.</w:t>
            </w:r>
          </w:p>
        </w:tc>
      </w:tr>
    </w:tbl>
    <w:p w:rsidR="004D2D71" w:rsidP="00E1362E">
      <w:pPr>
        <w:pStyle w:val="BodyText"/>
      </w:pPr>
    </w:p>
    <w:p w:rsidR="004D2D71" w:rsidP="00E1362E">
      <w:pPr>
        <w:pStyle w:val="BodyText"/>
      </w:pPr>
    </w:p>
    <w:p w:rsidR="00000000" w:rsidRPr="00E1362E" w:rsidP="00E1362E">
      <w:pPr>
        <w:pStyle w:val="Heading1"/>
      </w:pPr>
      <w:bookmarkStart w:id="3" w:name="O_211093"/>
      <w:bookmarkEnd w:id="3"/>
      <w:r w:rsidRPr="00E1362E">
        <w:t>Application of the Unit</w:t>
      </w:r>
    </w:p>
    <w:tbl>
      <w:tblPr>
        <w:tblW w:w="0" w:type="auto"/>
        <w:tblLayout w:type="fixed"/>
        <w:tblCellMar>
          <w:left w:w="62" w:type="dxa"/>
          <w:right w:w="62" w:type="dxa"/>
        </w:tblCellMar>
        <w:tblLook w:val="0000"/>
      </w:tblPr>
      <w:tblGrid>
        <w:gridCol w:w="2737"/>
        <w:gridCol w:w="5785"/>
      </w:tblGrid>
      <w:tr w:rsidTr="004D2D71">
        <w:tblPrEx>
          <w:tblW w:w="0" w:type="auto"/>
          <w:tblLayout w:type="fixed"/>
          <w:tblCellMar>
            <w:left w:w="62" w:type="dxa"/>
            <w:right w:w="62" w:type="dxa"/>
          </w:tblCellMar>
          <w:tblLook w:val="0000"/>
        </w:tblPrEx>
        <w:tc>
          <w:tcPr>
            <w:tcW w:w="2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rPr>
                <w:rStyle w:val="SpecialBold"/>
              </w:rPr>
              <w:t>Application of the unit</w:t>
            </w:r>
          </w:p>
        </w:tc>
        <w:tc>
          <w:tcPr>
            <w:tcW w:w="5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62E" w:rsidP="00E1362E">
            <w:pPr>
              <w:pStyle w:val="BodyText"/>
            </w:pPr>
            <w:r w:rsidRPr="00E1362E">
              <w:t xml:space="preserve">This unit applies to surface preparation in new surfaces and in restoration work. Application of surface preparations can apply to metal and non-metal materials. </w:t>
            </w:r>
          </w:p>
          <w:p w:rsidR="00000000" w:rsidRPr="00E1362E" w:rsidP="00E1362E">
            <w:pPr>
              <w:pStyle w:val="BodyText"/>
            </w:pPr>
            <w:r w:rsidRPr="00E1362E">
              <w:t>Work is undertaken autonomously or as part of a team environment to established predetermined</w:t>
            </w:r>
            <w:r w:rsidRPr="00E1362E">
              <w:t xml:space="preserve"> processes, practices and specifications including environmental requirements. All work and work practices are undertaken to regulatory and legislative requirements.</w:t>
            </w:r>
          </w:p>
          <w:p w:rsidR="00000000" w:rsidRPr="00E1362E" w:rsidP="00E1362E">
            <w:pPr>
              <w:pStyle w:val="BodyText"/>
            </w:pPr>
          </w:p>
          <w:p w:rsidR="00000000" w:rsidRPr="00E1362E" w:rsidP="00E1362E">
            <w:pPr>
              <w:pStyle w:val="BodyText"/>
            </w:pPr>
            <w:r w:rsidRPr="00E1362E">
              <w:rPr>
                <w:rStyle w:val="SpecialBold"/>
              </w:rPr>
              <w:t>Band</w:t>
            </w:r>
            <w:r w:rsidRPr="00E1362E">
              <w:t>:</w:t>
            </w:r>
            <w:r w:rsidRPr="00E1362E">
              <w:tab/>
            </w:r>
            <w:r w:rsidRPr="00E1362E">
              <w:rPr>
                <w:rStyle w:val="SpecialBold"/>
              </w:rPr>
              <w:t>A</w:t>
            </w:r>
          </w:p>
          <w:p w:rsidR="00000000" w:rsidRPr="00E1362E" w:rsidP="00E1362E">
            <w:pPr>
              <w:pStyle w:val="BodyText"/>
            </w:pPr>
            <w:r w:rsidRPr="00E1362E">
              <w:rPr>
                <w:rStyle w:val="SpecialBold"/>
              </w:rPr>
              <w:t>Unit Weight</w:t>
            </w:r>
            <w:r w:rsidRPr="00E1362E">
              <w:t>:</w:t>
            </w:r>
            <w:r w:rsidRPr="00E1362E">
              <w:tab/>
            </w:r>
            <w:r w:rsidRPr="00E1362E">
              <w:rPr>
                <w:rStyle w:val="SpecialBold"/>
              </w:rPr>
              <w:t>2</w:t>
            </w:r>
          </w:p>
        </w:tc>
      </w:tr>
    </w:tbl>
    <w:p w:rsidR="004D2D71" w:rsidP="00E1362E">
      <w:pPr>
        <w:pStyle w:val="BodyText"/>
      </w:pPr>
    </w:p>
    <w:p w:rsidR="004D2D71" w:rsidP="00E1362E">
      <w:pPr>
        <w:pStyle w:val="BodyText"/>
      </w:pPr>
    </w:p>
    <w:p w:rsidR="00000000" w:rsidRPr="00E1362E" w:rsidP="00E1362E">
      <w:pPr>
        <w:pStyle w:val="Heading1"/>
      </w:pPr>
      <w:bookmarkStart w:id="4" w:name="O_280353"/>
      <w:bookmarkEnd w:id="4"/>
      <w:r w:rsidRPr="00E1362E">
        <w:t>Licensing/Regulatory Information</w:t>
      </w:r>
    </w:p>
    <w:p w:rsidR="00000000" w:rsidRPr="00E1362E" w:rsidP="00E1362E">
      <w:pPr>
        <w:pStyle w:val="BodyText"/>
      </w:pPr>
      <w:r w:rsidRPr="00E1362E">
        <w:t>Not Applicable</w:t>
      </w:r>
    </w:p>
    <w:p w:rsidR="00000000" w:rsidRPr="00E1362E" w:rsidP="00E1362E">
      <w:pPr>
        <w:pStyle w:val="AllowPageBreak"/>
      </w:pPr>
    </w:p>
    <w:p w:rsidR="00000000" w:rsidRPr="00E1362E" w:rsidP="00E1362E">
      <w:pPr>
        <w:pStyle w:val="Heading1"/>
      </w:pPr>
      <w:bookmarkStart w:id="5" w:name="O_211091"/>
      <w:bookmarkEnd w:id="5"/>
      <w:r w:rsidRPr="00E1362E">
        <w:t>Pre-Requisites</w:t>
      </w:r>
    </w:p>
    <w:tbl>
      <w:tblPr>
        <w:tblW w:w="0" w:type="auto"/>
        <w:tblLayout w:type="fixed"/>
        <w:tblCellMar>
          <w:left w:w="62" w:type="dxa"/>
          <w:right w:w="62" w:type="dxa"/>
        </w:tblCellMar>
        <w:tblLook w:val="0000"/>
      </w:tblPr>
      <w:tblGrid>
        <w:gridCol w:w="2715"/>
        <w:gridCol w:w="2207"/>
        <w:gridCol w:w="3600"/>
      </w:tblGrid>
      <w:tr w:rsidTr="004D2D71">
        <w:tblPrEx>
          <w:tblW w:w="0" w:type="auto"/>
          <w:tblLayout w:type="fixed"/>
          <w:tblCellMar>
            <w:left w:w="62" w:type="dxa"/>
            <w:right w:w="62" w:type="dxa"/>
          </w:tblCellMar>
          <w:tblLook w:val="0000"/>
        </w:tblPrEx>
        <w:trPr>
          <w:tblHeader/>
        </w:trPr>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rPr>
                <w:rStyle w:val="SpecialBold"/>
              </w:rPr>
              <w:t>Prerequisite units</w:t>
            </w:r>
          </w:p>
        </w:tc>
        <w:tc>
          <w:tcPr>
            <w:tcW w:w="58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p>
        </w:tc>
      </w:tr>
      <w:tr w:rsidTr="004D2D71">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t>MEM13003B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t>Work safely with industrial chemicals and materials</w:t>
            </w:r>
          </w:p>
        </w:tc>
      </w:tr>
      <w:tr w:rsidTr="004D2D71">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t>MEM18001C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t>Use hand tools</w:t>
            </w:r>
          </w:p>
        </w:tc>
      </w:tr>
      <w:tr w:rsidTr="004D2D71">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t>MEM18002B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62E" w:rsidP="00E1362E">
            <w:pPr>
              <w:pStyle w:val="BodyText"/>
            </w:pPr>
            <w:r w:rsidRPr="00E1362E">
              <w:t>Use power tools/hand held operations</w:t>
            </w:r>
          </w:p>
        </w:tc>
      </w:tr>
    </w:tbl>
    <w:p w:rsidR="004D2D71" w:rsidP="00E1362E">
      <w:pPr>
        <w:pStyle w:val="BodyText"/>
      </w:pPr>
    </w:p>
    <w:p w:rsidR="004D2D71" w:rsidP="00E1362E">
      <w:pPr>
        <w:pStyle w:val="BodyText"/>
      </w:pPr>
    </w:p>
    <w:p w:rsidR="00000000" w:rsidRPr="00E1362E" w:rsidP="00E1362E">
      <w:pPr>
        <w:pStyle w:val="Heading1"/>
      </w:pPr>
      <w:bookmarkStart w:id="6" w:name="O_211090"/>
      <w:bookmarkEnd w:id="6"/>
      <w:r w:rsidRPr="00E1362E">
        <w:t>Employability Skills Information</w:t>
      </w:r>
    </w:p>
    <w:tbl>
      <w:tblPr>
        <w:tblW w:w="0" w:type="auto"/>
        <w:tblLayout w:type="fixed"/>
        <w:tblCellMar>
          <w:left w:w="62" w:type="dxa"/>
          <w:right w:w="62" w:type="dxa"/>
        </w:tblCellMar>
        <w:tblLook w:val="0000"/>
      </w:tblPr>
      <w:tblGrid>
        <w:gridCol w:w="2794"/>
        <w:gridCol w:w="5728"/>
      </w:tblGrid>
      <w:tr w:rsidTr="004D2D71">
        <w:tblPrEx>
          <w:tblW w:w="0" w:type="auto"/>
          <w:tblLayout w:type="fixed"/>
          <w:tblCellMar>
            <w:left w:w="62" w:type="dxa"/>
            <w:right w:w="62" w:type="dxa"/>
          </w:tblCellMar>
          <w:tblLook w:val="0000"/>
        </w:tblPrEx>
        <w:trPr>
          <w:tblHeader/>
        </w:trPr>
        <w:tc>
          <w:tcPr>
            <w:tcW w:w="2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rPr>
                <w:rStyle w:val="SpecialBold"/>
              </w:rPr>
              <w:t>Employability skills</w:t>
            </w:r>
          </w:p>
        </w:tc>
        <w:tc>
          <w:tcPr>
            <w:tcW w:w="5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62E" w:rsidP="00E1362E">
            <w:pPr>
              <w:pStyle w:val="BodyText"/>
            </w:pPr>
            <w:r w:rsidRPr="00E1362E">
              <w:t>This unit contains employability skills.</w:t>
            </w:r>
          </w:p>
        </w:tc>
      </w:tr>
    </w:tbl>
    <w:p w:rsidR="004D2D71" w:rsidP="00E1362E">
      <w:pPr>
        <w:pStyle w:val="BodyText"/>
      </w:pPr>
    </w:p>
    <w:p w:rsidR="004D2D71" w:rsidP="00E1362E">
      <w:pPr>
        <w:pStyle w:val="BodyText"/>
      </w:pPr>
    </w:p>
    <w:p w:rsidR="00000000" w:rsidRPr="00E1362E" w:rsidP="00E1362E">
      <w:pPr>
        <w:pStyle w:val="Heading1"/>
      </w:pPr>
      <w:bookmarkStart w:id="7" w:name="O_290139"/>
      <w:bookmarkEnd w:id="7"/>
      <w:r w:rsidRPr="00E1362E">
        <w:t>Elements and Performance Criteria Pre-Content</w:t>
      </w:r>
    </w:p>
    <w:tbl>
      <w:tblPr>
        <w:tblW w:w="0" w:type="auto"/>
        <w:tblLayout w:type="fixed"/>
        <w:tblCellMar>
          <w:left w:w="62" w:type="dxa"/>
          <w:right w:w="62" w:type="dxa"/>
        </w:tblCellMar>
        <w:tblLook w:val="0000"/>
      </w:tblPr>
      <w:tblGrid>
        <w:gridCol w:w="2575"/>
        <w:gridCol w:w="5947"/>
      </w:tblGrid>
      <w:tr w:rsidTr="004D2D71">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62E" w:rsidP="00E1362E">
            <w:pPr>
              <w:pStyle w:val="BodyText"/>
            </w:pPr>
            <w:r w:rsidRPr="00E1362E">
              <w:t>Performance criteria describe the performance needed to demonstrate achievement of the element. Where bold italicised text is used, further information is detailed in the required skills and knowledge section and the range statement. Assessment of performa</w:t>
            </w:r>
            <w:r w:rsidRPr="00E1362E">
              <w:t>nce is to be consistent with the evidence guide.</w:t>
            </w:r>
          </w:p>
        </w:tc>
      </w:tr>
    </w:tbl>
    <w:p w:rsidR="00000000" w:rsidRPr="00E1362E" w:rsidP="00E1362E">
      <w:pPr>
        <w:pStyle w:val="BodyText"/>
      </w:pPr>
    </w:p>
    <w:p w:rsidR="00000000" w:rsidRPr="00E1362E" w:rsidP="00E1362E">
      <w:pPr>
        <w:pStyle w:val="AllowPageBreak"/>
      </w:pPr>
    </w:p>
    <w:p w:rsidR="00000000" w:rsidRPr="00E1362E" w:rsidP="00E1362E">
      <w:pPr>
        <w:pStyle w:val="Heading1"/>
      </w:pPr>
      <w:bookmarkStart w:id="8" w:name="O_236806"/>
      <w:bookmarkEnd w:id="8"/>
      <w:r w:rsidRPr="00E1362E">
        <w:t>Elements and Performance Criteria</w:t>
      </w:r>
    </w:p>
    <w:tbl>
      <w:tblPr>
        <w:tblW w:w="0" w:type="auto"/>
        <w:tblLayout w:type="fixed"/>
        <w:tblCellMar>
          <w:left w:w="62" w:type="dxa"/>
          <w:right w:w="62" w:type="dxa"/>
        </w:tblCellMar>
        <w:tblLook w:val="0000"/>
      </w:tblPr>
      <w:tblGrid>
        <w:gridCol w:w="2575"/>
        <w:gridCol w:w="5947"/>
      </w:tblGrid>
      <w:tr w:rsidTr="004D2D71">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62E" w:rsidP="00E1362E">
            <w:pPr>
              <w:pStyle w:val="BodyText"/>
            </w:pPr>
            <w:r w:rsidRPr="00E1362E">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rPr>
                <w:rStyle w:val="SpecialBold"/>
              </w:rPr>
              <w:t>PERFORMANCE CRITERIA</w:t>
            </w:r>
          </w:p>
        </w:tc>
      </w:tr>
      <w:tr w:rsidTr="004D2D71">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List"/>
              <w:rPr>
                <w:lang w:val="en-NZ"/>
              </w:rPr>
            </w:pPr>
            <w:r w:rsidRPr="00E1362E">
              <w:t>1.</w:t>
            </w:r>
            <w:r w:rsidRPr="00E1362E">
              <w:tab/>
              <w:t xml:space="preserve">Determine job requirements </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62E" w:rsidP="00E1362E">
            <w:pPr>
              <w:pStyle w:val="List2"/>
            </w:pPr>
            <w:r w:rsidRPr="00E1362E">
              <w:t>1.1.</w:t>
            </w:r>
            <w:r w:rsidRPr="00E1362E">
              <w:tab/>
              <w:t>Surface preparation requirements are determined from job sheet, instructions or other pr</w:t>
            </w:r>
            <w:r w:rsidRPr="00E1362E">
              <w:t>edetermined specifications in accordance with standard operating procedures.</w:t>
            </w:r>
          </w:p>
          <w:p w:rsidR="00000000" w:rsidRPr="00E1362E" w:rsidP="00E1362E">
            <w:pPr>
              <w:pStyle w:val="List2"/>
            </w:pPr>
            <w:r w:rsidRPr="00E1362E">
              <w:t>1.2.</w:t>
            </w:r>
            <w:r w:rsidRPr="00E1362E">
              <w:tab/>
              <w:t>Where required, appropriate solvent and solvent application are selected to meet job specification.</w:t>
            </w:r>
          </w:p>
          <w:p w:rsidR="00000000" w:rsidRPr="00E1362E" w:rsidP="00E1362E">
            <w:pPr>
              <w:pStyle w:val="List2"/>
            </w:pPr>
            <w:r w:rsidRPr="00E1362E">
              <w:t>1.3.</w:t>
            </w:r>
            <w:r w:rsidRPr="00E1362E">
              <w:tab/>
            </w:r>
            <w:r w:rsidRPr="00E1362E">
              <w:t>Where required, appropriate mechanical equipment is selected to meet job specification.</w:t>
            </w:r>
          </w:p>
          <w:p w:rsidR="00000000" w:rsidP="00E1362E">
            <w:pPr>
              <w:pStyle w:val="List2"/>
              <w:rPr>
                <w:lang w:val="en-NZ"/>
              </w:rPr>
            </w:pPr>
            <w:r w:rsidRPr="00E1362E">
              <w:t>1.4.</w:t>
            </w:r>
            <w:r w:rsidRPr="00E1362E">
              <w:tab/>
              <w:t>Work site is prepared for surface cleaning activities.</w:t>
            </w:r>
          </w:p>
        </w:tc>
      </w:tr>
      <w:tr w:rsidTr="004D2D71">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List"/>
              <w:rPr>
                <w:lang w:val="en-NZ"/>
              </w:rPr>
            </w:pPr>
            <w:r w:rsidRPr="00E1362E">
              <w:t>2.</w:t>
            </w:r>
            <w:r w:rsidRPr="00E1362E">
              <w:tab/>
              <w:t>Set up equipment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List2"/>
              <w:rPr>
                <w:lang w:val="en-NZ"/>
              </w:rPr>
            </w:pPr>
            <w:r w:rsidRPr="00E1362E">
              <w:t>2.1.</w:t>
            </w:r>
            <w:r w:rsidRPr="00E1362E">
              <w:tab/>
              <w:t>Appropriate equipment and any required consumables are assembled, set up and prepa</w:t>
            </w:r>
            <w:r w:rsidRPr="00E1362E">
              <w:t>red correctly and safely in accordance with manufactures' specifications and standard operating procedures.</w:t>
            </w:r>
          </w:p>
        </w:tc>
      </w:tr>
      <w:tr w:rsidTr="004D2D71">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List"/>
              <w:rPr>
                <w:lang w:val="en-NZ"/>
              </w:rPr>
            </w:pPr>
            <w:r w:rsidRPr="00E1362E">
              <w:t>3.</w:t>
            </w:r>
            <w:r w:rsidRPr="00E1362E">
              <w:tab/>
              <w:t>Prepare surfaces using solvents as required</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62E" w:rsidP="00E1362E">
            <w:pPr>
              <w:pStyle w:val="List2"/>
            </w:pPr>
            <w:r w:rsidRPr="00E1362E">
              <w:t>3.1.</w:t>
            </w:r>
            <w:r w:rsidRPr="00E1362E">
              <w:tab/>
              <w:t>Safe working environment for solvent use is established according to regulatory requirements an</w:t>
            </w:r>
            <w:r w:rsidRPr="00E1362E">
              <w:t>d standard operating procedures.</w:t>
            </w:r>
          </w:p>
          <w:p w:rsidR="00000000" w:rsidRPr="00E1362E" w:rsidP="00E1362E">
            <w:pPr>
              <w:pStyle w:val="List2"/>
            </w:pPr>
            <w:r w:rsidRPr="00E1362E">
              <w:t>3.2.</w:t>
            </w:r>
            <w:r w:rsidRPr="00E1362E">
              <w:tab/>
              <w:t>Solvents are applied correctly.</w:t>
            </w:r>
          </w:p>
          <w:p w:rsidR="00000000" w:rsidP="00E1362E">
            <w:pPr>
              <w:pStyle w:val="List2"/>
              <w:rPr>
                <w:lang w:val="en-NZ"/>
              </w:rPr>
            </w:pPr>
            <w:r w:rsidRPr="00E1362E">
              <w:t>3.3.</w:t>
            </w:r>
            <w:r w:rsidRPr="00E1362E">
              <w:tab/>
              <w:t>Treated surface is neutralised and made safe to handle.</w:t>
            </w:r>
          </w:p>
        </w:tc>
      </w:tr>
      <w:tr w:rsidTr="004D2D71">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List"/>
              <w:rPr>
                <w:lang w:val="en-NZ"/>
              </w:rPr>
            </w:pPr>
            <w:r w:rsidRPr="00E1362E">
              <w:t>4.</w:t>
            </w:r>
            <w:r w:rsidRPr="00E1362E">
              <w:tab/>
              <w:t>Prepare surfaces using mechanical means as required</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62E" w:rsidP="00E1362E">
            <w:pPr>
              <w:pStyle w:val="List2"/>
            </w:pPr>
            <w:r w:rsidRPr="00E1362E">
              <w:t>4.1.</w:t>
            </w:r>
            <w:r w:rsidRPr="00E1362E">
              <w:tab/>
              <w:t>Safe working environment for mechanical surface preparation is e</w:t>
            </w:r>
            <w:r w:rsidRPr="00E1362E">
              <w:t>stablished according to regulatory requirements and standard operating procedures.</w:t>
            </w:r>
          </w:p>
          <w:p w:rsidR="00000000" w:rsidRPr="00E1362E" w:rsidP="00E1362E">
            <w:pPr>
              <w:pStyle w:val="List2"/>
            </w:pPr>
            <w:r w:rsidRPr="00E1362E">
              <w:t>4.2.</w:t>
            </w:r>
            <w:r w:rsidRPr="00E1362E">
              <w:tab/>
              <w:t>Surfaces are prepared using mechanical means.</w:t>
            </w:r>
          </w:p>
          <w:p w:rsidR="00000000" w:rsidRPr="00E1362E" w:rsidP="00E1362E">
            <w:pPr>
              <w:pStyle w:val="List2"/>
            </w:pPr>
            <w:r w:rsidRPr="00E1362E">
              <w:t>4.3.</w:t>
            </w:r>
            <w:r w:rsidRPr="00E1362E">
              <w:tab/>
              <w:t xml:space="preserve">Mechanical equipment is cleaned and checked for damage and operational faults, in accordance with standard operating </w:t>
            </w:r>
            <w:r w:rsidRPr="00E1362E">
              <w:t>procedures.</w:t>
            </w:r>
          </w:p>
          <w:p w:rsidR="00000000" w:rsidP="00E1362E">
            <w:pPr>
              <w:pStyle w:val="List2"/>
              <w:rPr>
                <w:lang w:val="en-NZ"/>
              </w:rPr>
            </w:pPr>
            <w:r w:rsidRPr="00E1362E">
              <w:t>4.4.</w:t>
            </w:r>
            <w:r w:rsidRPr="00E1362E">
              <w:tab/>
              <w:t>Equipment faults are recorded and reported in accordance with standard operating procedures.</w:t>
            </w:r>
          </w:p>
        </w:tc>
      </w:tr>
      <w:tr w:rsidTr="004D2D71">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List"/>
              <w:rPr>
                <w:lang w:val="en-NZ"/>
              </w:rPr>
            </w:pPr>
            <w:r w:rsidRPr="00E1362E">
              <w:t>5.</w:t>
            </w:r>
            <w:r w:rsidRPr="00E1362E">
              <w:tab/>
              <w:t>Inspect prepared surface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62E" w:rsidP="00E1362E">
            <w:pPr>
              <w:pStyle w:val="List2"/>
            </w:pPr>
            <w:r w:rsidRPr="00E1362E">
              <w:t>5.1.</w:t>
            </w:r>
            <w:r w:rsidRPr="00E1362E">
              <w:tab/>
              <w:t>Surface preparation is checked for cleanliness and conformance to specifications.</w:t>
            </w:r>
          </w:p>
          <w:p w:rsidR="00000000" w:rsidRPr="00E1362E" w:rsidP="00E1362E">
            <w:pPr>
              <w:pStyle w:val="List2"/>
            </w:pPr>
            <w:r w:rsidRPr="00E1362E">
              <w:t>5.2.</w:t>
            </w:r>
            <w:r w:rsidRPr="00E1362E">
              <w:tab/>
            </w:r>
            <w:r w:rsidRPr="00E1362E">
              <w:t>Faults or defects are rectified where required and recorded/reported in accordance with standard operating procedures.</w:t>
            </w:r>
          </w:p>
        </w:tc>
      </w:tr>
    </w:tbl>
    <w:p w:rsidR="004D2D71" w:rsidP="00E1362E">
      <w:pPr>
        <w:pStyle w:val="BodyText"/>
      </w:pPr>
    </w:p>
    <w:p w:rsidR="004D2D71" w:rsidP="00E1362E">
      <w:pPr>
        <w:pStyle w:val="BodyText"/>
      </w:pPr>
    </w:p>
    <w:p w:rsidR="00000000" w:rsidRPr="00E1362E" w:rsidP="00E1362E">
      <w:pPr>
        <w:pStyle w:val="Heading1"/>
      </w:pPr>
      <w:bookmarkStart w:id="9" w:name="O_260756"/>
      <w:bookmarkEnd w:id="9"/>
      <w:r w:rsidRPr="00E1362E">
        <w:t>Required Skills and Knowledge</w:t>
      </w:r>
    </w:p>
    <w:tbl>
      <w:tblPr>
        <w:tblW w:w="0" w:type="auto"/>
        <w:tblLayout w:type="fixed"/>
        <w:tblCellMar>
          <w:left w:w="62" w:type="dxa"/>
          <w:right w:w="62" w:type="dxa"/>
        </w:tblCellMar>
        <w:tblLook w:val="0000"/>
      </w:tblPr>
      <w:tblGrid>
        <w:gridCol w:w="8522"/>
      </w:tblGrid>
      <w:tr w:rsidTr="004D2D7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362E">
            <w:pPr>
              <w:pStyle w:val="BodyText"/>
              <w:rPr>
                <w:lang w:val="en-NZ"/>
              </w:rPr>
            </w:pPr>
            <w:r w:rsidRPr="00E1362E">
              <w:rPr>
                <w:rStyle w:val="SpecialBold"/>
              </w:rPr>
              <w:t>REQUIRED SKILLS AND KNOWLEDGE</w:t>
            </w:r>
          </w:p>
        </w:tc>
      </w:tr>
      <w:tr w:rsidTr="004D2D7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t>This section describes the skills and kno</w:t>
            </w:r>
            <w:r w:rsidRPr="00E1362E">
              <w:t>wledge required for this unit.</w:t>
            </w:r>
          </w:p>
        </w:tc>
      </w:tr>
      <w:tr w:rsidTr="004D2D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rPr>
                <w:rStyle w:val="SpecialBold"/>
              </w:rPr>
              <w:t>Required skills</w:t>
            </w:r>
          </w:p>
        </w:tc>
      </w:tr>
      <w:tr w:rsidTr="004D2D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62E" w:rsidP="00E1362E">
            <w:pPr>
              <w:pStyle w:val="BodyText"/>
            </w:pPr>
            <w:r w:rsidRPr="00E1362E">
              <w:t>Look for evidence that confirms skills in:</w:t>
            </w:r>
          </w:p>
          <w:p w:rsidR="00000000" w:rsidRPr="00E1362E" w:rsidP="00E1362E">
            <w:pPr>
              <w:pStyle w:val="ListBullet"/>
            </w:pPr>
            <w:r w:rsidRPr="00E1362E">
              <w:t>planning and sequencing operations</w:t>
            </w:r>
          </w:p>
          <w:p w:rsidR="00000000" w:rsidRPr="00E1362E" w:rsidP="00E1362E">
            <w:pPr>
              <w:pStyle w:val="ListBullet"/>
            </w:pPr>
            <w:r w:rsidRPr="00E1362E">
              <w:t>preparing surfaces using solvents as required</w:t>
            </w:r>
          </w:p>
          <w:p w:rsidR="00000000" w:rsidRPr="00E1362E" w:rsidP="00E1362E">
            <w:pPr>
              <w:pStyle w:val="ListBullet"/>
            </w:pPr>
            <w:r w:rsidRPr="00E1362E">
              <w:t>preparing surfaces using mechanical means</w:t>
            </w:r>
          </w:p>
          <w:p w:rsidR="00000000" w:rsidRPr="00E1362E" w:rsidP="00E1362E">
            <w:pPr>
              <w:pStyle w:val="ListBullet"/>
            </w:pPr>
            <w:r w:rsidRPr="00E1362E">
              <w:t>setting up equipment and consumables</w:t>
            </w:r>
          </w:p>
          <w:p w:rsidR="00000000" w:rsidRPr="00E1362E" w:rsidP="00E1362E">
            <w:pPr>
              <w:pStyle w:val="ListBullet"/>
            </w:pPr>
            <w:r w:rsidRPr="00E1362E">
              <w:t>meeting all safety requirements</w:t>
            </w:r>
          </w:p>
          <w:p w:rsidR="00000000" w:rsidRPr="00E1362E" w:rsidP="00E1362E">
            <w:pPr>
              <w:pStyle w:val="ListBullet"/>
            </w:pPr>
            <w:r w:rsidRPr="00E1362E">
              <w:t>using solvents correctly</w:t>
            </w:r>
          </w:p>
          <w:p w:rsidR="00000000" w:rsidRPr="00E1362E" w:rsidP="00E1362E">
            <w:pPr>
              <w:pStyle w:val="ListBullet"/>
            </w:pPr>
            <w:r w:rsidRPr="00E1362E">
              <w:t xml:space="preserve">neutralising solvents </w:t>
            </w:r>
          </w:p>
          <w:p w:rsidR="00000000" w:rsidRPr="00E1362E" w:rsidP="00E1362E">
            <w:pPr>
              <w:pStyle w:val="ListBullet"/>
            </w:pPr>
            <w:r w:rsidRPr="00E1362E">
              <w:t>using mechanical equipment to prepare surface</w:t>
            </w:r>
          </w:p>
          <w:p w:rsidR="00000000" w:rsidRPr="00E1362E" w:rsidP="00E1362E">
            <w:pPr>
              <w:pStyle w:val="ListBullet"/>
            </w:pPr>
            <w:r w:rsidRPr="00E1362E">
              <w:t xml:space="preserve">maintaining mechanical equipment </w:t>
            </w:r>
          </w:p>
          <w:p w:rsidR="00000000" w:rsidRPr="00E1362E" w:rsidP="00E1362E">
            <w:pPr>
              <w:pStyle w:val="ListBullet"/>
            </w:pPr>
            <w:r w:rsidRPr="00E1362E">
              <w:t>recording and reporting of faults</w:t>
            </w:r>
          </w:p>
          <w:p w:rsidR="00000000" w:rsidRPr="00E1362E" w:rsidP="00E1362E">
            <w:pPr>
              <w:pStyle w:val="ListBullet"/>
            </w:pPr>
            <w:r w:rsidRPr="00E1362E">
              <w:t>inspecting prepared surface</w:t>
            </w:r>
          </w:p>
          <w:p w:rsidR="00000000" w:rsidRPr="00E1362E" w:rsidP="00E1362E">
            <w:pPr>
              <w:pStyle w:val="ListBullet"/>
            </w:pPr>
            <w:r w:rsidRPr="00E1362E">
              <w:t>rectifying work performed</w:t>
            </w:r>
          </w:p>
          <w:p w:rsidR="00000000" w:rsidRPr="00E1362E" w:rsidP="00E1362E">
            <w:pPr>
              <w:pStyle w:val="ListBullet"/>
            </w:pPr>
            <w:r w:rsidRPr="00E1362E">
              <w:t>checking</w:t>
            </w:r>
            <w:r w:rsidRPr="00E1362E">
              <w:t xml:space="preserve"> for conformance to specifications</w:t>
            </w:r>
          </w:p>
          <w:p w:rsidR="00000000" w:rsidRPr="00E1362E" w:rsidP="00E1362E">
            <w:pPr>
              <w:pStyle w:val="ListBullet"/>
            </w:pPr>
            <w:r w:rsidRPr="00E1362E">
              <w:t>reading and interpreting routine information on written job instructions, specifications and standard operating procedures</w:t>
            </w:r>
          </w:p>
          <w:p w:rsidR="00000000" w:rsidRPr="00E1362E" w:rsidP="00E1362E">
            <w:pPr>
              <w:pStyle w:val="ListBullet"/>
            </w:pPr>
            <w:r w:rsidRPr="00E1362E">
              <w:t>following oral instructions</w:t>
            </w:r>
          </w:p>
          <w:p w:rsidR="00000000" w:rsidRPr="00E1362E" w:rsidP="00E1362E">
            <w:pPr>
              <w:pStyle w:val="ListBullet"/>
            </w:pPr>
            <w:r w:rsidRPr="00E1362E">
              <w:t>ap</w:t>
            </w:r>
            <w:r w:rsidRPr="00E1362E">
              <w:t xml:space="preserve">plying measurement skills needed to meet the requirements of this unit </w:t>
            </w:r>
          </w:p>
          <w:p w:rsidR="00000000" w:rsidP="00E1362E">
            <w:pPr>
              <w:pStyle w:val="ListBullet"/>
              <w:rPr>
                <w:lang w:val="en-NZ"/>
              </w:rPr>
            </w:pPr>
            <w:r w:rsidRPr="00E1362E">
              <w:t>entering routine and familiar information onto proformas and standard workplace forms</w:t>
            </w:r>
          </w:p>
        </w:tc>
      </w:tr>
      <w:tr w:rsidTr="004D2D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rPr>
                <w:rStyle w:val="SpecialBold"/>
              </w:rPr>
              <w:t>Required knowledge</w:t>
            </w:r>
          </w:p>
        </w:tc>
      </w:tr>
      <w:tr w:rsidTr="004D2D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62E" w:rsidP="00E1362E">
            <w:pPr>
              <w:pStyle w:val="BodyText"/>
            </w:pPr>
            <w:r w:rsidRPr="00E1362E">
              <w:t>Look for evidence that confirms knowledge of:</w:t>
            </w:r>
          </w:p>
          <w:p w:rsidR="00000000" w:rsidRPr="00E1362E" w:rsidP="00E1362E">
            <w:pPr>
              <w:pStyle w:val="ListBullet"/>
            </w:pPr>
            <w:r w:rsidRPr="00E1362E">
              <w:t>common surface contaminates, c</w:t>
            </w:r>
            <w:r w:rsidRPr="00E1362E">
              <w:t>onditions</w:t>
            </w:r>
          </w:p>
          <w:p w:rsidR="00000000" w:rsidRPr="00E1362E" w:rsidP="00E1362E">
            <w:pPr>
              <w:pStyle w:val="ListBullet"/>
            </w:pPr>
            <w:r w:rsidRPr="00E1362E">
              <w:t>reasons for selecting solvents</w:t>
            </w:r>
          </w:p>
          <w:p w:rsidR="00000000" w:rsidRPr="00E1362E" w:rsidP="00E1362E">
            <w:pPr>
              <w:pStyle w:val="ListBullet"/>
            </w:pPr>
            <w:r w:rsidRPr="00E1362E">
              <w:t>mechanical equipment required</w:t>
            </w:r>
          </w:p>
          <w:p w:rsidR="00000000" w:rsidRPr="00E1362E" w:rsidP="00E1362E">
            <w:pPr>
              <w:pStyle w:val="ListBullet"/>
            </w:pPr>
            <w:r w:rsidRPr="00E1362E">
              <w:t>procedure for setting up equipment</w:t>
            </w:r>
          </w:p>
          <w:p w:rsidR="00000000" w:rsidRPr="00E1362E" w:rsidP="00E1362E">
            <w:pPr>
              <w:pStyle w:val="ListBullet"/>
            </w:pPr>
            <w:r w:rsidRPr="00E1362E">
              <w:t>specifications applying to the surface to be prepared</w:t>
            </w:r>
          </w:p>
          <w:p w:rsidR="00000000" w:rsidRPr="00E1362E" w:rsidP="00E1362E">
            <w:pPr>
              <w:pStyle w:val="ListBullet"/>
            </w:pPr>
            <w:r w:rsidRPr="00E1362E">
              <w:t xml:space="preserve">methods for neutralising solvents </w:t>
            </w:r>
          </w:p>
          <w:p w:rsidR="00000000" w:rsidRPr="00E1362E" w:rsidP="00E1362E">
            <w:pPr>
              <w:pStyle w:val="ListBullet"/>
            </w:pPr>
            <w:r w:rsidRPr="00E1362E">
              <w:t>tools, equipment, abrasives and other materials</w:t>
            </w:r>
          </w:p>
          <w:p w:rsidR="00000000" w:rsidRPr="00E1362E" w:rsidP="00E1362E">
            <w:pPr>
              <w:pStyle w:val="ListBullet"/>
            </w:pPr>
            <w:r w:rsidRPr="00E1362E">
              <w:t>procedures fo</w:t>
            </w:r>
            <w:r w:rsidRPr="00E1362E">
              <w:t>r maintaining/storing mechanical equipment</w:t>
            </w:r>
          </w:p>
          <w:p w:rsidR="00000000" w:rsidRPr="00E1362E" w:rsidP="00E1362E">
            <w:pPr>
              <w:pStyle w:val="ListBullet"/>
            </w:pPr>
            <w:r w:rsidRPr="00E1362E">
              <w:t>procedures for recording/reporting faulty equipment</w:t>
            </w:r>
          </w:p>
          <w:p w:rsidR="00000000" w:rsidRPr="00E1362E" w:rsidP="00E1362E">
            <w:pPr>
              <w:pStyle w:val="ListBullet"/>
            </w:pPr>
            <w:r w:rsidRPr="00E1362E">
              <w:t xml:space="preserve">procedures checking prepared surfaces </w:t>
            </w:r>
          </w:p>
          <w:p w:rsidR="00000000" w:rsidRPr="00E1362E" w:rsidP="00E1362E">
            <w:pPr>
              <w:pStyle w:val="ListBullet"/>
            </w:pPr>
            <w:r w:rsidRPr="00E1362E">
              <w:t>rectification techniques</w:t>
            </w:r>
          </w:p>
          <w:p w:rsidR="00000000" w:rsidRPr="00E1362E" w:rsidP="00E1362E">
            <w:pPr>
              <w:pStyle w:val="ListBullet"/>
            </w:pPr>
            <w:r w:rsidRPr="00E1362E">
              <w:t xml:space="preserve">use and application of personal protective equipment </w:t>
            </w:r>
          </w:p>
          <w:p w:rsidR="00000000" w:rsidRPr="00E1362E" w:rsidP="00E1362E">
            <w:pPr>
              <w:pStyle w:val="ListBullet"/>
            </w:pPr>
            <w:r w:rsidRPr="00E1362E">
              <w:t>safe work practices and procedures</w:t>
            </w:r>
          </w:p>
          <w:p w:rsidR="00000000" w:rsidRPr="00E1362E" w:rsidP="00E1362E">
            <w:pPr>
              <w:pStyle w:val="ListBullet"/>
            </w:pPr>
            <w:r w:rsidRPr="00E1362E">
              <w:t>relevant hazards and control measures related to the competency</w:t>
            </w:r>
          </w:p>
        </w:tc>
      </w:tr>
    </w:tbl>
    <w:p w:rsidR="004D2D71" w:rsidP="00E1362E">
      <w:pPr>
        <w:pStyle w:val="BodyText"/>
      </w:pPr>
    </w:p>
    <w:p w:rsidR="004D2D71" w:rsidP="00E1362E">
      <w:pPr>
        <w:pStyle w:val="BodyText"/>
      </w:pPr>
    </w:p>
    <w:p w:rsidR="00000000" w:rsidRPr="00E1362E" w:rsidP="00E1362E">
      <w:pPr>
        <w:pStyle w:val="AllowPageBreak"/>
      </w:pPr>
    </w:p>
    <w:p w:rsidR="00000000" w:rsidRPr="00E1362E" w:rsidP="00E1362E">
      <w:pPr>
        <w:pStyle w:val="Heading1"/>
      </w:pPr>
      <w:bookmarkStart w:id="10" w:name="O_244790"/>
      <w:bookmarkEnd w:id="10"/>
      <w:r w:rsidRPr="00E1362E">
        <w:t>Evidence Guide</w:t>
      </w:r>
    </w:p>
    <w:tbl>
      <w:tblPr>
        <w:tblW w:w="9570" w:type="dxa"/>
        <w:tblLayout w:type="fixed"/>
        <w:tblCellMar>
          <w:left w:w="62" w:type="dxa"/>
          <w:right w:w="62" w:type="dxa"/>
        </w:tblCellMar>
        <w:tblLook w:val="0000"/>
      </w:tblPr>
      <w:tblGrid>
        <w:gridCol w:w="3908"/>
        <w:gridCol w:w="5662"/>
      </w:tblGrid>
      <w:tr w:rsidTr="004D2D7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rPr>
                <w:rStyle w:val="SpecialBold"/>
              </w:rPr>
              <w:t>EVIDENCE GUIDE</w:t>
            </w:r>
          </w:p>
        </w:tc>
      </w:tr>
      <w:tr w:rsidTr="004D2D7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t>The evidence guide provides advice on assessment and must be read in conjunction with the performance criteria, required skills and knowledge, range statement and the Assessment Guidelines for the Training Package.</w:t>
            </w:r>
          </w:p>
        </w:tc>
      </w:tr>
      <w:tr w:rsidTr="004D2D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t>A person who</w:t>
            </w:r>
            <w:r w:rsidRPr="00E1362E">
              <w:t xml:space="preserve"> demonstrates competency in this unit must be able to select the appropriate preparation process, select and set up the equipment, undertake mechanical preparation or application of solvents as required and inspect the finished surface. Competency in this </w:t>
            </w:r>
            <w:r w:rsidRPr="00E1362E">
              <w:t>unit cannot be claimed until all prerequisites have been satisfied.</w:t>
            </w:r>
          </w:p>
        </w:tc>
      </w:tr>
      <w:tr w:rsidTr="004D2D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t>Assessors must be satisfied that the candidate can competently and consistently perform all el</w:t>
            </w:r>
            <w:r w:rsidRPr="00E1362E">
              <w:t>ements of the unit as specified by the criteria, including required knowledge, and be capable of applying the competency in new and different situations and contexts.</w:t>
            </w:r>
          </w:p>
        </w:tc>
      </w:tr>
      <w:tr w:rsidTr="004D2D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62E" w:rsidP="00E1362E">
            <w:pPr>
              <w:pStyle w:val="BodyText"/>
            </w:pPr>
            <w:r w:rsidRPr="00E1362E">
              <w:t>This unit may be assessed on the job, o</w:t>
            </w:r>
            <w:r w:rsidRPr="00E1362E">
              <w:t>ff the job or a combination of both on and off the job. Where assessment occurs off the job, that is the candidate is not in productive work, then an appropriate simulation must be used where the range of conditions reflects realistic workplace situations.</w:t>
            </w:r>
            <w:r w:rsidRPr="00E1362E">
              <w:t xml:space="preserve"> The competencies covered by this unit would be demonstrated by an individual working alone or as part of a team. The assessment environment should not disadvantage the candidate.</w:t>
            </w:r>
          </w:p>
          <w:p w:rsidR="00000000" w:rsidP="00E1362E">
            <w:pPr>
              <w:pStyle w:val="BodyText"/>
              <w:rPr>
                <w:lang w:val="en-NZ"/>
              </w:rPr>
            </w:pPr>
            <w:r w:rsidRPr="00E1362E">
              <w:t>This unit could be assessed in conjunction with any other units addressing t</w:t>
            </w:r>
            <w:r w:rsidRPr="00E1362E">
              <w:t>he safety, quality, communication, materials handling, recording and reporting associated with surface preparation using solvents and/or mechanical means, or other units requiring the exercise of the skills and knowledge covered by this unit.</w:t>
            </w:r>
          </w:p>
        </w:tc>
      </w:tr>
      <w:tr w:rsidTr="004D2D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rPr>
                <w:rStyle w:val="SpecialBold"/>
              </w:rPr>
              <w:t>Method of as</w:t>
            </w:r>
            <w:r w:rsidRPr="00E1362E">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t>Assessors should gather a range of evidence that is valid, sufficient, current and authentic. Evidence can be gathered through a variety of ways including direct observation, supervisor's reports, project work, samples and questioning. Questioning</w:t>
            </w:r>
            <w:r w:rsidRPr="00E1362E">
              <w:t xml:space="preserve"> techniques should not require language, literacy and numeracy skills beyond those required in this unit of competency. The candidate must have access to all tools, equipment, materials and documentation required. The candidate must be permitted to refer t</w:t>
            </w:r>
            <w:r w:rsidRPr="00E1362E">
              <w:t>o any relevant workplace procedures, product and manufacturing specifications, codes, standards, manuals and reference materials.</w:t>
            </w:r>
          </w:p>
        </w:tc>
      </w:tr>
      <w:tr w:rsidTr="004D2D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62E" w:rsidP="00E1362E">
            <w:pPr>
              <w:pStyle w:val="BodyText"/>
            </w:pPr>
          </w:p>
        </w:tc>
      </w:tr>
    </w:tbl>
    <w:p w:rsidR="004D2D71" w:rsidP="00E1362E">
      <w:pPr>
        <w:pStyle w:val="BodyText"/>
      </w:pPr>
    </w:p>
    <w:p w:rsidR="004D2D71" w:rsidP="00E1362E">
      <w:pPr>
        <w:pStyle w:val="BodyText"/>
      </w:pPr>
    </w:p>
    <w:p w:rsidR="00000000" w:rsidRPr="00E1362E" w:rsidP="00E1362E">
      <w:pPr>
        <w:pStyle w:val="Heading1"/>
      </w:pPr>
      <w:bookmarkStart w:id="11" w:name="O_252773"/>
      <w:bookmarkEnd w:id="11"/>
      <w:r w:rsidRPr="00E1362E">
        <w:t>Range Statement</w:t>
      </w:r>
    </w:p>
    <w:tbl>
      <w:tblPr>
        <w:tblW w:w="0" w:type="auto"/>
        <w:tblLayout w:type="fixed"/>
        <w:tblCellMar>
          <w:left w:w="62" w:type="dxa"/>
          <w:right w:w="62" w:type="dxa"/>
        </w:tblCellMar>
        <w:tblLook w:val="0000"/>
      </w:tblPr>
      <w:tblGrid>
        <w:gridCol w:w="3520"/>
        <w:gridCol w:w="5002"/>
      </w:tblGrid>
      <w:tr w:rsidTr="004D2D7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rPr>
                <w:rStyle w:val="SpecialBold"/>
              </w:rPr>
              <w:t>RANGE STATEMENT</w:t>
            </w:r>
          </w:p>
        </w:tc>
      </w:tr>
      <w:tr w:rsidTr="004D2D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t>The range statement relates to the unit of competency as a whole. It allows for different work environments and situations that may affect performance. Bold italicised wording, if used in the performance criteria, is detailed below. Essential operating con</w:t>
            </w:r>
            <w:r w:rsidRPr="00E1362E">
              <w:t>ditions that may be present with training and assessment (depending on the work situation, needs of the candidate, accessibility of the item, and local industry and regional contexts) may also be included.</w:t>
            </w:r>
          </w:p>
        </w:tc>
      </w:tr>
      <w:tr w:rsidTr="004D2D71">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rPr>
                <w:rStyle w:val="SpecialBold"/>
              </w:rPr>
              <w:t>Surface preparation</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t>New surfaces and restoration</w:t>
            </w:r>
            <w:r w:rsidRPr="00E1362E">
              <w:t xml:space="preserve"> work</w:t>
            </w:r>
          </w:p>
        </w:tc>
      </w:tr>
      <w:tr w:rsidTr="004D2D71">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rPr>
                <w:rStyle w:val="SpecialBold"/>
              </w:rPr>
              <w:t>Solvents</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t xml:space="preserve">A range of cleaning chemicals including acids, chlorinated solvents and hydrocarbons </w:t>
            </w:r>
          </w:p>
        </w:tc>
      </w:tr>
      <w:tr w:rsidTr="004D2D71">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rPr>
                <w:rStyle w:val="SpecialBold"/>
              </w:rPr>
              <w:t>Solvent application methods</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t>Spraying, wiping, brushing, vapour degreasing etc.</w:t>
            </w:r>
          </w:p>
        </w:tc>
      </w:tr>
      <w:tr w:rsidTr="004D2D71">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rPr>
                <w:rStyle w:val="SpecialBold"/>
              </w:rPr>
              <w:t>Mechanical equipment</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t>Linishers, grinders, polishers, sanders, blast device, enclosures, air grinders etc.</w:t>
            </w:r>
          </w:p>
        </w:tc>
      </w:tr>
      <w:tr w:rsidTr="004D2D71">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rPr>
                <w:rStyle w:val="SpecialBold"/>
              </w:rPr>
              <w:t>Consumables</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62E" w:rsidP="00E1362E">
            <w:pPr>
              <w:pStyle w:val="BodyText"/>
            </w:pPr>
            <w:r w:rsidRPr="00E1362E">
              <w:t>Emery cloth/belts, grinding/sanding disks, grinding accessories etc.</w:t>
            </w:r>
          </w:p>
        </w:tc>
      </w:tr>
    </w:tbl>
    <w:p w:rsidR="004D2D71" w:rsidP="00E1362E">
      <w:pPr>
        <w:pStyle w:val="BodyText"/>
      </w:pPr>
    </w:p>
    <w:p w:rsidR="004D2D71" w:rsidP="00E1362E">
      <w:pPr>
        <w:pStyle w:val="BodyText"/>
      </w:pPr>
    </w:p>
    <w:p w:rsidR="00000000" w:rsidRPr="00E1362E" w:rsidP="00E1362E">
      <w:pPr>
        <w:pStyle w:val="Heading1"/>
      </w:pPr>
      <w:bookmarkStart w:id="12" w:name="O_211095"/>
      <w:bookmarkEnd w:id="12"/>
      <w:r w:rsidRPr="00E1362E">
        <w:t>Unit Sector(s)</w:t>
      </w:r>
    </w:p>
    <w:tbl>
      <w:tblPr>
        <w:tblW w:w="0" w:type="auto"/>
        <w:tblLayout w:type="fixed"/>
        <w:tblCellMar>
          <w:left w:w="62" w:type="dxa"/>
          <w:right w:w="62" w:type="dxa"/>
        </w:tblCellMar>
        <w:tblLook w:val="0000"/>
      </w:tblPr>
      <w:tblGrid>
        <w:gridCol w:w="2646"/>
        <w:gridCol w:w="5876"/>
      </w:tblGrid>
      <w:tr w:rsidTr="004D2D71">
        <w:tblPrEx>
          <w:tblW w:w="0" w:type="auto"/>
          <w:tblLayout w:type="fixed"/>
          <w:tblCellMar>
            <w:left w:w="62" w:type="dxa"/>
            <w:right w:w="62" w:type="dxa"/>
          </w:tblCellMar>
          <w:tblLook w:val="0000"/>
        </w:tblPrEx>
        <w:trPr>
          <w:tblHeader/>
        </w:trPr>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rPr>
                <w:rStyle w:val="SpecialBold"/>
              </w:rPr>
              <w:t>Unit sector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62E" w:rsidP="00E1362E">
            <w:pPr>
              <w:pStyle w:val="BodyText"/>
            </w:pPr>
          </w:p>
        </w:tc>
      </w:tr>
    </w:tbl>
    <w:p w:rsidR="004D2D71" w:rsidP="00E1362E">
      <w:pPr>
        <w:pStyle w:val="BodyText"/>
      </w:pPr>
    </w:p>
    <w:p w:rsidR="004D2D71" w:rsidP="00E1362E">
      <w:pPr>
        <w:pStyle w:val="BodyText"/>
      </w:pPr>
    </w:p>
    <w:p w:rsidR="00000000" w:rsidRPr="00E1362E" w:rsidP="00E1362E">
      <w:pPr>
        <w:pStyle w:val="Heading1"/>
      </w:pPr>
      <w:bookmarkStart w:id="13" w:name="O_211092"/>
      <w:bookmarkEnd w:id="13"/>
      <w:r w:rsidRPr="00E1362E">
        <w:t>Co-requisite units</w:t>
      </w:r>
    </w:p>
    <w:tbl>
      <w:tblPr>
        <w:tblW w:w="0" w:type="auto"/>
        <w:tblLayout w:type="fixed"/>
        <w:tblCellMar>
          <w:left w:w="62" w:type="dxa"/>
          <w:right w:w="62" w:type="dxa"/>
        </w:tblCellMar>
        <w:tblLook w:val="0000"/>
      </w:tblPr>
      <w:tblGrid>
        <w:gridCol w:w="2633"/>
        <w:gridCol w:w="1365"/>
        <w:gridCol w:w="4524"/>
      </w:tblGrid>
      <w:tr w:rsidTr="004D2D71">
        <w:tblPrEx>
          <w:tblW w:w="0" w:type="auto"/>
          <w:tblLayout w:type="fixed"/>
          <w:tblCellMar>
            <w:left w:w="62" w:type="dxa"/>
            <w:right w:w="62" w:type="dxa"/>
          </w:tblCellMar>
          <w:tblLook w:val="0000"/>
        </w:tblPrEx>
        <w:trPr>
          <w:tblHeader/>
        </w:trPr>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rPr>
                <w:rStyle w:val="SpecialBold"/>
              </w:rPr>
              <w:t>Co-requisite units</w:t>
            </w:r>
          </w:p>
        </w:tc>
        <w:tc>
          <w:tcPr>
            <w:tcW w:w="58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p>
        </w:tc>
      </w:tr>
      <w:tr w:rsidTr="004D2D71">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p>
        </w:tc>
      </w:tr>
      <w:tr w:rsidTr="004D2D71">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62E" w:rsidP="00E1362E">
            <w:pPr>
              <w:pStyle w:val="BodyText"/>
            </w:pPr>
          </w:p>
        </w:tc>
      </w:tr>
    </w:tbl>
    <w:p w:rsidR="004D2D71" w:rsidP="00E1362E">
      <w:pPr>
        <w:pStyle w:val="BodyText"/>
      </w:pPr>
    </w:p>
    <w:p w:rsidR="004D2D71" w:rsidP="00E1362E">
      <w:pPr>
        <w:pStyle w:val="BodyText"/>
      </w:pPr>
    </w:p>
    <w:p w:rsidR="00000000" w:rsidRPr="00E1362E" w:rsidP="00E1362E">
      <w:pPr>
        <w:pStyle w:val="Heading1"/>
      </w:pPr>
      <w:bookmarkStart w:id="14" w:name="O_211094"/>
      <w:bookmarkEnd w:id="14"/>
      <w:r w:rsidRPr="00E1362E">
        <w:t>Competency field</w:t>
      </w:r>
    </w:p>
    <w:tbl>
      <w:tblPr>
        <w:tblW w:w="0" w:type="auto"/>
        <w:tblLayout w:type="fixed"/>
        <w:tblCellMar>
          <w:left w:w="62" w:type="dxa"/>
          <w:right w:w="62" w:type="dxa"/>
        </w:tblCellMar>
        <w:tblLook w:val="0000"/>
      </w:tblPr>
      <w:tblGrid>
        <w:gridCol w:w="2770"/>
        <w:gridCol w:w="5752"/>
      </w:tblGrid>
      <w:tr w:rsidTr="004D2D71">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62E">
            <w:pPr>
              <w:pStyle w:val="BodyText"/>
              <w:rPr>
                <w:lang w:val="en-NZ"/>
              </w:rPr>
            </w:pPr>
            <w:r w:rsidRPr="00E1362E">
              <w:rPr>
                <w:rStyle w:val="SpecialBold"/>
              </w:rPr>
              <w:t>Competency field</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62E" w:rsidP="00E1362E">
            <w:pPr>
              <w:pStyle w:val="BodyText"/>
            </w:pPr>
            <w:r w:rsidRPr="00E1362E">
              <w:t>Surface finishing</w:t>
            </w:r>
          </w:p>
        </w:tc>
      </w:tr>
    </w:tbl>
    <w:p w:rsidR="004D2D71" w:rsidP="00E1362E">
      <w:pPr>
        <w:pStyle w:val="BodyText"/>
      </w:pPr>
    </w:p>
    <w:p w:rsidR="004D2D71" w:rsidP="00E1362E">
      <w:pPr>
        <w:pStyle w:val="BodyText"/>
      </w:pPr>
    </w:p>
    <w:p w:rsidR="00000000" w:rsidRPr="00E1362E" w:rsidP="00E1362E"/>
    <w:sectPr w:rsidSect="00E136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6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2D71" w:rsidP="004D2D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6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71" w:rsidP="00E136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D2D71" w:rsidP="00E136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D2D71" w:rsidP="00E136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6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2D71" w:rsidP="004D2D7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6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71" w:rsidP="00E1362E">
    <w:pPr>
      <w:pStyle w:val="Header"/>
      <w:framePr w:wrap="around"/>
    </w:pPr>
    <w:r>
      <w:fldChar w:fldCharType="begin"/>
    </w:r>
    <w:r>
      <w:instrText xml:space="preserve"> TITLE   \* MERGEFORMAT </w:instrText>
    </w:r>
    <w:r>
      <w:fldChar w:fldCharType="separate"/>
    </w:r>
    <w:r>
      <w:t>MEM08011B Prepare surfaces using solvents and/or mechanical means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2D71" w:rsidP="00E136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A40C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1C7B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6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362E"/>
    <w:pPr>
      <w:spacing w:before="360" w:after="60"/>
      <w:outlineLvl w:val="0"/>
    </w:pPr>
    <w:rPr>
      <w:sz w:val="32"/>
    </w:rPr>
  </w:style>
  <w:style w:type="paragraph" w:styleId="Heading2">
    <w:name w:val="heading 2"/>
    <w:basedOn w:val="HeadingBase"/>
    <w:next w:val="BodyText"/>
    <w:link w:val="Heading2Char"/>
    <w:qFormat/>
    <w:rsid w:val="00E1362E"/>
    <w:pPr>
      <w:keepLines/>
      <w:spacing w:before="240" w:after="120"/>
      <w:outlineLvl w:val="1"/>
    </w:pPr>
    <w:rPr>
      <w:sz w:val="28"/>
      <w:szCs w:val="40"/>
    </w:rPr>
  </w:style>
  <w:style w:type="paragraph" w:styleId="Heading3">
    <w:name w:val="heading 3"/>
    <w:basedOn w:val="HeadingBase"/>
    <w:next w:val="BodyText"/>
    <w:link w:val="Heading3Char"/>
    <w:qFormat/>
    <w:rsid w:val="00E1362E"/>
    <w:pPr>
      <w:spacing w:before="180" w:after="120"/>
      <w:outlineLvl w:val="2"/>
    </w:pPr>
    <w:rPr>
      <w:spacing w:val="-10"/>
      <w:kern w:val="32"/>
    </w:rPr>
  </w:style>
  <w:style w:type="paragraph" w:styleId="Heading4">
    <w:name w:val="heading 4"/>
    <w:basedOn w:val="HeadingBase"/>
    <w:next w:val="BodyText"/>
    <w:link w:val="Heading4Char"/>
    <w:qFormat/>
    <w:rsid w:val="00E1362E"/>
    <w:pPr>
      <w:spacing w:before="160" w:after="120"/>
      <w:outlineLvl w:val="3"/>
    </w:pPr>
    <w:rPr>
      <w:sz w:val="22"/>
    </w:rPr>
  </w:style>
  <w:style w:type="paragraph" w:styleId="Heading5">
    <w:name w:val="heading 5"/>
    <w:basedOn w:val="HeadingBase"/>
    <w:next w:val="Normal"/>
    <w:link w:val="Heading5Char"/>
    <w:qFormat/>
    <w:rsid w:val="00E1362E"/>
    <w:pPr>
      <w:spacing w:before="80"/>
      <w:outlineLvl w:val="4"/>
    </w:pPr>
    <w:rPr>
      <w:color w:val="918585"/>
      <w:sz w:val="20"/>
    </w:rPr>
  </w:style>
  <w:style w:type="paragraph" w:styleId="Heading6">
    <w:name w:val="heading 6"/>
    <w:basedOn w:val="HeadingBase"/>
    <w:next w:val="Normal"/>
    <w:link w:val="Heading6Char"/>
    <w:qFormat/>
    <w:rsid w:val="00E1362E"/>
    <w:pPr>
      <w:spacing w:before="60"/>
      <w:outlineLvl w:val="5"/>
    </w:pPr>
    <w:rPr>
      <w:color w:val="918585"/>
      <w:sz w:val="20"/>
    </w:rPr>
  </w:style>
  <w:style w:type="paragraph" w:styleId="Heading7">
    <w:name w:val="heading 7"/>
    <w:basedOn w:val="Normal"/>
    <w:next w:val="Normal"/>
    <w:link w:val="Heading7Char"/>
    <w:qFormat/>
    <w:rsid w:val="00E1362E"/>
    <w:pPr>
      <w:ind w:left="720"/>
      <w:outlineLvl w:val="6"/>
    </w:pPr>
    <w:rPr>
      <w:i/>
    </w:rPr>
  </w:style>
  <w:style w:type="paragraph" w:styleId="Heading8">
    <w:name w:val="heading 8"/>
    <w:basedOn w:val="Normal"/>
    <w:next w:val="Normal"/>
    <w:link w:val="Heading8Char"/>
    <w:qFormat/>
    <w:rsid w:val="00E1362E"/>
    <w:pPr>
      <w:ind w:left="720"/>
      <w:outlineLvl w:val="7"/>
    </w:pPr>
    <w:rPr>
      <w:i/>
    </w:rPr>
  </w:style>
  <w:style w:type="paragraph" w:styleId="Heading9">
    <w:name w:val="heading 9"/>
    <w:basedOn w:val="Normal"/>
    <w:next w:val="Normal"/>
    <w:link w:val="Heading9Char"/>
    <w:qFormat/>
    <w:rsid w:val="00E1362E"/>
    <w:pPr>
      <w:ind w:left="720"/>
      <w:outlineLvl w:val="8"/>
    </w:pPr>
    <w:rPr>
      <w:i/>
    </w:rPr>
  </w:style>
  <w:style w:type="character" w:default="1" w:styleId="DefaultParagraphFont">
    <w:name w:val="Default Paragraph Font"/>
    <w:uiPriority w:val="1"/>
    <w:unhideWhenUsed/>
    <w:rsid w:val="00E136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62E"/>
  </w:style>
  <w:style w:type="character" w:customStyle="1" w:styleId="Heading1Char">
    <w:name w:val="Heading 1 Char"/>
    <w:link w:val="Heading1"/>
    <w:rsid w:val="00E1362E"/>
    <w:rPr>
      <w:rFonts w:ascii="Times New Roman" w:eastAsia="Times New Roman" w:hAnsi="Times New Roman" w:cs="Times New Roman"/>
      <w:b/>
      <w:sz w:val="32"/>
      <w:szCs w:val="20"/>
      <w:lang w:eastAsia="en-US"/>
    </w:rPr>
  </w:style>
  <w:style w:type="paragraph" w:styleId="BodyText">
    <w:name w:val="Body Text"/>
    <w:basedOn w:val="Normal"/>
    <w:link w:val="BodyTextChar"/>
    <w:rsid w:val="00E1362E"/>
    <w:pPr>
      <w:spacing w:before="120" w:after="120"/>
      <w:contextualSpacing/>
    </w:pPr>
    <w:rPr>
      <w:rFonts w:ascii="Times New Roman" w:hAnsi="Times New Roman"/>
      <w:sz w:val="24"/>
      <w:szCs w:val="22"/>
    </w:rPr>
  </w:style>
  <w:style w:type="character" w:customStyle="1" w:styleId="BodyTextChar">
    <w:name w:val="Body Text Char"/>
    <w:link w:val="BodyText"/>
    <w:rsid w:val="00E1362E"/>
    <w:rPr>
      <w:rFonts w:ascii="Times New Roman" w:eastAsia="Times New Roman" w:hAnsi="Times New Roman" w:cs="Times New Roman"/>
      <w:sz w:val="24"/>
      <w:lang w:val="en-US" w:eastAsia="en-US"/>
    </w:rPr>
  </w:style>
  <w:style w:type="paragraph" w:styleId="Footer">
    <w:name w:val="footer"/>
    <w:basedOn w:val="Normal"/>
    <w:link w:val="FooterChar"/>
    <w:rsid w:val="00E136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1362E"/>
    <w:rPr>
      <w:rFonts w:ascii="Times New Roman" w:eastAsia="Times New Roman" w:hAnsi="Times New Roman" w:cs="Times New Roman"/>
      <w:sz w:val="16"/>
      <w:lang w:val="en-US" w:eastAsia="en-US"/>
    </w:rPr>
  </w:style>
  <w:style w:type="paragraph" w:styleId="List">
    <w:name w:val="List"/>
    <w:basedOn w:val="BodyText"/>
    <w:next w:val="BodyText"/>
    <w:rsid w:val="00E1362E"/>
    <w:pPr>
      <w:tabs>
        <w:tab w:val="left" w:pos="340"/>
      </w:tabs>
      <w:spacing w:before="60" w:after="60"/>
      <w:ind w:left="340" w:hanging="340"/>
    </w:pPr>
  </w:style>
  <w:style w:type="paragraph" w:styleId="ListBullet">
    <w:name w:val="List Bullet"/>
    <w:basedOn w:val="List"/>
    <w:rsid w:val="00E1362E"/>
    <w:pPr>
      <w:numPr>
        <w:numId w:val="12"/>
      </w:numPr>
      <w:tabs>
        <w:tab w:val="clear" w:pos="340"/>
      </w:tabs>
      <w:spacing w:before="40" w:after="40"/>
    </w:pPr>
  </w:style>
  <w:style w:type="character" w:customStyle="1" w:styleId="SpecialBold">
    <w:name w:val="Special Bold"/>
    <w:rsid w:val="00E1362E"/>
    <w:rPr>
      <w:b/>
      <w:spacing w:val="0"/>
    </w:rPr>
  </w:style>
  <w:style w:type="paragraph" w:styleId="Header">
    <w:name w:val="header"/>
    <w:basedOn w:val="Normal"/>
    <w:link w:val="HeaderChar"/>
    <w:rsid w:val="00E136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136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362E"/>
    <w:pPr>
      <w:spacing w:before="240" w:after="120"/>
      <w:outlineLvl w:val="0"/>
    </w:pPr>
    <w:rPr>
      <w:rFonts w:ascii="Times New Roman" w:hAnsi="Times New Roman"/>
      <w:b/>
      <w:sz w:val="28"/>
    </w:rPr>
  </w:style>
  <w:style w:type="paragraph" w:customStyle="1" w:styleId="AllowPageBreak">
    <w:name w:val="AllowPageBreak"/>
    <w:rsid w:val="00E136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362E"/>
    <w:pPr>
      <w:tabs>
        <w:tab w:val="left" w:pos="680"/>
      </w:tabs>
      <w:spacing w:before="60" w:after="60"/>
      <w:ind w:left="680" w:hanging="340"/>
    </w:pPr>
  </w:style>
  <w:style w:type="character" w:customStyle="1" w:styleId="Heading2Char">
    <w:name w:val="Heading 2 Char"/>
    <w:link w:val="Heading2"/>
    <w:rsid w:val="00E1362E"/>
    <w:rPr>
      <w:rFonts w:ascii="Times New Roman" w:eastAsia="Times New Roman" w:hAnsi="Times New Roman" w:cs="Times New Roman"/>
      <w:b/>
      <w:sz w:val="28"/>
      <w:szCs w:val="40"/>
      <w:lang w:eastAsia="en-US"/>
    </w:rPr>
  </w:style>
  <w:style w:type="character" w:customStyle="1" w:styleId="Heading3Char">
    <w:name w:val="Heading 3 Char"/>
    <w:link w:val="Heading3"/>
    <w:rsid w:val="00E1362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1362E"/>
    <w:rPr>
      <w:rFonts w:ascii="Times New Roman" w:eastAsia="Times New Roman" w:hAnsi="Times New Roman" w:cs="Times New Roman"/>
      <w:b/>
      <w:szCs w:val="20"/>
      <w:lang w:eastAsia="en-US"/>
    </w:rPr>
  </w:style>
  <w:style w:type="character" w:customStyle="1" w:styleId="Heading5Char">
    <w:name w:val="Heading 5 Char"/>
    <w:link w:val="Heading5"/>
    <w:rsid w:val="00E1362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136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6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36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362E"/>
    <w:rPr>
      <w:rFonts w:ascii="Courier New" w:eastAsia="Times New Roman" w:hAnsi="Courier New" w:cs="Times New Roman"/>
      <w:i/>
      <w:szCs w:val="20"/>
      <w:lang w:val="en-US" w:eastAsia="en-US"/>
    </w:rPr>
  </w:style>
  <w:style w:type="paragraph" w:customStyle="1" w:styleId="HeadingBase">
    <w:name w:val="Heading Base"/>
    <w:rsid w:val="00E136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62E"/>
    <w:pPr>
      <w:tabs>
        <w:tab w:val="right" w:leader="dot" w:pos="9072"/>
      </w:tabs>
      <w:ind w:left="567"/>
    </w:pPr>
    <w:rPr>
      <w:szCs w:val="22"/>
    </w:rPr>
  </w:style>
  <w:style w:type="paragraph" w:customStyle="1" w:styleId="TOCBase">
    <w:name w:val="TOC Base"/>
    <w:rsid w:val="00E136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62E"/>
    <w:pPr>
      <w:tabs>
        <w:tab w:val="right" w:leader="dot" w:pos="9072"/>
      </w:tabs>
      <w:spacing w:before="40" w:after="40"/>
      <w:ind w:left="284"/>
    </w:pPr>
    <w:rPr>
      <w:rFonts w:ascii="Times New Roman" w:hAnsi="Times New Roman"/>
    </w:rPr>
  </w:style>
  <w:style w:type="paragraph" w:styleId="TOC1">
    <w:name w:val="toc 1"/>
    <w:basedOn w:val="TOCBase"/>
    <w:next w:val="Normal"/>
    <w:rsid w:val="00E136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362E"/>
    <w:pPr>
      <w:spacing w:before="5040"/>
      <w:jc w:val="center"/>
    </w:pPr>
    <w:rPr>
      <w:sz w:val="48"/>
      <w:szCs w:val="72"/>
      <w:lang w:val="en-US"/>
    </w:rPr>
  </w:style>
  <w:style w:type="character" w:customStyle="1" w:styleId="TitleChar">
    <w:name w:val="Title Char"/>
    <w:link w:val="Title"/>
    <w:rsid w:val="00E136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62E"/>
    <w:pPr>
      <w:tabs>
        <w:tab w:val="left" w:pos="3600"/>
        <w:tab w:val="left" w:pos="3958"/>
      </w:tabs>
    </w:pPr>
  </w:style>
  <w:style w:type="paragraph" w:customStyle="1" w:styleId="Note">
    <w:name w:val="Note"/>
    <w:basedOn w:val="BodyText"/>
    <w:rsid w:val="00E136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62E"/>
    <w:pPr>
      <w:framePr w:wrap="auto" w:hAnchor="text" w:y="6049"/>
    </w:pPr>
    <w:rPr>
      <w:color w:val="000000"/>
      <w:sz w:val="40"/>
    </w:rPr>
  </w:style>
  <w:style w:type="paragraph" w:customStyle="1" w:styleId="TOCTitle">
    <w:name w:val="TOCTitle"/>
    <w:basedOn w:val="Heading1"/>
    <w:rsid w:val="00E1362E"/>
    <w:pPr>
      <w:spacing w:after="240"/>
      <w:jc w:val="center"/>
      <w:outlineLvl w:val="9"/>
    </w:pPr>
    <w:rPr>
      <w:caps/>
    </w:rPr>
  </w:style>
  <w:style w:type="paragraph" w:customStyle="1" w:styleId="Version">
    <w:name w:val="Version"/>
    <w:rsid w:val="00E136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362E"/>
    <w:pPr>
      <w:numPr>
        <w:numId w:val="13"/>
      </w:numPr>
      <w:tabs>
        <w:tab w:val="clear" w:pos="680"/>
      </w:tabs>
    </w:pPr>
  </w:style>
  <w:style w:type="paragraph" w:styleId="Index1">
    <w:name w:val="index 1"/>
    <w:basedOn w:val="Normal"/>
    <w:next w:val="Normal"/>
    <w:semiHidden/>
    <w:rsid w:val="00E1362E"/>
    <w:pPr>
      <w:keepNext w:val="0"/>
      <w:tabs>
        <w:tab w:val="right" w:pos="4176"/>
      </w:tabs>
      <w:ind w:left="198" w:hanging="198"/>
    </w:pPr>
    <w:rPr>
      <w:rFonts w:ascii="Garamond" w:hAnsi="Garamond"/>
    </w:rPr>
  </w:style>
  <w:style w:type="paragraph" w:styleId="IndexHeading">
    <w:name w:val="index heading"/>
    <w:basedOn w:val="Normal"/>
    <w:next w:val="Index1"/>
    <w:semiHidden/>
    <w:rsid w:val="00E1362E"/>
    <w:pPr>
      <w:spacing w:before="120" w:after="120"/>
    </w:pPr>
    <w:rPr>
      <w:rFonts w:ascii="Arial" w:hAnsi="Arial"/>
      <w:b/>
      <w:color w:val="918585"/>
      <w:sz w:val="24"/>
    </w:rPr>
  </w:style>
  <w:style w:type="paragraph" w:customStyle="1" w:styleId="Chapter">
    <w:name w:val="Chapter"/>
    <w:basedOn w:val="Normal"/>
    <w:rsid w:val="00E1362E"/>
    <w:pPr>
      <w:spacing w:before="240"/>
    </w:pPr>
    <w:rPr>
      <w:rFonts w:ascii="Times New Roman" w:hAnsi="Times New Roman"/>
      <w:smallCaps/>
      <w:spacing w:val="80"/>
      <w:sz w:val="28"/>
    </w:rPr>
  </w:style>
  <w:style w:type="paragraph" w:customStyle="1" w:styleId="InChapter">
    <w:name w:val="InChapter"/>
    <w:basedOn w:val="Heading3"/>
    <w:rsid w:val="00E1362E"/>
    <w:pPr>
      <w:spacing w:after="240"/>
      <w:outlineLvl w:val="9"/>
    </w:pPr>
    <w:rPr>
      <w:noProof/>
    </w:rPr>
  </w:style>
  <w:style w:type="paragraph" w:styleId="Index2">
    <w:name w:val="index 2"/>
    <w:basedOn w:val="Normal"/>
    <w:next w:val="Normal"/>
    <w:semiHidden/>
    <w:rsid w:val="00E1362E"/>
    <w:pPr>
      <w:tabs>
        <w:tab w:val="right" w:pos="4176"/>
      </w:tabs>
      <w:ind w:left="568" w:hanging="284"/>
    </w:pPr>
    <w:rPr>
      <w:rFonts w:ascii="Garamond" w:hAnsi="Garamond"/>
    </w:rPr>
  </w:style>
  <w:style w:type="paragraph" w:customStyle="1" w:styleId="Byline">
    <w:name w:val="Byline"/>
    <w:rsid w:val="00E136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62E"/>
    <w:pPr>
      <w:tabs>
        <w:tab w:val="clear" w:pos="3600"/>
        <w:tab w:val="clear" w:pos="3958"/>
      </w:tabs>
      <w:jc w:val="right"/>
    </w:pPr>
  </w:style>
  <w:style w:type="character" w:styleId="Emphasis">
    <w:name w:val="Emphasis"/>
    <w:qFormat/>
    <w:rsid w:val="00E1362E"/>
    <w:rPr>
      <w:i/>
    </w:rPr>
  </w:style>
  <w:style w:type="paragraph" w:styleId="Caption">
    <w:name w:val="caption"/>
    <w:basedOn w:val="BodyText"/>
    <w:next w:val="Normal"/>
    <w:qFormat/>
    <w:rsid w:val="00E1362E"/>
    <w:pPr>
      <w:framePr w:w="2268" w:hSpace="181" w:vSpace="181" w:wrap="around" w:vAnchor="text" w:hAnchor="page" w:x="1135" w:y="285" w:anchorLock="1"/>
    </w:pPr>
    <w:rPr>
      <w:i/>
    </w:rPr>
  </w:style>
  <w:style w:type="paragraph" w:customStyle="1" w:styleId="MiniTOCTitle">
    <w:name w:val="MiniTOCTitle"/>
    <w:basedOn w:val="Heading4"/>
    <w:rsid w:val="00E1362E"/>
    <w:pPr>
      <w:spacing w:before="240"/>
      <w:outlineLvl w:val="9"/>
    </w:pPr>
    <w:rPr>
      <w:noProof/>
      <w:sz w:val="24"/>
    </w:rPr>
  </w:style>
  <w:style w:type="paragraph" w:customStyle="1" w:styleId="MiniTOCItem">
    <w:name w:val="MiniTOCItem"/>
    <w:basedOn w:val="ListBullet"/>
    <w:rsid w:val="00E1362E"/>
    <w:pPr>
      <w:numPr>
        <w:numId w:val="0"/>
      </w:numPr>
      <w:tabs>
        <w:tab w:val="right" w:leader="dot" w:pos="6521"/>
      </w:tabs>
      <w:spacing w:before="0" w:after="0"/>
    </w:pPr>
  </w:style>
  <w:style w:type="paragraph" w:customStyle="1" w:styleId="TOFTitle">
    <w:name w:val="TOFTitle"/>
    <w:basedOn w:val="TOCTitle"/>
    <w:rsid w:val="00E1362E"/>
  </w:style>
  <w:style w:type="paragraph" w:styleId="TableofFigures">
    <w:name w:val="table of figures"/>
    <w:basedOn w:val="Normal"/>
    <w:next w:val="Normal"/>
    <w:semiHidden/>
    <w:rsid w:val="00E1362E"/>
    <w:pPr>
      <w:tabs>
        <w:tab w:val="right" w:leader="dot" w:pos="9072"/>
      </w:tabs>
      <w:ind w:left="970" w:hanging="403"/>
    </w:pPr>
    <w:rPr>
      <w:rFonts w:ascii="Times New Roman" w:hAnsi="Times New Roman"/>
      <w:b/>
    </w:rPr>
  </w:style>
  <w:style w:type="paragraph" w:styleId="ListNumber">
    <w:name w:val="List Number"/>
    <w:basedOn w:val="List"/>
    <w:rsid w:val="00E1362E"/>
    <w:pPr>
      <w:numPr>
        <w:numId w:val="10"/>
      </w:numPr>
    </w:pPr>
  </w:style>
  <w:style w:type="character" w:customStyle="1" w:styleId="WingdingSymbols">
    <w:name w:val="Wingding Symbols"/>
    <w:rsid w:val="00E1362E"/>
    <w:rPr>
      <w:rFonts w:ascii="Wingdings" w:hAnsi="Wingdings"/>
    </w:rPr>
  </w:style>
  <w:style w:type="paragraph" w:customStyle="1" w:styleId="TableHeading">
    <w:name w:val="Table Heading"/>
    <w:basedOn w:val="HeadingBase"/>
    <w:rsid w:val="00E1362E"/>
    <w:pPr>
      <w:keepLines/>
      <w:pBdr>
        <w:bottom w:val="single" w:sz="6" w:space="1" w:color="918585"/>
      </w:pBdr>
      <w:spacing w:before="240"/>
    </w:pPr>
  </w:style>
  <w:style w:type="character" w:customStyle="1" w:styleId="HotSpot">
    <w:name w:val="HotSpot"/>
    <w:rsid w:val="00E1362E"/>
    <w:rPr>
      <w:color w:val="0033CC"/>
      <w:u w:val="none"/>
    </w:rPr>
  </w:style>
  <w:style w:type="paragraph" w:customStyle="1" w:styleId="BodyTextRight">
    <w:name w:val="Body Text Right"/>
    <w:basedOn w:val="BodyText"/>
    <w:rsid w:val="00E1362E"/>
    <w:pPr>
      <w:spacing w:before="0" w:after="0"/>
      <w:jc w:val="right"/>
    </w:pPr>
  </w:style>
  <w:style w:type="paragraph" w:styleId="Index3">
    <w:name w:val="index 3"/>
    <w:basedOn w:val="ListNumber2"/>
    <w:next w:val="Normal"/>
    <w:semiHidden/>
    <w:rsid w:val="00E1362E"/>
    <w:pPr>
      <w:numPr>
        <w:numId w:val="0"/>
      </w:numPr>
      <w:tabs>
        <w:tab w:val="right" w:leader="dot" w:pos="4176"/>
      </w:tabs>
    </w:pPr>
  </w:style>
  <w:style w:type="paragraph" w:styleId="ListNumber2">
    <w:name w:val="List Number 2"/>
    <w:basedOn w:val="List2"/>
    <w:rsid w:val="00E1362E"/>
    <w:pPr>
      <w:numPr>
        <w:numId w:val="9"/>
      </w:numPr>
      <w:tabs>
        <w:tab w:val="clear" w:pos="1060"/>
      </w:tabs>
    </w:pPr>
  </w:style>
  <w:style w:type="paragraph" w:customStyle="1" w:styleId="MarginNote">
    <w:name w:val="Margin Note"/>
    <w:basedOn w:val="BodyText"/>
    <w:rsid w:val="00E136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6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136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362E"/>
    <w:rPr>
      <w:sz w:val="32"/>
    </w:rPr>
  </w:style>
  <w:style w:type="paragraph" w:customStyle="1" w:styleId="HeadingProcedure">
    <w:name w:val="Heading Procedure"/>
    <w:basedOn w:val="HeadingBase"/>
    <w:next w:val="Normal"/>
    <w:rsid w:val="00E1362E"/>
    <w:pPr>
      <w:tabs>
        <w:tab w:val="left" w:pos="0"/>
      </w:tabs>
      <w:spacing w:before="120" w:after="60"/>
    </w:pPr>
    <w:rPr>
      <w:i/>
      <w:color w:val="918585"/>
      <w:sz w:val="22"/>
    </w:rPr>
  </w:style>
  <w:style w:type="paragraph" w:customStyle="1" w:styleId="TableBodyText">
    <w:name w:val="Table Body Text"/>
    <w:basedOn w:val="BodyText"/>
    <w:rsid w:val="00E1362E"/>
    <w:pPr>
      <w:spacing w:before="60" w:after="60"/>
    </w:pPr>
  </w:style>
  <w:style w:type="paragraph" w:styleId="ListContinue">
    <w:name w:val="List Continue"/>
    <w:basedOn w:val="List"/>
    <w:rsid w:val="00E1362E"/>
    <w:pPr>
      <w:ind w:firstLine="0"/>
    </w:pPr>
  </w:style>
  <w:style w:type="paragraph" w:customStyle="1" w:styleId="ListNote">
    <w:name w:val="List Note"/>
    <w:basedOn w:val="List"/>
    <w:rsid w:val="00E1362E"/>
    <w:pPr>
      <w:pBdr>
        <w:top w:val="single" w:sz="6" w:space="2" w:color="918585"/>
        <w:bottom w:val="single" w:sz="6" w:space="2" w:color="918585"/>
      </w:pBdr>
      <w:tabs>
        <w:tab w:val="left" w:pos="1021"/>
      </w:tabs>
      <w:ind w:firstLine="0"/>
    </w:pPr>
  </w:style>
  <w:style w:type="paragraph" w:customStyle="1" w:styleId="Warning">
    <w:name w:val="Warning"/>
    <w:basedOn w:val="BodyText"/>
    <w:rsid w:val="00E1362E"/>
    <w:pPr>
      <w:shd w:val="clear" w:color="auto" w:fill="D9D9D9"/>
      <w:tabs>
        <w:tab w:val="left" w:pos="992"/>
      </w:tabs>
      <w:ind w:left="119" w:right="119"/>
    </w:pPr>
    <w:rPr>
      <w:sz w:val="20"/>
    </w:rPr>
  </w:style>
  <w:style w:type="paragraph" w:customStyle="1" w:styleId="MarginIcons">
    <w:name w:val="Margin Icons"/>
    <w:basedOn w:val="BodyText"/>
    <w:rsid w:val="00E1362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1362E"/>
    <w:rPr>
      <w:rFonts w:ascii="Courier New" w:hAnsi="Courier New"/>
    </w:rPr>
  </w:style>
  <w:style w:type="paragraph" w:customStyle="1" w:styleId="NoteBullet">
    <w:name w:val="Note Bullet"/>
    <w:basedOn w:val="Note"/>
    <w:rsid w:val="00E1362E"/>
    <w:pPr>
      <w:tabs>
        <w:tab w:val="clear" w:pos="680"/>
      </w:tabs>
      <w:spacing w:before="60" w:after="60"/>
    </w:pPr>
  </w:style>
  <w:style w:type="paragraph" w:customStyle="1" w:styleId="SubHeading2">
    <w:name w:val="SubHeading2"/>
    <w:basedOn w:val="HeadingBase"/>
    <w:rsid w:val="00E1362E"/>
    <w:pPr>
      <w:spacing w:before="240" w:after="60"/>
    </w:pPr>
    <w:rPr>
      <w:sz w:val="20"/>
    </w:rPr>
  </w:style>
  <w:style w:type="paragraph" w:customStyle="1" w:styleId="SubHeading1">
    <w:name w:val="SubHeading1"/>
    <w:basedOn w:val="HeadingBase"/>
    <w:rsid w:val="00E1362E"/>
    <w:pPr>
      <w:spacing w:before="240" w:after="60"/>
    </w:pPr>
    <w:rPr>
      <w:color w:val="918585"/>
      <w:sz w:val="22"/>
    </w:rPr>
  </w:style>
  <w:style w:type="paragraph" w:customStyle="1" w:styleId="SideHeading">
    <w:name w:val="Side Heading"/>
    <w:basedOn w:val="HeadingBase"/>
    <w:rsid w:val="00E136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62E"/>
    <w:pPr>
      <w:tabs>
        <w:tab w:val="num" w:pos="360"/>
      </w:tabs>
    </w:pPr>
  </w:style>
  <w:style w:type="paragraph" w:styleId="PlainText">
    <w:name w:val="Plain Text"/>
    <w:basedOn w:val="Normal"/>
    <w:link w:val="PlainTextChar"/>
    <w:rsid w:val="00E1362E"/>
    <w:rPr>
      <w:sz w:val="20"/>
    </w:rPr>
  </w:style>
  <w:style w:type="character" w:customStyle="1" w:styleId="PlainTextChar">
    <w:name w:val="Plain Text Char"/>
    <w:basedOn w:val="DefaultParagraphFont"/>
    <w:link w:val="PlainText"/>
    <w:rsid w:val="00E1362E"/>
    <w:rPr>
      <w:rFonts w:ascii="Courier New" w:eastAsia="Times New Roman" w:hAnsi="Courier New" w:cs="Times New Roman"/>
      <w:sz w:val="20"/>
      <w:szCs w:val="20"/>
      <w:lang w:val="en-US" w:eastAsia="en-US"/>
    </w:rPr>
  </w:style>
  <w:style w:type="character" w:customStyle="1" w:styleId="MenuOption">
    <w:name w:val="Menu Option"/>
    <w:rsid w:val="00E1362E"/>
    <w:rPr>
      <w:b/>
      <w:smallCaps/>
    </w:rPr>
  </w:style>
  <w:style w:type="paragraph" w:customStyle="1" w:styleId="TableListNumber">
    <w:name w:val="Table List Number"/>
    <w:basedOn w:val="ListNumber"/>
    <w:rsid w:val="00E1362E"/>
    <w:pPr>
      <w:numPr>
        <w:numId w:val="0"/>
      </w:numPr>
    </w:pPr>
  </w:style>
  <w:style w:type="paragraph" w:styleId="TOC4">
    <w:name w:val="toc 4"/>
    <w:basedOn w:val="TOCBase"/>
    <w:next w:val="Normal"/>
    <w:semiHidden/>
    <w:rsid w:val="00E1362E"/>
    <w:pPr>
      <w:tabs>
        <w:tab w:val="right" w:leader="dot" w:pos="9071"/>
      </w:tabs>
      <w:ind w:left="1701"/>
    </w:pPr>
  </w:style>
  <w:style w:type="paragraph" w:customStyle="1" w:styleId="ListAlpha">
    <w:name w:val="List Alpha"/>
    <w:basedOn w:val="List"/>
    <w:rsid w:val="00E1362E"/>
    <w:pPr>
      <w:numPr>
        <w:numId w:val="8"/>
      </w:numPr>
    </w:pPr>
  </w:style>
  <w:style w:type="paragraph" w:customStyle="1" w:styleId="ListAlpha2">
    <w:name w:val="List Alpha 2"/>
    <w:basedOn w:val="List2"/>
    <w:rsid w:val="00E1362E"/>
    <w:pPr>
      <w:numPr>
        <w:numId w:val="7"/>
      </w:numPr>
    </w:pPr>
  </w:style>
  <w:style w:type="paragraph" w:styleId="List3">
    <w:name w:val="List 3"/>
    <w:basedOn w:val="BodyText"/>
    <w:rsid w:val="00E1362E"/>
    <w:pPr>
      <w:tabs>
        <w:tab w:val="left" w:pos="1021"/>
      </w:tabs>
      <w:spacing w:before="60" w:after="60"/>
      <w:ind w:left="1020" w:hanging="340"/>
    </w:pPr>
  </w:style>
  <w:style w:type="paragraph" w:styleId="List4">
    <w:name w:val="List 4"/>
    <w:basedOn w:val="BodyText"/>
    <w:rsid w:val="00E1362E"/>
    <w:pPr>
      <w:tabs>
        <w:tab w:val="left" w:pos="1361"/>
      </w:tabs>
      <w:spacing w:before="60" w:after="60"/>
      <w:ind w:left="1361" w:hanging="340"/>
    </w:pPr>
  </w:style>
  <w:style w:type="paragraph" w:styleId="List5">
    <w:name w:val="List 5"/>
    <w:basedOn w:val="BodyText"/>
    <w:rsid w:val="00E1362E"/>
    <w:pPr>
      <w:tabs>
        <w:tab w:val="left" w:pos="1701"/>
      </w:tabs>
      <w:spacing w:before="60" w:after="60"/>
      <w:ind w:left="1701" w:hanging="340"/>
    </w:pPr>
  </w:style>
  <w:style w:type="paragraph" w:styleId="ListBullet3">
    <w:name w:val="List Bullet 3"/>
    <w:basedOn w:val="List3"/>
    <w:rsid w:val="00E1362E"/>
    <w:pPr>
      <w:numPr>
        <w:numId w:val="14"/>
      </w:numPr>
      <w:tabs>
        <w:tab w:val="clear" w:pos="1021"/>
      </w:tabs>
      <w:ind w:left="1037" w:hanging="357"/>
    </w:pPr>
  </w:style>
  <w:style w:type="paragraph" w:styleId="ListBullet4">
    <w:name w:val="List Bullet 4"/>
    <w:basedOn w:val="List4"/>
    <w:rsid w:val="00E1362E"/>
    <w:pPr>
      <w:numPr>
        <w:numId w:val="2"/>
      </w:numPr>
    </w:pPr>
  </w:style>
  <w:style w:type="paragraph" w:styleId="ListBullet5">
    <w:name w:val="List Bullet 5"/>
    <w:basedOn w:val="List5"/>
    <w:rsid w:val="00E1362E"/>
    <w:pPr>
      <w:numPr>
        <w:numId w:val="3"/>
      </w:numPr>
    </w:pPr>
  </w:style>
  <w:style w:type="paragraph" w:styleId="ListContinue2">
    <w:name w:val="List Continue 2"/>
    <w:basedOn w:val="List2"/>
    <w:rsid w:val="00E1362E"/>
    <w:pPr>
      <w:ind w:firstLine="0"/>
    </w:pPr>
  </w:style>
  <w:style w:type="paragraph" w:styleId="ListContinue3">
    <w:name w:val="List Continue 3"/>
    <w:basedOn w:val="List3"/>
    <w:rsid w:val="00E1362E"/>
    <w:pPr>
      <w:ind w:left="1021" w:firstLine="0"/>
    </w:pPr>
  </w:style>
  <w:style w:type="paragraph" w:styleId="ListContinue4">
    <w:name w:val="List Continue 4"/>
    <w:basedOn w:val="List4"/>
    <w:rsid w:val="00E1362E"/>
    <w:pPr>
      <w:ind w:firstLine="0"/>
    </w:pPr>
  </w:style>
  <w:style w:type="paragraph" w:styleId="ListContinue5">
    <w:name w:val="List Continue 5"/>
    <w:basedOn w:val="List5"/>
    <w:rsid w:val="00E1362E"/>
    <w:pPr>
      <w:ind w:firstLine="0"/>
    </w:pPr>
  </w:style>
  <w:style w:type="paragraph" w:styleId="ListNumber3">
    <w:name w:val="List Number 3"/>
    <w:basedOn w:val="List3"/>
    <w:rsid w:val="00E1362E"/>
    <w:pPr>
      <w:numPr>
        <w:numId w:val="4"/>
      </w:numPr>
    </w:pPr>
  </w:style>
  <w:style w:type="paragraph" w:styleId="ListNumber4">
    <w:name w:val="List Number 4"/>
    <w:basedOn w:val="List4"/>
    <w:rsid w:val="00E1362E"/>
    <w:pPr>
      <w:numPr>
        <w:numId w:val="5"/>
      </w:numPr>
    </w:pPr>
  </w:style>
  <w:style w:type="paragraph" w:styleId="ListNumber5">
    <w:name w:val="List Number 5"/>
    <w:basedOn w:val="List5"/>
    <w:rsid w:val="00E1362E"/>
    <w:pPr>
      <w:numPr>
        <w:numId w:val="6"/>
      </w:numPr>
    </w:pPr>
  </w:style>
  <w:style w:type="paragraph" w:styleId="BlockText">
    <w:name w:val="Block Text"/>
    <w:basedOn w:val="Normal"/>
    <w:rsid w:val="00E1362E"/>
    <w:pPr>
      <w:spacing w:after="120"/>
      <w:ind w:left="1440" w:right="1440"/>
    </w:pPr>
  </w:style>
  <w:style w:type="character" w:customStyle="1" w:styleId="Subscript">
    <w:name w:val="Subscript"/>
    <w:rsid w:val="00E1362E"/>
    <w:rPr>
      <w:sz w:val="16"/>
      <w:vertAlign w:val="subscript"/>
    </w:rPr>
  </w:style>
  <w:style w:type="character" w:customStyle="1" w:styleId="Superscript">
    <w:name w:val="Superscript"/>
    <w:rsid w:val="00E1362E"/>
    <w:rPr>
      <w:sz w:val="16"/>
      <w:vertAlign w:val="superscript"/>
    </w:rPr>
  </w:style>
  <w:style w:type="character" w:customStyle="1" w:styleId="Symbols">
    <w:name w:val="Symbols"/>
    <w:rsid w:val="00E1362E"/>
    <w:rPr>
      <w:rFonts w:ascii="Symbol" w:hAnsi="Symbol"/>
    </w:rPr>
  </w:style>
  <w:style w:type="character" w:customStyle="1" w:styleId="MenuOptions">
    <w:name w:val="Menu Options"/>
    <w:rsid w:val="00E1362E"/>
    <w:rPr>
      <w:rFonts w:ascii="Arial Narrow" w:hAnsi="Arial Narrow"/>
      <w:smallCaps/>
    </w:rPr>
  </w:style>
  <w:style w:type="character" w:customStyle="1" w:styleId="Buttons">
    <w:name w:val="Buttons"/>
    <w:rsid w:val="00E1362E"/>
    <w:rPr>
      <w:b/>
    </w:rPr>
  </w:style>
  <w:style w:type="character" w:customStyle="1" w:styleId="Underlined">
    <w:name w:val="Underlined"/>
    <w:rsid w:val="00E1362E"/>
    <w:rPr>
      <w:u w:val="single"/>
    </w:rPr>
  </w:style>
  <w:style w:type="paragraph" w:customStyle="1" w:styleId="TableBodyTextRight">
    <w:name w:val="Table Body Text Right"/>
    <w:basedOn w:val="TableBodyText"/>
    <w:rsid w:val="00E1362E"/>
    <w:pPr>
      <w:widowControl w:val="0"/>
      <w:autoSpaceDE w:val="0"/>
      <w:autoSpaceDN w:val="0"/>
      <w:adjustRightInd w:val="0"/>
      <w:jc w:val="right"/>
    </w:pPr>
    <w:rPr>
      <w:rFonts w:cs="Arial"/>
      <w:szCs w:val="18"/>
    </w:rPr>
  </w:style>
  <w:style w:type="paragraph" w:customStyle="1" w:styleId="CopyrightText">
    <w:name w:val="Copyright Text"/>
    <w:basedOn w:val="BodyText"/>
    <w:rsid w:val="00E1362E"/>
    <w:rPr>
      <w:sz w:val="18"/>
    </w:rPr>
  </w:style>
  <w:style w:type="paragraph" w:customStyle="1" w:styleId="BodySmallRight">
    <w:name w:val="Body Small Right"/>
    <w:basedOn w:val="BodyTextRight"/>
    <w:rsid w:val="00E1362E"/>
    <w:rPr>
      <w:sz w:val="18"/>
      <w:szCs w:val="18"/>
    </w:rPr>
  </w:style>
  <w:style w:type="paragraph" w:customStyle="1" w:styleId="MarginEdition">
    <w:name w:val="Margin Edition"/>
    <w:basedOn w:val="MarginNote"/>
    <w:rsid w:val="00E1362E"/>
    <w:pPr>
      <w:spacing w:before="0" w:after="0"/>
    </w:pPr>
    <w:rPr>
      <w:rFonts w:ascii="Times New Roman" w:hAnsi="Times New Roman"/>
      <w:color w:val="999999"/>
    </w:rPr>
  </w:style>
  <w:style w:type="paragraph" w:customStyle="1" w:styleId="Spacer">
    <w:name w:val="Spacer"/>
    <w:basedOn w:val="Normal"/>
    <w:rsid w:val="00E1362E"/>
    <w:rPr>
      <w:sz w:val="2"/>
      <w:szCs w:val="2"/>
    </w:rPr>
  </w:style>
  <w:style w:type="character" w:customStyle="1" w:styleId="Small">
    <w:name w:val="Small"/>
    <w:rsid w:val="00E1362E"/>
    <w:rPr>
      <w:sz w:val="16"/>
    </w:rPr>
  </w:style>
  <w:style w:type="paragraph" w:customStyle="1" w:styleId="WideTable">
    <w:name w:val="Wide Table"/>
    <w:basedOn w:val="Normal"/>
    <w:rsid w:val="00E1362E"/>
    <w:pPr>
      <w:ind w:left="-1418"/>
    </w:pPr>
    <w:rPr>
      <w:sz w:val="2"/>
      <w:szCs w:val="2"/>
    </w:rPr>
  </w:style>
  <w:style w:type="character" w:styleId="PageNumber">
    <w:name w:val="page number"/>
    <w:rsid w:val="00E1362E"/>
  </w:style>
  <w:style w:type="paragraph" w:styleId="Quote">
    <w:name w:val="Quote"/>
    <w:basedOn w:val="Heading1"/>
    <w:link w:val="QuoteChar"/>
    <w:qFormat/>
    <w:rsid w:val="00E1362E"/>
    <w:rPr>
      <w:b w:val="0"/>
      <w:sz w:val="72"/>
      <w:szCs w:val="72"/>
      <w:lang w:val="en-NZ"/>
    </w:rPr>
  </w:style>
  <w:style w:type="character" w:customStyle="1" w:styleId="QuoteChar">
    <w:name w:val="Quote Char"/>
    <w:link w:val="Quote"/>
    <w:rsid w:val="00E136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62E"/>
    <w:pPr>
      <w:pageBreakBefore/>
    </w:pPr>
  </w:style>
  <w:style w:type="paragraph" w:customStyle="1" w:styleId="Border">
    <w:name w:val="Border"/>
    <w:basedOn w:val="Normal"/>
    <w:qFormat/>
    <w:rsid w:val="00E1362E"/>
    <w:pPr>
      <w:pBdr>
        <w:top w:val="single" w:sz="18" w:space="1" w:color="auto"/>
      </w:pBdr>
    </w:pPr>
    <w:rPr>
      <w:rFonts w:ascii="Times New Roman" w:hAnsi="Times New Roman"/>
      <w:color w:val="FFFFFF"/>
      <w:sz w:val="2"/>
    </w:rPr>
  </w:style>
  <w:style w:type="character" w:styleId="IntenseEmphasis">
    <w:name w:val="Intense Emphasis"/>
    <w:uiPriority w:val="21"/>
    <w:qFormat/>
    <w:rsid w:val="00E1362E"/>
    <w:rPr>
      <w:b/>
      <w:bCs/>
      <w:i/>
      <w:iCs/>
      <w:color w:val="auto"/>
    </w:rPr>
  </w:style>
  <w:style w:type="paragraph" w:styleId="IntenseQuote">
    <w:name w:val="Intense Quote"/>
    <w:basedOn w:val="Normal"/>
    <w:next w:val="Normal"/>
    <w:link w:val="IntenseQuoteChar"/>
    <w:uiPriority w:val="30"/>
    <w:qFormat/>
    <w:rsid w:val="00E1362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1362E"/>
    <w:rPr>
      <w:rFonts w:ascii="Courier New" w:eastAsia="Times New Roman" w:hAnsi="Courier New" w:cs="Times New Roman"/>
      <w:b/>
      <w:bCs/>
      <w:i/>
      <w:iCs/>
      <w:szCs w:val="20"/>
      <w:lang w:val="en-US" w:eastAsia="en-US"/>
    </w:rPr>
  </w:style>
  <w:style w:type="character" w:styleId="SubtleReference">
    <w:name w:val="Subtle Reference"/>
    <w:uiPriority w:val="31"/>
    <w:qFormat/>
    <w:rsid w:val="00E1362E"/>
    <w:rPr>
      <w:smallCaps/>
      <w:color w:val="auto"/>
      <w:u w:val="single"/>
    </w:rPr>
  </w:style>
  <w:style w:type="character" w:styleId="IntenseReference">
    <w:name w:val="Intense Reference"/>
    <w:uiPriority w:val="32"/>
    <w:qFormat/>
    <w:rsid w:val="00E1362E"/>
    <w:rPr>
      <w:b/>
      <w:bCs/>
      <w:smallCaps/>
      <w:color w:val="auto"/>
      <w:spacing w:val="5"/>
      <w:u w:val="single"/>
    </w:rPr>
  </w:style>
  <w:style w:type="paragraph" w:customStyle="1" w:styleId="2ColumnHeading">
    <w:name w:val="2Column Heading"/>
    <w:basedOn w:val="BodyText"/>
    <w:qFormat/>
    <w:rsid w:val="00E1362E"/>
    <w:pPr>
      <w:spacing w:after="60"/>
      <w:ind w:left="-2268"/>
    </w:pPr>
    <w:rPr>
      <w:b/>
    </w:rPr>
  </w:style>
  <w:style w:type="paragraph" w:customStyle="1" w:styleId="Heading1TOC">
    <w:name w:val="Heading1 TOC"/>
    <w:basedOn w:val="Normal"/>
    <w:qFormat/>
    <w:rsid w:val="00E1362E"/>
    <w:pPr>
      <w:spacing w:before="240" w:after="120"/>
    </w:pPr>
    <w:rPr>
      <w:rFonts w:ascii="Times New Roman" w:hAnsi="Times New Roman"/>
      <w:b/>
      <w:sz w:val="32"/>
    </w:rPr>
  </w:style>
  <w:style w:type="paragraph" w:customStyle="1" w:styleId="Heading2TOC">
    <w:name w:val="Heading2 TOC"/>
    <w:basedOn w:val="Normal"/>
    <w:qFormat/>
    <w:rsid w:val="00E1362E"/>
    <w:pPr>
      <w:spacing w:before="240" w:after="60"/>
    </w:pPr>
    <w:rPr>
      <w:rFonts w:ascii="Times New Roman" w:hAnsi="Times New Roman"/>
      <w:b/>
      <w:sz w:val="28"/>
    </w:rPr>
  </w:style>
  <w:style w:type="character" w:customStyle="1" w:styleId="Underline">
    <w:name w:val="Underline"/>
    <w:qFormat/>
    <w:rsid w:val="00E1362E"/>
    <w:rPr>
      <w:u w:val="single"/>
    </w:rPr>
  </w:style>
  <w:style w:type="character" w:customStyle="1" w:styleId="BoldandItalics">
    <w:name w:val="Bold and Italics"/>
    <w:qFormat/>
    <w:rsid w:val="00E1362E"/>
    <w:rPr>
      <w:b/>
      <w:i/>
      <w:u w:val="none"/>
    </w:rPr>
  </w:style>
  <w:style w:type="paragraph" w:styleId="BalloonText">
    <w:name w:val="Balloon Text"/>
    <w:basedOn w:val="Normal"/>
    <w:link w:val="BalloonTextChar"/>
    <w:rsid w:val="00E1362E"/>
    <w:rPr>
      <w:rFonts w:ascii="Tahoma" w:hAnsi="Tahoma" w:cs="Tahoma"/>
      <w:sz w:val="16"/>
      <w:szCs w:val="16"/>
    </w:rPr>
  </w:style>
  <w:style w:type="character" w:customStyle="1" w:styleId="BalloonTextChar">
    <w:name w:val="Balloon Text Char"/>
    <w:link w:val="BalloonText"/>
    <w:rsid w:val="00E136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362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1362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1150</Words>
  <Characters>7388</Characters>
  <Application>Microsoft Office Word</Application>
  <DocSecurity>0</DocSecurity>
  <Lines>261</Lines>
  <Paragraphs>124</Paragraphs>
  <ScaleCrop>false</ScaleCrop>
  <Company>Author-it Software Corporation Ltd.</Company>
  <LinksUpToDate>false</LinksUpToDate>
  <CharactersWithSpaces>8453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MEM08011B Prepare surfaces using solvents and/or mechanical means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2012-05-27T01:38:00Z</dcterms:created>
  <dcterms:modified xsi:type="dcterms:W3CDTF">2012-05-27T01:38:00Z</dcterms:modified>
</cp:coreProperties>
</file>