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95" w:rsidP="00D71595">
      <w:pPr>
        <w:pStyle w:val="Title"/>
      </w:pPr>
      <w:r>
        <w:fldChar w:fldCharType="begin"/>
      </w:r>
      <w:r>
        <w:instrText xml:space="preserve"> TITLE   \* MERGEFORMAT </w:instrText>
      </w:r>
      <w:r>
        <w:fldChar w:fldCharType="separate"/>
      </w:r>
      <w:r>
        <w:t>MEM08009C Make up solutions</w:t>
      </w:r>
      <w:r>
        <w:fldChar w:fldCharType="end"/>
      </w:r>
    </w:p>
    <w:p w:rsidR="00D71595" w:rsidP="00D71595">
      <w:pPr>
        <w:pStyle w:val="Version"/>
        <w:sectPr w:rsidSect="006A6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B94" w:rsidP="006A6B94">
      <w:pPr>
        <w:pStyle w:val="SuperHeading"/>
      </w:pPr>
      <w:r w:rsidRPr="006A6B94">
        <w:t>MEM08009C Make up solutions</w:t>
      </w:r>
    </w:p>
    <w:p w:rsidR="00000000" w:rsidRPr="006A6B94" w:rsidP="006A6B94">
      <w:pPr>
        <w:pStyle w:val="Heading1"/>
      </w:pPr>
      <w:bookmarkStart w:id="1" w:name="O_272091"/>
      <w:bookmarkEnd w:id="1"/>
      <w:r w:rsidRPr="006A6B94">
        <w:t>Modification History</w:t>
      </w:r>
    </w:p>
    <w:p w:rsidR="00000000" w:rsidRPr="006A6B94" w:rsidP="006A6B94">
      <w:pPr>
        <w:pStyle w:val="BodyText"/>
      </w:pPr>
      <w:r w:rsidRPr="006A6B94">
        <w:t>Not Applicable</w:t>
      </w:r>
    </w:p>
    <w:p w:rsidR="00000000" w:rsidRPr="006A6B94" w:rsidP="006A6B94">
      <w:pPr>
        <w:pStyle w:val="AllowPageBreak"/>
      </w:pPr>
    </w:p>
    <w:p w:rsidR="00000000" w:rsidRPr="006A6B94" w:rsidP="006A6B94">
      <w:pPr>
        <w:pStyle w:val="Heading1"/>
      </w:pPr>
      <w:bookmarkStart w:id="2" w:name="O_211075"/>
      <w:bookmarkEnd w:id="2"/>
      <w:r w:rsidRPr="006A6B94">
        <w:t>Unit Descriptor</w:t>
      </w:r>
    </w:p>
    <w:tbl>
      <w:tblPr>
        <w:tblW w:w="0" w:type="auto"/>
        <w:tblLayout w:type="fixed"/>
        <w:tblCellMar>
          <w:left w:w="62" w:type="dxa"/>
          <w:right w:w="62" w:type="dxa"/>
        </w:tblCellMar>
        <w:tblLook w:val="0000"/>
      </w:tblPr>
      <w:tblGrid>
        <w:gridCol w:w="2673"/>
        <w:gridCol w:w="5849"/>
      </w:tblGrid>
      <w:tr w:rsidTr="00D7159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This unit covers making up solutions and maintaining process specific equipment, such a probes and electrodes.</w:t>
            </w:r>
          </w:p>
        </w:tc>
      </w:tr>
    </w:tbl>
    <w:p w:rsidR="00D71595" w:rsidP="006A6B94">
      <w:pPr>
        <w:pStyle w:val="BodyText"/>
      </w:pPr>
    </w:p>
    <w:p w:rsidR="00D71595" w:rsidP="006A6B94">
      <w:pPr>
        <w:pStyle w:val="BodyText"/>
      </w:pPr>
    </w:p>
    <w:p w:rsidR="00000000" w:rsidRPr="006A6B94" w:rsidP="006A6B94">
      <w:pPr>
        <w:pStyle w:val="Heading1"/>
      </w:pPr>
      <w:bookmarkStart w:id="3" w:name="O_211079"/>
      <w:bookmarkEnd w:id="3"/>
      <w:r w:rsidRPr="006A6B94">
        <w:t>Application of the Unit</w:t>
      </w:r>
    </w:p>
    <w:tbl>
      <w:tblPr>
        <w:tblW w:w="0" w:type="auto"/>
        <w:tblLayout w:type="fixed"/>
        <w:tblCellMar>
          <w:left w:w="62" w:type="dxa"/>
          <w:right w:w="62" w:type="dxa"/>
        </w:tblCellMar>
        <w:tblLook w:val="0000"/>
      </w:tblPr>
      <w:tblGrid>
        <w:gridCol w:w="2745"/>
        <w:gridCol w:w="5777"/>
      </w:tblGrid>
      <w:tr w:rsidTr="00D7159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 xml:space="preserve">This unit applies to standard operational procedures for solution preparation including compliance with standards, codes, legislation, company and customer requirements. Maintenance of solution ratio </w:t>
            </w:r>
            <w:r w:rsidRPr="006A6B94">
              <w:t>and purity is covered by other units.</w:t>
            </w:r>
          </w:p>
          <w:p w:rsidR="00000000" w:rsidRPr="006A6B94" w:rsidP="006A6B94">
            <w:pPr>
              <w:pStyle w:val="BodyText"/>
            </w:pPr>
            <w:r w:rsidRPr="006A6B94">
              <w:t>This unit should not be selected if Unit MEM08018B (Electroplate engineering coatings), Unit MEM08019B (Electroplate protective finishes) and/or Unit MEM08020B (Electroplate decorative finishes) has already been select</w:t>
            </w:r>
            <w:r w:rsidRPr="006A6B94">
              <w:t>ed.</w:t>
            </w:r>
          </w:p>
          <w:p w:rsidR="00000000" w:rsidRPr="006A6B94" w:rsidP="006A6B94">
            <w:pPr>
              <w:pStyle w:val="BodyText"/>
            </w:pPr>
          </w:p>
          <w:p w:rsidR="00000000" w:rsidRPr="006A6B94" w:rsidP="006A6B94">
            <w:pPr>
              <w:pStyle w:val="BodyText"/>
            </w:pPr>
            <w:r w:rsidRPr="006A6B94">
              <w:rPr>
                <w:rStyle w:val="SpecialBold"/>
              </w:rPr>
              <w:t>Band</w:t>
            </w:r>
            <w:r w:rsidRPr="006A6B94">
              <w:t>:</w:t>
            </w:r>
            <w:r w:rsidRPr="006A6B94">
              <w:tab/>
            </w:r>
            <w:r w:rsidRPr="006A6B94">
              <w:rPr>
                <w:rStyle w:val="SpecialBold"/>
              </w:rPr>
              <w:t>A</w:t>
            </w:r>
          </w:p>
          <w:p w:rsidR="00000000" w:rsidRPr="006A6B94" w:rsidP="006A6B94">
            <w:pPr>
              <w:pStyle w:val="BodyText"/>
            </w:pPr>
            <w:r w:rsidRPr="006A6B94">
              <w:rPr>
                <w:rStyle w:val="SpecialBold"/>
              </w:rPr>
              <w:t>Unit Weight</w:t>
            </w:r>
            <w:r w:rsidRPr="006A6B94">
              <w:t>:</w:t>
            </w:r>
            <w:r w:rsidRPr="006A6B94">
              <w:tab/>
            </w:r>
            <w:r w:rsidRPr="006A6B94">
              <w:rPr>
                <w:rStyle w:val="SpecialBold"/>
              </w:rPr>
              <w:t>2</w:t>
            </w:r>
          </w:p>
        </w:tc>
      </w:tr>
    </w:tbl>
    <w:p w:rsidR="00D71595" w:rsidP="006A6B94">
      <w:pPr>
        <w:pStyle w:val="BodyText"/>
      </w:pPr>
    </w:p>
    <w:p w:rsidR="00D71595" w:rsidP="006A6B94">
      <w:pPr>
        <w:pStyle w:val="BodyText"/>
      </w:pPr>
    </w:p>
    <w:p w:rsidR="00000000" w:rsidRPr="006A6B94" w:rsidP="006A6B94">
      <w:pPr>
        <w:pStyle w:val="Heading1"/>
      </w:pPr>
      <w:bookmarkStart w:id="4" w:name="O_280351"/>
      <w:bookmarkEnd w:id="4"/>
      <w:r w:rsidRPr="006A6B94">
        <w:t>Licensing/Regulatory Information</w:t>
      </w:r>
    </w:p>
    <w:p w:rsidR="00000000" w:rsidRPr="006A6B94" w:rsidP="006A6B94">
      <w:pPr>
        <w:pStyle w:val="BodyText"/>
      </w:pPr>
      <w:r w:rsidRPr="006A6B94">
        <w:t>Not Applicable</w:t>
      </w:r>
    </w:p>
    <w:p w:rsidR="00000000" w:rsidRPr="006A6B94" w:rsidP="006A6B94">
      <w:pPr>
        <w:pStyle w:val="AllowPageBreak"/>
      </w:pPr>
    </w:p>
    <w:p w:rsidR="00000000" w:rsidRPr="006A6B94" w:rsidP="006A6B94">
      <w:pPr>
        <w:pStyle w:val="Heading1"/>
      </w:pPr>
      <w:bookmarkStart w:id="5" w:name="O_211077"/>
      <w:bookmarkEnd w:id="5"/>
      <w:r w:rsidRPr="006A6B94">
        <w:t>Pre-Requisites</w:t>
      </w:r>
    </w:p>
    <w:tbl>
      <w:tblPr>
        <w:tblW w:w="0" w:type="auto"/>
        <w:tblLayout w:type="fixed"/>
        <w:tblCellMar>
          <w:left w:w="62" w:type="dxa"/>
          <w:right w:w="62" w:type="dxa"/>
        </w:tblCellMar>
        <w:tblLook w:val="0000"/>
      </w:tblPr>
      <w:tblGrid>
        <w:gridCol w:w="2720"/>
        <w:gridCol w:w="2195"/>
        <w:gridCol w:w="3607"/>
      </w:tblGrid>
      <w:tr w:rsidTr="00D71595">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Work safely with industrial chemicals and materials</w:t>
            </w:r>
          </w:p>
        </w:tc>
      </w:tr>
      <w:tr w:rsidTr="00D71595">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p>
        </w:tc>
      </w:tr>
    </w:tbl>
    <w:p w:rsidR="00D71595" w:rsidP="006A6B94">
      <w:pPr>
        <w:pStyle w:val="BodyText"/>
      </w:pPr>
    </w:p>
    <w:p w:rsidR="00D71595" w:rsidP="006A6B94">
      <w:pPr>
        <w:pStyle w:val="BodyText"/>
      </w:pPr>
    </w:p>
    <w:p w:rsidR="00000000" w:rsidRPr="006A6B94" w:rsidP="006A6B94">
      <w:pPr>
        <w:pStyle w:val="Heading1"/>
      </w:pPr>
      <w:bookmarkStart w:id="6" w:name="O_211076"/>
      <w:bookmarkEnd w:id="6"/>
      <w:r w:rsidRPr="006A6B94">
        <w:t>Employability Skills Information</w:t>
      </w:r>
    </w:p>
    <w:tbl>
      <w:tblPr>
        <w:tblW w:w="0" w:type="auto"/>
        <w:tblLayout w:type="fixed"/>
        <w:tblCellMar>
          <w:left w:w="62" w:type="dxa"/>
          <w:right w:w="62" w:type="dxa"/>
        </w:tblCellMar>
        <w:tblLook w:val="0000"/>
      </w:tblPr>
      <w:tblGrid>
        <w:gridCol w:w="2802"/>
        <w:gridCol w:w="5720"/>
      </w:tblGrid>
      <w:tr w:rsidTr="00D715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This unit contains employability skills.</w:t>
            </w:r>
          </w:p>
        </w:tc>
      </w:tr>
    </w:tbl>
    <w:p w:rsidR="00D71595" w:rsidP="006A6B94">
      <w:pPr>
        <w:pStyle w:val="BodyText"/>
      </w:pPr>
    </w:p>
    <w:p w:rsidR="00D71595" w:rsidP="006A6B94">
      <w:pPr>
        <w:pStyle w:val="BodyText"/>
      </w:pPr>
    </w:p>
    <w:p w:rsidR="00000000" w:rsidRPr="006A6B94" w:rsidP="006A6B94">
      <w:pPr>
        <w:pStyle w:val="Heading1"/>
      </w:pPr>
      <w:bookmarkStart w:id="7" w:name="O_290137"/>
      <w:bookmarkEnd w:id="7"/>
      <w:r w:rsidRPr="006A6B94">
        <w:t>Elements and Performance Criteria Pre-Content</w:t>
      </w:r>
    </w:p>
    <w:tbl>
      <w:tblPr>
        <w:tblW w:w="0" w:type="auto"/>
        <w:tblLayout w:type="fixed"/>
        <w:tblCellMar>
          <w:left w:w="62" w:type="dxa"/>
          <w:right w:w="62" w:type="dxa"/>
        </w:tblCellMar>
        <w:tblLook w:val="0000"/>
      </w:tblPr>
      <w:tblGrid>
        <w:gridCol w:w="2548"/>
        <w:gridCol w:w="5974"/>
      </w:tblGrid>
      <w:tr w:rsidTr="00D7159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Performance criteria describe</w:t>
            </w:r>
            <w:r w:rsidRPr="006A6B9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A6B94">
              <w:t>the evidence guide.</w:t>
            </w:r>
          </w:p>
        </w:tc>
      </w:tr>
    </w:tbl>
    <w:p w:rsidR="00000000" w:rsidRPr="006A6B94" w:rsidP="006A6B94">
      <w:pPr>
        <w:pStyle w:val="BodyText"/>
      </w:pPr>
    </w:p>
    <w:p w:rsidR="00000000" w:rsidRPr="006A6B94" w:rsidP="006A6B94">
      <w:pPr>
        <w:pStyle w:val="AllowPageBreak"/>
      </w:pPr>
    </w:p>
    <w:p w:rsidR="00000000" w:rsidRPr="006A6B94" w:rsidP="006A6B94">
      <w:pPr>
        <w:pStyle w:val="Heading1"/>
      </w:pPr>
      <w:bookmarkStart w:id="8" w:name="O_236804"/>
      <w:bookmarkEnd w:id="8"/>
      <w:r w:rsidRPr="006A6B94">
        <w:t>Elements and Performance Criteria</w:t>
      </w:r>
    </w:p>
    <w:tbl>
      <w:tblPr>
        <w:tblW w:w="0" w:type="auto"/>
        <w:tblLayout w:type="fixed"/>
        <w:tblCellMar>
          <w:left w:w="62" w:type="dxa"/>
          <w:right w:w="62" w:type="dxa"/>
        </w:tblCellMar>
        <w:tblLook w:val="0000"/>
      </w:tblPr>
      <w:tblGrid>
        <w:gridCol w:w="2548"/>
        <w:gridCol w:w="5974"/>
      </w:tblGrid>
      <w:tr w:rsidTr="00D71595">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PERFORMANCE CRITERIA</w:t>
            </w:r>
          </w:p>
        </w:tc>
      </w:tr>
      <w:tr w:rsidTr="00D7159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List"/>
              <w:rPr>
                <w:lang w:val="en-NZ"/>
              </w:rPr>
            </w:pPr>
            <w:r w:rsidRPr="006A6B94">
              <w:t>1.</w:t>
            </w:r>
            <w:r w:rsidRPr="006A6B94">
              <w:tab/>
              <w:t xml:space="preserve">Prepare solution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List2"/>
            </w:pPr>
            <w:r w:rsidRPr="006A6B94">
              <w:t>1.1.</w:t>
            </w:r>
            <w:r w:rsidRPr="006A6B94">
              <w:tab/>
              <w:t>Appropriate solutions for application requirements or specifications are identified.</w:t>
            </w:r>
          </w:p>
          <w:p w:rsidR="00000000" w:rsidRPr="006A6B94" w:rsidP="006A6B94">
            <w:pPr>
              <w:pStyle w:val="List2"/>
            </w:pPr>
            <w:r w:rsidRPr="006A6B94">
              <w:t>1.2.</w:t>
            </w:r>
            <w:r w:rsidRPr="006A6B94">
              <w:tab/>
            </w:r>
            <w:r w:rsidRPr="006A6B94">
              <w:t>Volumes, density and solution concentration are calculated for effective operation.</w:t>
            </w:r>
          </w:p>
          <w:p w:rsidR="00000000" w:rsidRPr="006A6B94" w:rsidP="006A6B94">
            <w:pPr>
              <w:pStyle w:val="List2"/>
            </w:pPr>
            <w:r w:rsidRPr="006A6B94">
              <w:t>1.3.</w:t>
            </w:r>
            <w:r w:rsidRPr="006A6B94">
              <w:tab/>
              <w:t>Suitable volume of solution is made up from supplier's instructions and/or manual in accordance with standard operating procedures.</w:t>
            </w:r>
          </w:p>
          <w:p w:rsidR="00000000" w:rsidP="006A6B94">
            <w:pPr>
              <w:pStyle w:val="List2"/>
              <w:rPr>
                <w:lang w:val="en-NZ"/>
              </w:rPr>
            </w:pPr>
            <w:r w:rsidRPr="006A6B94">
              <w:t>1.4.</w:t>
            </w:r>
            <w:r w:rsidRPr="006A6B94">
              <w:tab/>
              <w:t>Spent solutions are referred t</w:t>
            </w:r>
            <w:r w:rsidRPr="006A6B94">
              <w:t>o waste treatment processing in accordance with standard operating procedures.</w:t>
            </w:r>
          </w:p>
        </w:tc>
      </w:tr>
      <w:tr w:rsidTr="00D7159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List"/>
              <w:rPr>
                <w:lang w:val="en-NZ"/>
              </w:rPr>
            </w:pPr>
            <w:r w:rsidRPr="006A6B94">
              <w:t>2.</w:t>
            </w:r>
            <w:r w:rsidRPr="006A6B94">
              <w:tab/>
              <w:t xml:space="preserve">Maintain process specific equipment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List2"/>
            </w:pPr>
            <w:r w:rsidRPr="006A6B94">
              <w:t>2.1.</w:t>
            </w:r>
            <w:r w:rsidRPr="006A6B94">
              <w:tab/>
              <w:t>Inspection of probes and electrodes is carried out and meter probes are recalibrated as required.</w:t>
            </w:r>
          </w:p>
        </w:tc>
      </w:tr>
    </w:tbl>
    <w:p w:rsidR="00D71595" w:rsidP="006A6B94">
      <w:pPr>
        <w:pStyle w:val="BodyText"/>
      </w:pPr>
    </w:p>
    <w:p w:rsidR="00D71595" w:rsidP="006A6B94">
      <w:pPr>
        <w:pStyle w:val="BodyText"/>
      </w:pPr>
    </w:p>
    <w:p w:rsidR="00000000" w:rsidRPr="006A6B94" w:rsidP="006A6B94">
      <w:pPr>
        <w:pStyle w:val="Heading1"/>
      </w:pPr>
      <w:bookmarkStart w:id="9" w:name="O_260754"/>
      <w:bookmarkEnd w:id="9"/>
      <w:r w:rsidRPr="006A6B94">
        <w:t>Required Skills and Knowledge</w:t>
      </w:r>
    </w:p>
    <w:tbl>
      <w:tblPr>
        <w:tblW w:w="0" w:type="auto"/>
        <w:tblLayout w:type="fixed"/>
        <w:tblCellMar>
          <w:left w:w="62" w:type="dxa"/>
          <w:right w:w="62" w:type="dxa"/>
        </w:tblCellMar>
        <w:tblLook w:val="0000"/>
      </w:tblPr>
      <w:tblGrid>
        <w:gridCol w:w="8522"/>
      </w:tblGrid>
      <w:tr w:rsidTr="00D715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REQUIRED SKILLS AND KNOWLEDGE</w:t>
            </w:r>
          </w:p>
        </w:tc>
      </w:tr>
      <w:tr w:rsidTr="00D715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This section describes the skills and knowledge required for this unit.</w:t>
            </w:r>
          </w:p>
        </w:tc>
      </w:tr>
      <w:tr w:rsidTr="00D7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Required skills</w:t>
            </w:r>
          </w:p>
        </w:tc>
      </w:tr>
      <w:tr w:rsidTr="00D7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Look for evidence that confirms skills in:</w:t>
            </w:r>
          </w:p>
          <w:p w:rsidR="00000000" w:rsidRPr="006A6B94" w:rsidP="006A6B94">
            <w:pPr>
              <w:pStyle w:val="ListBullet"/>
            </w:pPr>
            <w:r w:rsidRPr="006A6B94">
              <w:t>preparing operational plan</w:t>
            </w:r>
          </w:p>
          <w:p w:rsidR="00000000" w:rsidRPr="006A6B94" w:rsidP="006A6B94">
            <w:pPr>
              <w:pStyle w:val="ListBullet"/>
            </w:pPr>
            <w:r w:rsidRPr="006A6B94">
              <w:t>calculating volumes and determining quantities required</w:t>
            </w:r>
          </w:p>
          <w:p w:rsidR="00000000" w:rsidRPr="006A6B94" w:rsidP="006A6B94">
            <w:pPr>
              <w:pStyle w:val="ListBullet"/>
            </w:pPr>
            <w:r w:rsidRPr="006A6B94">
              <w:t>preparing appropriate solutions</w:t>
            </w:r>
          </w:p>
          <w:p w:rsidR="00000000" w:rsidRPr="006A6B94" w:rsidP="006A6B94">
            <w:pPr>
              <w:pStyle w:val="ListBullet"/>
            </w:pPr>
            <w:r w:rsidRPr="006A6B94">
              <w:t>inspecting probes and electrodes</w:t>
            </w:r>
          </w:p>
          <w:p w:rsidR="00000000" w:rsidRPr="006A6B94" w:rsidP="006A6B94">
            <w:pPr>
              <w:pStyle w:val="ListBullet"/>
            </w:pPr>
            <w:r w:rsidRPr="006A6B94">
              <w:t>calibrating meter probes</w:t>
            </w:r>
          </w:p>
          <w:p w:rsidR="00000000" w:rsidRPr="006A6B94" w:rsidP="006A6B94">
            <w:pPr>
              <w:pStyle w:val="ListBullet"/>
            </w:pPr>
            <w:r w:rsidRPr="006A6B94">
              <w:t>reading and interpreting routine information on written job instructions, specifications and standard operatin</w:t>
            </w:r>
            <w:r w:rsidRPr="006A6B94">
              <w:t>g procedures. May include drawings</w:t>
            </w:r>
          </w:p>
          <w:p w:rsidR="00000000" w:rsidRPr="006A6B94" w:rsidP="006A6B94">
            <w:pPr>
              <w:pStyle w:val="ListBullet"/>
            </w:pPr>
            <w:r w:rsidRPr="006A6B94">
              <w:t>following oral instructions</w:t>
            </w:r>
          </w:p>
          <w:p w:rsidR="00000000" w:rsidRPr="006A6B94" w:rsidP="006A6B94">
            <w:pPr>
              <w:pStyle w:val="ListBullet"/>
            </w:pPr>
            <w:r w:rsidRPr="006A6B94">
              <w:t>undertaking calculations using formulae</w:t>
            </w:r>
          </w:p>
          <w:p w:rsidR="00000000" w:rsidP="006A6B94">
            <w:pPr>
              <w:pStyle w:val="ListBullet"/>
              <w:rPr>
                <w:lang w:val="en-NZ"/>
              </w:rPr>
            </w:pPr>
            <w:r w:rsidRPr="006A6B94">
              <w:t>entering routine and familiar information onto proformas and standard workplace forms</w:t>
            </w:r>
          </w:p>
        </w:tc>
      </w:tr>
      <w:tr w:rsidTr="00D7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Required knowledge</w:t>
            </w:r>
          </w:p>
        </w:tc>
      </w:tr>
      <w:tr w:rsidTr="00D7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Look for evidence that confirms knowledge of:</w:t>
            </w:r>
          </w:p>
          <w:p w:rsidR="00000000" w:rsidRPr="006A6B94" w:rsidP="006A6B94">
            <w:pPr>
              <w:pStyle w:val="ListBullet"/>
            </w:pPr>
            <w:r w:rsidRPr="006A6B94">
              <w:t>reasons for selecting chosen sequence of operations</w:t>
            </w:r>
          </w:p>
          <w:p w:rsidR="00000000" w:rsidRPr="006A6B94" w:rsidP="006A6B94">
            <w:pPr>
              <w:pStyle w:val="ListBullet"/>
            </w:pPr>
            <w:r w:rsidRPr="006A6B94">
              <w:t xml:space="preserve">solution concentrations </w:t>
            </w:r>
          </w:p>
          <w:p w:rsidR="00000000" w:rsidRPr="006A6B94" w:rsidP="006A6B94">
            <w:pPr>
              <w:pStyle w:val="ListBullet"/>
            </w:pPr>
            <w:r w:rsidRPr="006A6B94">
              <w:t xml:space="preserve">procedures for making up solution </w:t>
            </w:r>
          </w:p>
          <w:p w:rsidR="00000000" w:rsidRPr="006A6B94" w:rsidP="006A6B94">
            <w:pPr>
              <w:pStyle w:val="ListBullet"/>
            </w:pPr>
            <w:r w:rsidRPr="006A6B94">
              <w:t>procedures for inspecting probes and electrodes</w:t>
            </w:r>
          </w:p>
          <w:p w:rsidR="00000000" w:rsidRPr="006A6B94" w:rsidP="006A6B94">
            <w:pPr>
              <w:pStyle w:val="ListBullet"/>
            </w:pPr>
            <w:r w:rsidRPr="006A6B94">
              <w:t>procedures for recalibrating meter probes</w:t>
            </w:r>
          </w:p>
          <w:p w:rsidR="00000000" w:rsidRPr="006A6B94" w:rsidP="006A6B94">
            <w:pPr>
              <w:pStyle w:val="ListBullet"/>
            </w:pPr>
            <w:r w:rsidRPr="006A6B94">
              <w:t xml:space="preserve">the equipment and techniques necessary to recalibrate meter probes </w:t>
            </w:r>
          </w:p>
          <w:p w:rsidR="00000000" w:rsidRPr="006A6B94" w:rsidP="006A6B94">
            <w:pPr>
              <w:pStyle w:val="ListBullet"/>
            </w:pPr>
            <w:r w:rsidRPr="006A6B94">
              <w:t xml:space="preserve">use and application of personal protective equipment </w:t>
            </w:r>
          </w:p>
          <w:p w:rsidR="00000000" w:rsidRPr="006A6B94" w:rsidP="006A6B94">
            <w:pPr>
              <w:pStyle w:val="ListBullet"/>
            </w:pPr>
            <w:r w:rsidRPr="006A6B94">
              <w:t>safe work practices and procedures</w:t>
            </w:r>
          </w:p>
          <w:p w:rsidR="00000000" w:rsidRPr="006A6B94" w:rsidP="006A6B94">
            <w:pPr>
              <w:pStyle w:val="ListBullet"/>
            </w:pPr>
            <w:r w:rsidRPr="006A6B94">
              <w:t>relevant hazards and control measures related to the competency</w:t>
            </w:r>
          </w:p>
        </w:tc>
      </w:tr>
    </w:tbl>
    <w:p w:rsidR="00D71595" w:rsidP="006A6B94">
      <w:pPr>
        <w:pStyle w:val="BodyText"/>
      </w:pPr>
    </w:p>
    <w:p w:rsidR="00D71595" w:rsidP="006A6B94">
      <w:pPr>
        <w:pStyle w:val="BodyText"/>
      </w:pPr>
    </w:p>
    <w:p w:rsidR="00000000" w:rsidRPr="006A6B94" w:rsidP="006A6B94">
      <w:pPr>
        <w:pStyle w:val="AllowPageBreak"/>
      </w:pPr>
    </w:p>
    <w:p w:rsidR="00000000" w:rsidRPr="006A6B94" w:rsidP="006A6B94">
      <w:pPr>
        <w:pStyle w:val="Heading1"/>
      </w:pPr>
      <w:bookmarkStart w:id="10" w:name="O_244788"/>
      <w:bookmarkEnd w:id="10"/>
      <w:r w:rsidRPr="006A6B94">
        <w:t>Evidence Guide</w:t>
      </w:r>
    </w:p>
    <w:tbl>
      <w:tblPr>
        <w:tblW w:w="9570" w:type="dxa"/>
        <w:tblLayout w:type="fixed"/>
        <w:tblCellMar>
          <w:left w:w="62" w:type="dxa"/>
          <w:right w:w="62" w:type="dxa"/>
        </w:tblCellMar>
        <w:tblLook w:val="0000"/>
      </w:tblPr>
      <w:tblGrid>
        <w:gridCol w:w="3908"/>
        <w:gridCol w:w="5662"/>
      </w:tblGrid>
      <w:tr w:rsidTr="00D715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EVIDENCE GUIDE</w:t>
            </w:r>
          </w:p>
        </w:tc>
      </w:tr>
      <w:tr w:rsidTr="00D715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The evidence guide provides advice on assessment and must be read in conjunction with the performance criteria, required skills and knowledge, range statement and the Assessment Guidelines for the Training Package.</w:t>
            </w:r>
          </w:p>
        </w:tc>
      </w:tr>
      <w:tr w:rsidTr="00D7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A person who demonstrates competency in this unit must be able to make up solutions and maintain process specific equipment. Competency in this unit cannot be claimed until all prerequisites have been satisfied.</w:t>
            </w:r>
          </w:p>
        </w:tc>
      </w:tr>
      <w:tr w:rsidTr="00D7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Assessors must be satisfied that the candidate can competently and consistently perform all elements of the unit as specified by the criteria, including required k</w:t>
            </w:r>
            <w:r w:rsidRPr="006A6B94">
              <w:t>nowledge, and be capable of applying the competency in new and different situations and contexts.</w:t>
            </w:r>
          </w:p>
        </w:tc>
      </w:tr>
      <w:tr w:rsidTr="00D7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This unit may be assessed on the job, off the job or a combination of both on and off the job. Where assessm</w:t>
            </w:r>
            <w:r w:rsidRPr="006A6B94">
              <w:t>ent occurs off the job, that is the candidate is not in productive work, then an appropriate simulation must be used where the range of conditions reflects realistic workplace situations. The competencies covered by this unit would be demonstrated by an in</w:t>
            </w:r>
            <w:r w:rsidRPr="006A6B94">
              <w:t>dividual working alone or as part of a team. The assessment environment should not disadvantage the candidate.</w:t>
            </w:r>
          </w:p>
          <w:p w:rsidR="00000000" w:rsidP="006A6B94">
            <w:pPr>
              <w:pStyle w:val="BodyText"/>
              <w:rPr>
                <w:lang w:val="en-NZ"/>
              </w:rPr>
            </w:pPr>
            <w:r w:rsidRPr="006A6B94">
              <w:t xml:space="preserve">This unit could be assessed in conjunction with any other units addressing the safety, quality, communication, materials handling, recording and </w:t>
            </w:r>
            <w:r w:rsidRPr="006A6B94">
              <w:t>reporting associated with making up solutions or other units requiring the exercise of the skills and knowledge covered by this unit.</w:t>
            </w:r>
          </w:p>
        </w:tc>
      </w:tr>
      <w:tr w:rsidTr="00D7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Assessors should gather a range of evidence that is valid, sufficient, current and authentic. Eviden</w:t>
            </w:r>
            <w:r w:rsidRPr="006A6B94">
              <w:t>ce can be gathered through a variety of ways including direct observation, supervisor's reports, project work, samples and questioning. Questioning techniques should not require language, literacy and numeracy skills beyond those required in this unit of c</w:t>
            </w:r>
            <w:r w:rsidRPr="006A6B94">
              <w:t xml:space="preserve">ompetency. The candidate must have access to all tools, equipment, materials and documentation required. The candidate must be permitted to refer to any relevant workplace procedures, product and manufacturing specifications, codes, standards, manuals and </w:t>
            </w:r>
            <w:r w:rsidRPr="006A6B94">
              <w:t>reference materials.</w:t>
            </w:r>
          </w:p>
        </w:tc>
      </w:tr>
      <w:tr w:rsidTr="00D7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p>
        </w:tc>
      </w:tr>
    </w:tbl>
    <w:p w:rsidR="00D71595" w:rsidP="006A6B94">
      <w:pPr>
        <w:pStyle w:val="BodyText"/>
      </w:pPr>
    </w:p>
    <w:p w:rsidR="00D71595" w:rsidP="006A6B94">
      <w:pPr>
        <w:pStyle w:val="BodyText"/>
      </w:pPr>
    </w:p>
    <w:p w:rsidR="00000000" w:rsidRPr="006A6B94" w:rsidP="006A6B94">
      <w:pPr>
        <w:pStyle w:val="Heading1"/>
      </w:pPr>
      <w:bookmarkStart w:id="11" w:name="O_252771"/>
      <w:bookmarkEnd w:id="11"/>
      <w:r w:rsidRPr="006A6B94">
        <w:t>Range Statement</w:t>
      </w:r>
    </w:p>
    <w:tbl>
      <w:tblPr>
        <w:tblW w:w="0" w:type="auto"/>
        <w:tblLayout w:type="fixed"/>
        <w:tblCellMar>
          <w:left w:w="62" w:type="dxa"/>
          <w:right w:w="62" w:type="dxa"/>
        </w:tblCellMar>
        <w:tblLook w:val="0000"/>
      </w:tblPr>
      <w:tblGrid>
        <w:gridCol w:w="3506"/>
        <w:gridCol w:w="5016"/>
      </w:tblGrid>
      <w:tr w:rsidTr="00D715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RANGE STATEMENT</w:t>
            </w:r>
          </w:p>
        </w:tc>
      </w:tr>
      <w:tr w:rsidTr="00D715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t xml:space="preserve">The range statement relates to the unit of competency as a whole. It allows for different work environments and situations that may affect </w:t>
            </w:r>
            <w:r w:rsidRPr="006A6B94">
              <w:t>performance. Bold italicised wording, if used in the performance criteria, is detailed below. Essential operating conditions that may be present with training and assessment (depending on the work situation, needs of the candidate, accessibility of the ite</w:t>
            </w:r>
            <w:r w:rsidRPr="006A6B94">
              <w:t>m, and local industry and regional contexts) may also be included.</w:t>
            </w: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p>
        </w:tc>
      </w:tr>
    </w:tbl>
    <w:p w:rsidR="00D71595" w:rsidP="006A6B94">
      <w:pPr>
        <w:pStyle w:val="BodyText"/>
      </w:pPr>
    </w:p>
    <w:p w:rsidR="00D71595" w:rsidP="006A6B94">
      <w:pPr>
        <w:pStyle w:val="BodyText"/>
      </w:pPr>
    </w:p>
    <w:p w:rsidR="00000000" w:rsidRPr="006A6B94" w:rsidP="006A6B94">
      <w:pPr>
        <w:pStyle w:val="Heading1"/>
      </w:pPr>
      <w:bookmarkStart w:id="12" w:name="O_211081"/>
      <w:bookmarkEnd w:id="12"/>
      <w:r w:rsidRPr="006A6B94">
        <w:t>Unit Sector(s)</w:t>
      </w:r>
    </w:p>
    <w:tbl>
      <w:tblPr>
        <w:tblW w:w="0" w:type="auto"/>
        <w:tblLayout w:type="fixed"/>
        <w:tblCellMar>
          <w:left w:w="62" w:type="dxa"/>
          <w:right w:w="62" w:type="dxa"/>
        </w:tblCellMar>
        <w:tblLook w:val="0000"/>
      </w:tblPr>
      <w:tblGrid>
        <w:gridCol w:w="2654"/>
        <w:gridCol w:w="5868"/>
      </w:tblGrid>
      <w:tr w:rsidTr="00D715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p>
        </w:tc>
      </w:tr>
    </w:tbl>
    <w:p w:rsidR="00D71595" w:rsidP="006A6B94">
      <w:pPr>
        <w:pStyle w:val="BodyText"/>
      </w:pPr>
    </w:p>
    <w:p w:rsidR="00D71595" w:rsidP="006A6B94">
      <w:pPr>
        <w:pStyle w:val="BodyText"/>
      </w:pPr>
    </w:p>
    <w:p w:rsidR="00000000" w:rsidRPr="006A6B94" w:rsidP="006A6B94">
      <w:pPr>
        <w:pStyle w:val="Heading1"/>
      </w:pPr>
      <w:bookmarkStart w:id="13" w:name="O_211078"/>
      <w:bookmarkEnd w:id="13"/>
      <w:r w:rsidRPr="006A6B94">
        <w:t>Co-requisite units</w:t>
      </w:r>
    </w:p>
    <w:tbl>
      <w:tblPr>
        <w:tblW w:w="0" w:type="auto"/>
        <w:tblLayout w:type="fixed"/>
        <w:tblCellMar>
          <w:left w:w="62" w:type="dxa"/>
          <w:right w:w="62" w:type="dxa"/>
        </w:tblCellMar>
        <w:tblLook w:val="0000"/>
      </w:tblPr>
      <w:tblGrid>
        <w:gridCol w:w="2641"/>
        <w:gridCol w:w="1322"/>
        <w:gridCol w:w="4559"/>
      </w:tblGrid>
      <w:tr w:rsidTr="00D715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p>
        </w:tc>
      </w:tr>
      <w:tr w:rsidTr="00D7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p>
        </w:tc>
      </w:tr>
    </w:tbl>
    <w:p w:rsidR="00D71595" w:rsidP="006A6B94">
      <w:pPr>
        <w:pStyle w:val="BodyText"/>
      </w:pPr>
    </w:p>
    <w:p w:rsidR="00D71595" w:rsidP="006A6B94">
      <w:pPr>
        <w:pStyle w:val="BodyText"/>
      </w:pPr>
    </w:p>
    <w:p w:rsidR="00000000" w:rsidRPr="006A6B94" w:rsidP="006A6B94">
      <w:pPr>
        <w:pStyle w:val="Heading1"/>
      </w:pPr>
      <w:bookmarkStart w:id="14" w:name="O_211080"/>
      <w:bookmarkEnd w:id="14"/>
      <w:r w:rsidRPr="006A6B94">
        <w:t>Competency field</w:t>
      </w:r>
    </w:p>
    <w:tbl>
      <w:tblPr>
        <w:tblW w:w="0" w:type="auto"/>
        <w:tblLayout w:type="fixed"/>
        <w:tblCellMar>
          <w:left w:w="62" w:type="dxa"/>
          <w:right w:w="62" w:type="dxa"/>
        </w:tblCellMar>
        <w:tblLook w:val="0000"/>
      </w:tblPr>
      <w:tblGrid>
        <w:gridCol w:w="2778"/>
        <w:gridCol w:w="5744"/>
      </w:tblGrid>
      <w:tr w:rsidTr="00D715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B94">
            <w:pPr>
              <w:pStyle w:val="BodyText"/>
              <w:rPr>
                <w:lang w:val="en-NZ"/>
              </w:rPr>
            </w:pPr>
            <w:r w:rsidRPr="006A6B9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B94" w:rsidP="006A6B94">
            <w:pPr>
              <w:pStyle w:val="BodyText"/>
            </w:pPr>
            <w:r w:rsidRPr="006A6B94">
              <w:t>Surface finishing</w:t>
            </w:r>
          </w:p>
        </w:tc>
      </w:tr>
    </w:tbl>
    <w:p w:rsidR="00D71595" w:rsidP="006A6B94">
      <w:pPr>
        <w:pStyle w:val="BodyText"/>
      </w:pPr>
    </w:p>
    <w:p w:rsidR="00D71595" w:rsidP="006A6B94">
      <w:pPr>
        <w:pStyle w:val="BodyText"/>
      </w:pPr>
    </w:p>
    <w:p w:rsidR="00000000" w:rsidRPr="006A6B94" w:rsidP="006A6B94"/>
    <w:sectPr w:rsidSect="006A6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595" w:rsidP="00D71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95" w:rsidP="006A6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1595" w:rsidP="006A6B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1595" w:rsidP="006A6B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595" w:rsidP="00D715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95" w:rsidP="006A6B94">
    <w:pPr>
      <w:pStyle w:val="Header"/>
      <w:framePr w:wrap="around"/>
    </w:pPr>
    <w:r>
      <w:fldChar w:fldCharType="begin"/>
    </w:r>
    <w:r>
      <w:instrText xml:space="preserve"> TITLE   \* MERGEFORMAT </w:instrText>
    </w:r>
    <w:r>
      <w:fldChar w:fldCharType="separate"/>
    </w:r>
    <w:r>
      <w:t>MEM08009C Make up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1595" w:rsidP="006A6B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0409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A21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B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B94"/>
    <w:pPr>
      <w:spacing w:before="360" w:after="60"/>
      <w:outlineLvl w:val="0"/>
    </w:pPr>
    <w:rPr>
      <w:sz w:val="32"/>
    </w:rPr>
  </w:style>
  <w:style w:type="paragraph" w:styleId="Heading2">
    <w:name w:val="heading 2"/>
    <w:basedOn w:val="HeadingBase"/>
    <w:next w:val="BodyText"/>
    <w:link w:val="Heading2Char"/>
    <w:qFormat/>
    <w:rsid w:val="006A6B94"/>
    <w:pPr>
      <w:keepLines/>
      <w:spacing w:before="240" w:after="120"/>
      <w:outlineLvl w:val="1"/>
    </w:pPr>
    <w:rPr>
      <w:sz w:val="28"/>
      <w:szCs w:val="40"/>
    </w:rPr>
  </w:style>
  <w:style w:type="paragraph" w:styleId="Heading3">
    <w:name w:val="heading 3"/>
    <w:basedOn w:val="HeadingBase"/>
    <w:next w:val="BodyText"/>
    <w:link w:val="Heading3Char"/>
    <w:qFormat/>
    <w:rsid w:val="006A6B94"/>
    <w:pPr>
      <w:spacing w:before="180" w:after="120"/>
      <w:outlineLvl w:val="2"/>
    </w:pPr>
    <w:rPr>
      <w:spacing w:val="-10"/>
      <w:kern w:val="32"/>
    </w:rPr>
  </w:style>
  <w:style w:type="paragraph" w:styleId="Heading4">
    <w:name w:val="heading 4"/>
    <w:basedOn w:val="HeadingBase"/>
    <w:next w:val="BodyText"/>
    <w:link w:val="Heading4Char"/>
    <w:qFormat/>
    <w:rsid w:val="006A6B94"/>
    <w:pPr>
      <w:spacing w:before="160" w:after="120"/>
      <w:outlineLvl w:val="3"/>
    </w:pPr>
    <w:rPr>
      <w:sz w:val="22"/>
    </w:rPr>
  </w:style>
  <w:style w:type="paragraph" w:styleId="Heading5">
    <w:name w:val="heading 5"/>
    <w:basedOn w:val="HeadingBase"/>
    <w:next w:val="Normal"/>
    <w:link w:val="Heading5Char"/>
    <w:qFormat/>
    <w:rsid w:val="006A6B94"/>
    <w:pPr>
      <w:spacing w:before="80"/>
      <w:outlineLvl w:val="4"/>
    </w:pPr>
    <w:rPr>
      <w:color w:val="918585"/>
      <w:sz w:val="20"/>
    </w:rPr>
  </w:style>
  <w:style w:type="paragraph" w:styleId="Heading6">
    <w:name w:val="heading 6"/>
    <w:basedOn w:val="HeadingBase"/>
    <w:next w:val="Normal"/>
    <w:link w:val="Heading6Char"/>
    <w:qFormat/>
    <w:rsid w:val="006A6B94"/>
    <w:pPr>
      <w:spacing w:before="60"/>
      <w:outlineLvl w:val="5"/>
    </w:pPr>
    <w:rPr>
      <w:color w:val="918585"/>
      <w:sz w:val="20"/>
    </w:rPr>
  </w:style>
  <w:style w:type="paragraph" w:styleId="Heading7">
    <w:name w:val="heading 7"/>
    <w:basedOn w:val="Normal"/>
    <w:next w:val="Normal"/>
    <w:link w:val="Heading7Char"/>
    <w:qFormat/>
    <w:rsid w:val="006A6B94"/>
    <w:pPr>
      <w:ind w:left="720"/>
      <w:outlineLvl w:val="6"/>
    </w:pPr>
    <w:rPr>
      <w:i/>
    </w:rPr>
  </w:style>
  <w:style w:type="paragraph" w:styleId="Heading8">
    <w:name w:val="heading 8"/>
    <w:basedOn w:val="Normal"/>
    <w:next w:val="Normal"/>
    <w:link w:val="Heading8Char"/>
    <w:qFormat/>
    <w:rsid w:val="006A6B94"/>
    <w:pPr>
      <w:ind w:left="720"/>
      <w:outlineLvl w:val="7"/>
    </w:pPr>
    <w:rPr>
      <w:i/>
    </w:rPr>
  </w:style>
  <w:style w:type="paragraph" w:styleId="Heading9">
    <w:name w:val="heading 9"/>
    <w:basedOn w:val="Normal"/>
    <w:next w:val="Normal"/>
    <w:link w:val="Heading9Char"/>
    <w:qFormat/>
    <w:rsid w:val="006A6B94"/>
    <w:pPr>
      <w:ind w:left="720"/>
      <w:outlineLvl w:val="8"/>
    </w:pPr>
    <w:rPr>
      <w:i/>
    </w:rPr>
  </w:style>
  <w:style w:type="character" w:default="1" w:styleId="DefaultParagraphFont">
    <w:name w:val="Default Paragraph Font"/>
    <w:uiPriority w:val="1"/>
    <w:unhideWhenUsed/>
    <w:rsid w:val="006A6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B94"/>
  </w:style>
  <w:style w:type="character" w:customStyle="1" w:styleId="Heading1Char">
    <w:name w:val="Heading 1 Char"/>
    <w:basedOn w:val="DefaultParagraphFont"/>
    <w:link w:val="Heading1"/>
    <w:rsid w:val="006A6B94"/>
    <w:rPr>
      <w:rFonts w:ascii="Times New Roman" w:eastAsia="Times New Roman" w:hAnsi="Times New Roman" w:cs="Times New Roman"/>
      <w:b/>
      <w:sz w:val="32"/>
      <w:szCs w:val="20"/>
      <w:lang w:eastAsia="en-US"/>
    </w:rPr>
  </w:style>
  <w:style w:type="paragraph" w:styleId="BodyText">
    <w:name w:val="Body Text"/>
    <w:basedOn w:val="Normal"/>
    <w:link w:val="BodyTextChar"/>
    <w:rsid w:val="006A6B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B94"/>
    <w:rPr>
      <w:rFonts w:ascii="Times New Roman" w:eastAsia="Times New Roman" w:hAnsi="Times New Roman" w:cs="Times New Roman"/>
      <w:sz w:val="24"/>
      <w:lang w:val="en-US" w:eastAsia="en-US"/>
    </w:rPr>
  </w:style>
  <w:style w:type="paragraph" w:styleId="Footer">
    <w:name w:val="footer"/>
    <w:basedOn w:val="Normal"/>
    <w:link w:val="FooterChar"/>
    <w:rsid w:val="006A6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B94"/>
    <w:rPr>
      <w:rFonts w:ascii="Times New Roman" w:eastAsia="Times New Roman" w:hAnsi="Times New Roman" w:cs="Times New Roman"/>
      <w:sz w:val="16"/>
      <w:lang w:val="en-US" w:eastAsia="en-US"/>
    </w:rPr>
  </w:style>
  <w:style w:type="paragraph" w:styleId="List">
    <w:name w:val="List"/>
    <w:basedOn w:val="BodyText"/>
    <w:next w:val="BodyText"/>
    <w:rsid w:val="006A6B94"/>
    <w:pPr>
      <w:tabs>
        <w:tab w:val="left" w:pos="340"/>
      </w:tabs>
      <w:spacing w:before="60" w:after="60"/>
      <w:ind w:left="340" w:hanging="340"/>
    </w:pPr>
  </w:style>
  <w:style w:type="paragraph" w:styleId="ListBullet">
    <w:name w:val="List Bullet"/>
    <w:basedOn w:val="List"/>
    <w:rsid w:val="006A6B94"/>
    <w:pPr>
      <w:numPr>
        <w:numId w:val="12"/>
      </w:numPr>
      <w:tabs>
        <w:tab w:val="clear" w:pos="340"/>
      </w:tabs>
      <w:spacing w:before="40" w:after="40"/>
    </w:pPr>
  </w:style>
  <w:style w:type="character" w:customStyle="1" w:styleId="SpecialBold">
    <w:name w:val="Special Bold"/>
    <w:basedOn w:val="DefaultParagraphFont"/>
    <w:rsid w:val="006A6B94"/>
    <w:rPr>
      <w:b/>
      <w:spacing w:val="0"/>
    </w:rPr>
  </w:style>
  <w:style w:type="paragraph" w:styleId="Header">
    <w:name w:val="header"/>
    <w:basedOn w:val="Normal"/>
    <w:link w:val="HeaderChar"/>
    <w:rsid w:val="006A6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B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B94"/>
    <w:pPr>
      <w:spacing w:before="240" w:after="120"/>
      <w:outlineLvl w:val="0"/>
    </w:pPr>
    <w:rPr>
      <w:rFonts w:ascii="Times New Roman" w:hAnsi="Times New Roman"/>
      <w:b/>
      <w:sz w:val="28"/>
    </w:rPr>
  </w:style>
  <w:style w:type="paragraph" w:customStyle="1" w:styleId="AllowPageBreak">
    <w:name w:val="AllowPageBreak"/>
    <w:rsid w:val="006A6B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B94"/>
    <w:pPr>
      <w:tabs>
        <w:tab w:val="left" w:pos="680"/>
      </w:tabs>
      <w:spacing w:before="60" w:after="60"/>
      <w:ind w:left="680" w:hanging="340"/>
    </w:pPr>
  </w:style>
  <w:style w:type="character" w:customStyle="1" w:styleId="Heading2Char">
    <w:name w:val="Heading 2 Char"/>
    <w:basedOn w:val="DefaultParagraphFont"/>
    <w:link w:val="Heading2"/>
    <w:rsid w:val="006A6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B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B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B94"/>
    <w:rPr>
      <w:rFonts w:ascii="Courier New" w:eastAsia="Times New Roman" w:hAnsi="Courier New" w:cs="Times New Roman"/>
      <w:i/>
      <w:szCs w:val="20"/>
      <w:lang w:val="en-US" w:eastAsia="en-US"/>
    </w:rPr>
  </w:style>
  <w:style w:type="paragraph" w:customStyle="1" w:styleId="HeadingBase">
    <w:name w:val="Heading Base"/>
    <w:rsid w:val="006A6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B94"/>
    <w:pPr>
      <w:tabs>
        <w:tab w:val="right" w:leader="dot" w:pos="9072"/>
      </w:tabs>
      <w:ind w:left="567"/>
    </w:pPr>
    <w:rPr>
      <w:szCs w:val="22"/>
    </w:rPr>
  </w:style>
  <w:style w:type="paragraph" w:customStyle="1" w:styleId="TOCBase">
    <w:name w:val="TOC Base"/>
    <w:rsid w:val="006A6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B94"/>
    <w:pPr>
      <w:tabs>
        <w:tab w:val="right" w:leader="dot" w:pos="9072"/>
      </w:tabs>
      <w:spacing w:before="40" w:after="40"/>
      <w:ind w:left="284"/>
    </w:pPr>
    <w:rPr>
      <w:rFonts w:ascii="Times New Roman" w:hAnsi="Times New Roman"/>
    </w:rPr>
  </w:style>
  <w:style w:type="paragraph" w:styleId="TOC1">
    <w:name w:val="toc 1"/>
    <w:basedOn w:val="TOCBase"/>
    <w:next w:val="Normal"/>
    <w:rsid w:val="006A6B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B94"/>
    <w:pPr>
      <w:spacing w:before="5040"/>
      <w:jc w:val="center"/>
    </w:pPr>
    <w:rPr>
      <w:sz w:val="48"/>
      <w:szCs w:val="72"/>
      <w:lang w:val="en-US"/>
    </w:rPr>
  </w:style>
  <w:style w:type="character" w:customStyle="1" w:styleId="TitleChar">
    <w:name w:val="Title Char"/>
    <w:basedOn w:val="DefaultParagraphFont"/>
    <w:link w:val="Title"/>
    <w:rsid w:val="006A6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B94"/>
    <w:pPr>
      <w:tabs>
        <w:tab w:val="left" w:pos="3600"/>
        <w:tab w:val="left" w:pos="3958"/>
      </w:tabs>
    </w:pPr>
  </w:style>
  <w:style w:type="paragraph" w:customStyle="1" w:styleId="Note">
    <w:name w:val="Note"/>
    <w:basedOn w:val="BodyText"/>
    <w:rsid w:val="006A6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B94"/>
    <w:pPr>
      <w:framePr w:wrap="auto" w:hAnchor="text" w:y="6049"/>
    </w:pPr>
    <w:rPr>
      <w:color w:val="000000"/>
      <w:sz w:val="40"/>
    </w:rPr>
  </w:style>
  <w:style w:type="paragraph" w:customStyle="1" w:styleId="TOCTitle">
    <w:name w:val="TOCTitle"/>
    <w:basedOn w:val="Heading1"/>
    <w:rsid w:val="006A6B94"/>
    <w:pPr>
      <w:spacing w:after="240"/>
      <w:jc w:val="center"/>
      <w:outlineLvl w:val="9"/>
    </w:pPr>
    <w:rPr>
      <w:caps/>
    </w:rPr>
  </w:style>
  <w:style w:type="paragraph" w:customStyle="1" w:styleId="Version">
    <w:name w:val="Version"/>
    <w:rsid w:val="006A6B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B94"/>
    <w:pPr>
      <w:numPr>
        <w:numId w:val="13"/>
      </w:numPr>
      <w:tabs>
        <w:tab w:val="clear" w:pos="680"/>
      </w:tabs>
    </w:pPr>
  </w:style>
  <w:style w:type="paragraph" w:styleId="Index1">
    <w:name w:val="index 1"/>
    <w:basedOn w:val="Normal"/>
    <w:next w:val="Normal"/>
    <w:semiHidden/>
    <w:rsid w:val="006A6B94"/>
    <w:pPr>
      <w:keepNext w:val="0"/>
      <w:tabs>
        <w:tab w:val="right" w:pos="4176"/>
      </w:tabs>
      <w:ind w:left="198" w:hanging="198"/>
    </w:pPr>
    <w:rPr>
      <w:rFonts w:ascii="Garamond" w:hAnsi="Garamond"/>
    </w:rPr>
  </w:style>
  <w:style w:type="paragraph" w:styleId="IndexHeading">
    <w:name w:val="index heading"/>
    <w:basedOn w:val="Normal"/>
    <w:next w:val="Index1"/>
    <w:semiHidden/>
    <w:rsid w:val="006A6B94"/>
    <w:pPr>
      <w:spacing w:before="120" w:after="120"/>
    </w:pPr>
    <w:rPr>
      <w:rFonts w:ascii="Arial" w:hAnsi="Arial"/>
      <w:b/>
      <w:color w:val="918585"/>
      <w:sz w:val="24"/>
    </w:rPr>
  </w:style>
  <w:style w:type="paragraph" w:customStyle="1" w:styleId="Chapter">
    <w:name w:val="Chapter"/>
    <w:basedOn w:val="Normal"/>
    <w:rsid w:val="006A6B94"/>
    <w:pPr>
      <w:spacing w:before="240"/>
    </w:pPr>
    <w:rPr>
      <w:rFonts w:ascii="Times New Roman" w:hAnsi="Times New Roman"/>
      <w:smallCaps/>
      <w:spacing w:val="80"/>
      <w:sz w:val="28"/>
    </w:rPr>
  </w:style>
  <w:style w:type="paragraph" w:customStyle="1" w:styleId="InChapter">
    <w:name w:val="InChapter"/>
    <w:basedOn w:val="Heading3"/>
    <w:rsid w:val="006A6B94"/>
    <w:pPr>
      <w:spacing w:after="240"/>
      <w:outlineLvl w:val="9"/>
    </w:pPr>
    <w:rPr>
      <w:noProof/>
    </w:rPr>
  </w:style>
  <w:style w:type="paragraph" w:styleId="Index2">
    <w:name w:val="index 2"/>
    <w:basedOn w:val="Normal"/>
    <w:next w:val="Normal"/>
    <w:semiHidden/>
    <w:rsid w:val="006A6B94"/>
    <w:pPr>
      <w:tabs>
        <w:tab w:val="right" w:pos="4176"/>
      </w:tabs>
      <w:ind w:left="568" w:hanging="284"/>
    </w:pPr>
    <w:rPr>
      <w:rFonts w:ascii="Garamond" w:hAnsi="Garamond"/>
    </w:rPr>
  </w:style>
  <w:style w:type="paragraph" w:customStyle="1" w:styleId="Byline">
    <w:name w:val="Byline"/>
    <w:rsid w:val="006A6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B94"/>
    <w:pPr>
      <w:tabs>
        <w:tab w:val="clear" w:pos="3600"/>
        <w:tab w:val="clear" w:pos="3958"/>
      </w:tabs>
      <w:jc w:val="right"/>
    </w:pPr>
  </w:style>
  <w:style w:type="character" w:styleId="Emphasis">
    <w:name w:val="Emphasis"/>
    <w:basedOn w:val="DefaultParagraphFont"/>
    <w:qFormat/>
    <w:rsid w:val="006A6B94"/>
    <w:rPr>
      <w:i/>
    </w:rPr>
  </w:style>
  <w:style w:type="paragraph" w:styleId="Caption">
    <w:name w:val="caption"/>
    <w:basedOn w:val="BodyText"/>
    <w:next w:val="Normal"/>
    <w:qFormat/>
    <w:rsid w:val="006A6B94"/>
    <w:pPr>
      <w:framePr w:w="2268" w:hSpace="181" w:vSpace="181" w:wrap="around" w:vAnchor="text" w:hAnchor="page" w:x="1135" w:y="285" w:anchorLock="1"/>
    </w:pPr>
    <w:rPr>
      <w:i/>
    </w:rPr>
  </w:style>
  <w:style w:type="paragraph" w:customStyle="1" w:styleId="MiniTOCTitle">
    <w:name w:val="MiniTOCTitle"/>
    <w:basedOn w:val="Heading4"/>
    <w:rsid w:val="006A6B94"/>
    <w:pPr>
      <w:spacing w:before="240"/>
      <w:outlineLvl w:val="9"/>
    </w:pPr>
    <w:rPr>
      <w:noProof/>
      <w:sz w:val="24"/>
    </w:rPr>
  </w:style>
  <w:style w:type="paragraph" w:customStyle="1" w:styleId="MiniTOCItem">
    <w:name w:val="MiniTOCItem"/>
    <w:basedOn w:val="ListBullet"/>
    <w:rsid w:val="006A6B94"/>
    <w:pPr>
      <w:numPr>
        <w:numId w:val="0"/>
      </w:numPr>
      <w:tabs>
        <w:tab w:val="right" w:leader="dot" w:pos="6521"/>
      </w:tabs>
      <w:spacing w:before="0" w:after="0"/>
    </w:pPr>
  </w:style>
  <w:style w:type="paragraph" w:customStyle="1" w:styleId="TOFTitle">
    <w:name w:val="TOFTitle"/>
    <w:basedOn w:val="TOCTitle"/>
    <w:rsid w:val="006A6B94"/>
  </w:style>
  <w:style w:type="paragraph" w:styleId="TableofFigures">
    <w:name w:val="table of figures"/>
    <w:basedOn w:val="Normal"/>
    <w:next w:val="Normal"/>
    <w:semiHidden/>
    <w:rsid w:val="006A6B94"/>
    <w:pPr>
      <w:tabs>
        <w:tab w:val="right" w:leader="dot" w:pos="9072"/>
      </w:tabs>
      <w:ind w:left="970" w:hanging="403"/>
    </w:pPr>
    <w:rPr>
      <w:rFonts w:ascii="Times New Roman" w:hAnsi="Times New Roman"/>
      <w:b/>
    </w:rPr>
  </w:style>
  <w:style w:type="paragraph" w:styleId="ListNumber">
    <w:name w:val="List Number"/>
    <w:basedOn w:val="List"/>
    <w:rsid w:val="006A6B94"/>
    <w:pPr>
      <w:numPr>
        <w:numId w:val="10"/>
      </w:numPr>
    </w:pPr>
  </w:style>
  <w:style w:type="character" w:customStyle="1" w:styleId="WingdingSymbols">
    <w:name w:val="Wingding Symbols"/>
    <w:rsid w:val="006A6B94"/>
    <w:rPr>
      <w:rFonts w:ascii="Wingdings" w:hAnsi="Wingdings"/>
    </w:rPr>
  </w:style>
  <w:style w:type="paragraph" w:customStyle="1" w:styleId="TableHeading">
    <w:name w:val="Table Heading"/>
    <w:basedOn w:val="HeadingBase"/>
    <w:rsid w:val="006A6B94"/>
    <w:pPr>
      <w:keepLines/>
      <w:pBdr>
        <w:bottom w:val="single" w:sz="6" w:space="1" w:color="918585"/>
      </w:pBdr>
      <w:spacing w:before="240"/>
    </w:pPr>
  </w:style>
  <w:style w:type="character" w:customStyle="1" w:styleId="HotSpot">
    <w:name w:val="HotSpot"/>
    <w:rsid w:val="006A6B94"/>
    <w:rPr>
      <w:color w:val="0033CC"/>
      <w:u w:val="none"/>
    </w:rPr>
  </w:style>
  <w:style w:type="paragraph" w:customStyle="1" w:styleId="BodyTextRight">
    <w:name w:val="Body Text Right"/>
    <w:basedOn w:val="BodyText"/>
    <w:rsid w:val="006A6B94"/>
    <w:pPr>
      <w:spacing w:before="0" w:after="0"/>
      <w:jc w:val="right"/>
    </w:pPr>
  </w:style>
  <w:style w:type="paragraph" w:styleId="Index3">
    <w:name w:val="index 3"/>
    <w:basedOn w:val="ListNumber2"/>
    <w:next w:val="Normal"/>
    <w:semiHidden/>
    <w:rsid w:val="006A6B94"/>
    <w:pPr>
      <w:numPr>
        <w:numId w:val="0"/>
      </w:numPr>
      <w:tabs>
        <w:tab w:val="right" w:leader="dot" w:pos="4176"/>
      </w:tabs>
    </w:pPr>
  </w:style>
  <w:style w:type="paragraph" w:styleId="ListNumber2">
    <w:name w:val="List Number 2"/>
    <w:basedOn w:val="List2"/>
    <w:rsid w:val="006A6B94"/>
    <w:pPr>
      <w:numPr>
        <w:numId w:val="9"/>
      </w:numPr>
      <w:tabs>
        <w:tab w:val="clear" w:pos="1060"/>
      </w:tabs>
    </w:pPr>
  </w:style>
  <w:style w:type="paragraph" w:customStyle="1" w:styleId="MarginNote">
    <w:name w:val="Margin Note"/>
    <w:basedOn w:val="BodyText"/>
    <w:rsid w:val="006A6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B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B94"/>
    <w:rPr>
      <w:sz w:val="32"/>
    </w:rPr>
  </w:style>
  <w:style w:type="paragraph" w:customStyle="1" w:styleId="HeadingProcedure">
    <w:name w:val="Heading Procedure"/>
    <w:basedOn w:val="HeadingBase"/>
    <w:next w:val="Normal"/>
    <w:rsid w:val="006A6B94"/>
    <w:pPr>
      <w:tabs>
        <w:tab w:val="left" w:pos="0"/>
      </w:tabs>
      <w:spacing w:before="120" w:after="60"/>
    </w:pPr>
    <w:rPr>
      <w:i/>
      <w:color w:val="918585"/>
      <w:sz w:val="22"/>
    </w:rPr>
  </w:style>
  <w:style w:type="paragraph" w:customStyle="1" w:styleId="TableBodyText">
    <w:name w:val="Table Body Text"/>
    <w:basedOn w:val="BodyText"/>
    <w:rsid w:val="006A6B94"/>
    <w:pPr>
      <w:spacing w:before="60" w:after="60"/>
    </w:pPr>
  </w:style>
  <w:style w:type="paragraph" w:styleId="ListContinue">
    <w:name w:val="List Continue"/>
    <w:basedOn w:val="List"/>
    <w:rsid w:val="006A6B94"/>
    <w:pPr>
      <w:ind w:firstLine="0"/>
    </w:pPr>
  </w:style>
  <w:style w:type="paragraph" w:customStyle="1" w:styleId="ListNote">
    <w:name w:val="List Note"/>
    <w:basedOn w:val="List"/>
    <w:rsid w:val="006A6B94"/>
    <w:pPr>
      <w:pBdr>
        <w:top w:val="single" w:sz="6" w:space="2" w:color="918585"/>
        <w:bottom w:val="single" w:sz="6" w:space="2" w:color="918585"/>
      </w:pBdr>
      <w:tabs>
        <w:tab w:val="left" w:pos="1021"/>
      </w:tabs>
      <w:ind w:firstLine="0"/>
    </w:pPr>
  </w:style>
  <w:style w:type="paragraph" w:customStyle="1" w:styleId="Warning">
    <w:name w:val="Warning"/>
    <w:basedOn w:val="BodyText"/>
    <w:rsid w:val="006A6B94"/>
    <w:pPr>
      <w:shd w:val="clear" w:color="auto" w:fill="D9D9D9"/>
      <w:tabs>
        <w:tab w:val="left" w:pos="992"/>
      </w:tabs>
      <w:ind w:left="119" w:right="119"/>
    </w:pPr>
    <w:rPr>
      <w:sz w:val="20"/>
    </w:rPr>
  </w:style>
  <w:style w:type="paragraph" w:customStyle="1" w:styleId="MarginIcons">
    <w:name w:val="Margin Icons"/>
    <w:basedOn w:val="BodyText"/>
    <w:rsid w:val="006A6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B94"/>
    <w:rPr>
      <w:rFonts w:ascii="Courier New" w:hAnsi="Courier New"/>
    </w:rPr>
  </w:style>
  <w:style w:type="paragraph" w:customStyle="1" w:styleId="NoteBullet">
    <w:name w:val="Note Bullet"/>
    <w:basedOn w:val="Note"/>
    <w:rsid w:val="006A6B94"/>
    <w:pPr>
      <w:tabs>
        <w:tab w:val="clear" w:pos="680"/>
      </w:tabs>
      <w:spacing w:before="60" w:after="60"/>
    </w:pPr>
  </w:style>
  <w:style w:type="paragraph" w:customStyle="1" w:styleId="SubHeading2">
    <w:name w:val="SubHeading2"/>
    <w:basedOn w:val="HeadingBase"/>
    <w:rsid w:val="006A6B94"/>
    <w:pPr>
      <w:spacing w:before="240" w:after="60"/>
    </w:pPr>
    <w:rPr>
      <w:sz w:val="20"/>
    </w:rPr>
  </w:style>
  <w:style w:type="paragraph" w:customStyle="1" w:styleId="SubHeading1">
    <w:name w:val="SubHeading1"/>
    <w:basedOn w:val="HeadingBase"/>
    <w:rsid w:val="006A6B94"/>
    <w:pPr>
      <w:spacing w:before="240" w:after="60"/>
    </w:pPr>
    <w:rPr>
      <w:color w:val="918585"/>
      <w:sz w:val="22"/>
    </w:rPr>
  </w:style>
  <w:style w:type="paragraph" w:customStyle="1" w:styleId="SideHeading">
    <w:name w:val="Side Heading"/>
    <w:basedOn w:val="HeadingBase"/>
    <w:rsid w:val="006A6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B94"/>
    <w:pPr>
      <w:tabs>
        <w:tab w:val="num" w:pos="360"/>
      </w:tabs>
    </w:pPr>
  </w:style>
  <w:style w:type="paragraph" w:styleId="PlainText">
    <w:name w:val="Plain Text"/>
    <w:basedOn w:val="Normal"/>
    <w:link w:val="PlainTextChar"/>
    <w:rsid w:val="006A6B94"/>
    <w:rPr>
      <w:sz w:val="20"/>
    </w:rPr>
  </w:style>
  <w:style w:type="character" w:customStyle="1" w:styleId="PlainTextChar">
    <w:name w:val="Plain Text Char"/>
    <w:basedOn w:val="DefaultParagraphFont"/>
    <w:link w:val="PlainText"/>
    <w:rsid w:val="006A6B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B94"/>
    <w:rPr>
      <w:b/>
      <w:smallCaps/>
    </w:rPr>
  </w:style>
  <w:style w:type="paragraph" w:customStyle="1" w:styleId="TableListNumber">
    <w:name w:val="Table List Number"/>
    <w:basedOn w:val="ListNumber"/>
    <w:rsid w:val="006A6B94"/>
    <w:pPr>
      <w:numPr>
        <w:numId w:val="0"/>
      </w:numPr>
    </w:pPr>
  </w:style>
  <w:style w:type="paragraph" w:styleId="TOC4">
    <w:name w:val="toc 4"/>
    <w:basedOn w:val="TOCBase"/>
    <w:next w:val="Normal"/>
    <w:semiHidden/>
    <w:rsid w:val="006A6B94"/>
    <w:pPr>
      <w:tabs>
        <w:tab w:val="right" w:leader="dot" w:pos="9071"/>
      </w:tabs>
      <w:ind w:left="1701"/>
    </w:pPr>
  </w:style>
  <w:style w:type="paragraph" w:customStyle="1" w:styleId="ListAlpha">
    <w:name w:val="List Alpha"/>
    <w:basedOn w:val="List"/>
    <w:rsid w:val="006A6B94"/>
    <w:pPr>
      <w:numPr>
        <w:numId w:val="8"/>
      </w:numPr>
    </w:pPr>
  </w:style>
  <w:style w:type="paragraph" w:customStyle="1" w:styleId="ListAlpha2">
    <w:name w:val="List Alpha 2"/>
    <w:basedOn w:val="List2"/>
    <w:rsid w:val="006A6B94"/>
    <w:pPr>
      <w:numPr>
        <w:numId w:val="7"/>
      </w:numPr>
    </w:pPr>
  </w:style>
  <w:style w:type="paragraph" w:styleId="List3">
    <w:name w:val="List 3"/>
    <w:basedOn w:val="BodyText"/>
    <w:rsid w:val="006A6B94"/>
    <w:pPr>
      <w:tabs>
        <w:tab w:val="left" w:pos="1021"/>
      </w:tabs>
      <w:spacing w:before="60" w:after="60"/>
      <w:ind w:left="1020" w:hanging="340"/>
    </w:pPr>
  </w:style>
  <w:style w:type="paragraph" w:styleId="List4">
    <w:name w:val="List 4"/>
    <w:basedOn w:val="BodyText"/>
    <w:rsid w:val="006A6B94"/>
    <w:pPr>
      <w:tabs>
        <w:tab w:val="left" w:pos="1361"/>
      </w:tabs>
      <w:spacing w:before="60" w:after="60"/>
      <w:ind w:left="1361" w:hanging="340"/>
    </w:pPr>
  </w:style>
  <w:style w:type="paragraph" w:styleId="List5">
    <w:name w:val="List 5"/>
    <w:basedOn w:val="BodyText"/>
    <w:rsid w:val="006A6B94"/>
    <w:pPr>
      <w:tabs>
        <w:tab w:val="left" w:pos="1701"/>
      </w:tabs>
      <w:spacing w:before="60" w:after="60"/>
      <w:ind w:left="1701" w:hanging="340"/>
    </w:pPr>
  </w:style>
  <w:style w:type="paragraph" w:styleId="ListBullet3">
    <w:name w:val="List Bullet 3"/>
    <w:basedOn w:val="List3"/>
    <w:rsid w:val="006A6B94"/>
    <w:pPr>
      <w:numPr>
        <w:numId w:val="14"/>
      </w:numPr>
      <w:tabs>
        <w:tab w:val="clear" w:pos="1021"/>
      </w:tabs>
      <w:ind w:left="1037" w:hanging="357"/>
    </w:pPr>
  </w:style>
  <w:style w:type="paragraph" w:styleId="ListBullet4">
    <w:name w:val="List Bullet 4"/>
    <w:basedOn w:val="List4"/>
    <w:rsid w:val="006A6B94"/>
    <w:pPr>
      <w:numPr>
        <w:numId w:val="2"/>
      </w:numPr>
    </w:pPr>
  </w:style>
  <w:style w:type="paragraph" w:styleId="ListBullet5">
    <w:name w:val="List Bullet 5"/>
    <w:basedOn w:val="List5"/>
    <w:rsid w:val="006A6B94"/>
    <w:pPr>
      <w:numPr>
        <w:numId w:val="3"/>
      </w:numPr>
    </w:pPr>
  </w:style>
  <w:style w:type="paragraph" w:styleId="ListContinue2">
    <w:name w:val="List Continue 2"/>
    <w:basedOn w:val="List2"/>
    <w:rsid w:val="006A6B94"/>
    <w:pPr>
      <w:ind w:firstLine="0"/>
    </w:pPr>
  </w:style>
  <w:style w:type="paragraph" w:styleId="ListContinue3">
    <w:name w:val="List Continue 3"/>
    <w:basedOn w:val="List3"/>
    <w:rsid w:val="006A6B94"/>
    <w:pPr>
      <w:ind w:left="1021" w:firstLine="0"/>
    </w:pPr>
  </w:style>
  <w:style w:type="paragraph" w:styleId="ListContinue4">
    <w:name w:val="List Continue 4"/>
    <w:basedOn w:val="List4"/>
    <w:rsid w:val="006A6B94"/>
    <w:pPr>
      <w:ind w:firstLine="0"/>
    </w:pPr>
  </w:style>
  <w:style w:type="paragraph" w:styleId="ListContinue5">
    <w:name w:val="List Continue 5"/>
    <w:basedOn w:val="List5"/>
    <w:rsid w:val="006A6B94"/>
    <w:pPr>
      <w:ind w:firstLine="0"/>
    </w:pPr>
  </w:style>
  <w:style w:type="paragraph" w:styleId="ListNumber3">
    <w:name w:val="List Number 3"/>
    <w:basedOn w:val="List3"/>
    <w:rsid w:val="006A6B94"/>
    <w:pPr>
      <w:numPr>
        <w:numId w:val="4"/>
      </w:numPr>
    </w:pPr>
  </w:style>
  <w:style w:type="paragraph" w:styleId="ListNumber4">
    <w:name w:val="List Number 4"/>
    <w:basedOn w:val="List4"/>
    <w:rsid w:val="006A6B94"/>
    <w:pPr>
      <w:numPr>
        <w:numId w:val="5"/>
      </w:numPr>
    </w:pPr>
  </w:style>
  <w:style w:type="paragraph" w:styleId="ListNumber5">
    <w:name w:val="List Number 5"/>
    <w:basedOn w:val="List5"/>
    <w:rsid w:val="006A6B94"/>
    <w:pPr>
      <w:numPr>
        <w:numId w:val="6"/>
      </w:numPr>
    </w:pPr>
  </w:style>
  <w:style w:type="paragraph" w:styleId="BlockText">
    <w:name w:val="Block Text"/>
    <w:basedOn w:val="Normal"/>
    <w:rsid w:val="006A6B94"/>
    <w:pPr>
      <w:spacing w:after="120"/>
      <w:ind w:left="1440" w:right="1440"/>
    </w:pPr>
  </w:style>
  <w:style w:type="character" w:customStyle="1" w:styleId="Subscript">
    <w:name w:val="Subscript"/>
    <w:basedOn w:val="DefaultParagraphFont"/>
    <w:rsid w:val="006A6B94"/>
    <w:rPr>
      <w:sz w:val="16"/>
      <w:vertAlign w:val="subscript"/>
    </w:rPr>
  </w:style>
  <w:style w:type="character" w:customStyle="1" w:styleId="Superscript">
    <w:name w:val="Superscript"/>
    <w:basedOn w:val="DefaultParagraphFont"/>
    <w:rsid w:val="006A6B94"/>
    <w:rPr>
      <w:sz w:val="16"/>
      <w:vertAlign w:val="superscript"/>
    </w:rPr>
  </w:style>
  <w:style w:type="character" w:customStyle="1" w:styleId="Symbols">
    <w:name w:val="Symbols"/>
    <w:basedOn w:val="DefaultParagraphFont"/>
    <w:rsid w:val="006A6B94"/>
    <w:rPr>
      <w:rFonts w:ascii="Symbol" w:hAnsi="Symbol"/>
    </w:rPr>
  </w:style>
  <w:style w:type="character" w:customStyle="1" w:styleId="MenuOptions">
    <w:name w:val="Menu Options"/>
    <w:basedOn w:val="DefaultParagraphFont"/>
    <w:rsid w:val="006A6B94"/>
    <w:rPr>
      <w:rFonts w:ascii="Arial Narrow" w:hAnsi="Arial Narrow"/>
      <w:smallCaps/>
    </w:rPr>
  </w:style>
  <w:style w:type="character" w:customStyle="1" w:styleId="Buttons">
    <w:name w:val="Buttons"/>
    <w:basedOn w:val="DefaultParagraphFont"/>
    <w:rsid w:val="006A6B94"/>
    <w:rPr>
      <w:b/>
    </w:rPr>
  </w:style>
  <w:style w:type="character" w:customStyle="1" w:styleId="Underlined">
    <w:name w:val="Underlined"/>
    <w:basedOn w:val="DefaultParagraphFont"/>
    <w:rsid w:val="006A6B94"/>
    <w:rPr>
      <w:u w:val="single"/>
    </w:rPr>
  </w:style>
  <w:style w:type="paragraph" w:customStyle="1" w:styleId="TableBodyTextRight">
    <w:name w:val="Table Body Text Right"/>
    <w:basedOn w:val="TableBodyText"/>
    <w:rsid w:val="006A6B94"/>
    <w:pPr>
      <w:widowControl w:val="0"/>
      <w:autoSpaceDE w:val="0"/>
      <w:autoSpaceDN w:val="0"/>
      <w:adjustRightInd w:val="0"/>
      <w:jc w:val="right"/>
    </w:pPr>
    <w:rPr>
      <w:rFonts w:cs="Arial"/>
      <w:szCs w:val="18"/>
    </w:rPr>
  </w:style>
  <w:style w:type="paragraph" w:customStyle="1" w:styleId="CopyrightText">
    <w:name w:val="Copyright Text"/>
    <w:basedOn w:val="BodyText"/>
    <w:rsid w:val="006A6B94"/>
    <w:rPr>
      <w:sz w:val="18"/>
    </w:rPr>
  </w:style>
  <w:style w:type="paragraph" w:customStyle="1" w:styleId="BodySmallRight">
    <w:name w:val="Body Small Right"/>
    <w:basedOn w:val="BodyTextRight"/>
    <w:rsid w:val="006A6B94"/>
    <w:rPr>
      <w:sz w:val="18"/>
      <w:szCs w:val="18"/>
    </w:rPr>
  </w:style>
  <w:style w:type="paragraph" w:customStyle="1" w:styleId="MarginEdition">
    <w:name w:val="Margin Edition"/>
    <w:basedOn w:val="MarginNote"/>
    <w:rsid w:val="006A6B94"/>
    <w:pPr>
      <w:spacing w:before="0" w:after="0"/>
    </w:pPr>
    <w:rPr>
      <w:rFonts w:ascii="Times New Roman" w:hAnsi="Times New Roman"/>
      <w:color w:val="999999"/>
    </w:rPr>
  </w:style>
  <w:style w:type="paragraph" w:customStyle="1" w:styleId="Spacer">
    <w:name w:val="Spacer"/>
    <w:basedOn w:val="Normal"/>
    <w:rsid w:val="006A6B94"/>
    <w:rPr>
      <w:sz w:val="2"/>
      <w:szCs w:val="2"/>
    </w:rPr>
  </w:style>
  <w:style w:type="character" w:customStyle="1" w:styleId="Small">
    <w:name w:val="Small"/>
    <w:basedOn w:val="DefaultParagraphFont"/>
    <w:rsid w:val="006A6B94"/>
    <w:rPr>
      <w:sz w:val="16"/>
    </w:rPr>
  </w:style>
  <w:style w:type="paragraph" w:customStyle="1" w:styleId="WideTable">
    <w:name w:val="Wide Table"/>
    <w:basedOn w:val="Normal"/>
    <w:rsid w:val="006A6B94"/>
    <w:pPr>
      <w:ind w:left="-1418"/>
    </w:pPr>
    <w:rPr>
      <w:sz w:val="2"/>
      <w:szCs w:val="2"/>
    </w:rPr>
  </w:style>
  <w:style w:type="character" w:styleId="PageNumber">
    <w:name w:val="page number"/>
    <w:basedOn w:val="DefaultParagraphFont"/>
    <w:rsid w:val="006A6B94"/>
  </w:style>
  <w:style w:type="paragraph" w:styleId="Quote">
    <w:name w:val="Quote"/>
    <w:basedOn w:val="Heading1"/>
    <w:link w:val="QuoteChar"/>
    <w:qFormat/>
    <w:rsid w:val="006A6B94"/>
    <w:rPr>
      <w:b w:val="0"/>
      <w:sz w:val="72"/>
      <w:szCs w:val="72"/>
      <w:lang w:val="en-NZ"/>
    </w:rPr>
  </w:style>
  <w:style w:type="character" w:customStyle="1" w:styleId="QuoteChar">
    <w:name w:val="Quote Char"/>
    <w:basedOn w:val="DefaultParagraphFont"/>
    <w:link w:val="Quote"/>
    <w:rsid w:val="006A6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B94"/>
    <w:pPr>
      <w:pageBreakBefore/>
    </w:pPr>
  </w:style>
  <w:style w:type="paragraph" w:customStyle="1" w:styleId="Border">
    <w:name w:val="Border"/>
    <w:basedOn w:val="Normal"/>
    <w:qFormat/>
    <w:rsid w:val="006A6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B94"/>
    <w:rPr>
      <w:b/>
      <w:bCs/>
      <w:i/>
      <w:iCs/>
      <w:color w:val="auto"/>
    </w:rPr>
  </w:style>
  <w:style w:type="paragraph" w:styleId="IntenseQuote">
    <w:name w:val="Intense Quote"/>
    <w:basedOn w:val="Normal"/>
    <w:next w:val="Normal"/>
    <w:link w:val="IntenseQuoteChar"/>
    <w:uiPriority w:val="30"/>
    <w:qFormat/>
    <w:rsid w:val="006A6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B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B94"/>
    <w:rPr>
      <w:smallCaps/>
      <w:color w:val="auto"/>
      <w:u w:val="single"/>
    </w:rPr>
  </w:style>
  <w:style w:type="character" w:styleId="IntenseReference">
    <w:name w:val="Intense Reference"/>
    <w:basedOn w:val="DefaultParagraphFont"/>
    <w:uiPriority w:val="32"/>
    <w:qFormat/>
    <w:rsid w:val="006A6B94"/>
    <w:rPr>
      <w:b/>
      <w:bCs/>
      <w:smallCaps/>
      <w:color w:val="auto"/>
      <w:spacing w:val="5"/>
      <w:u w:val="single"/>
    </w:rPr>
  </w:style>
  <w:style w:type="paragraph" w:customStyle="1" w:styleId="2ColumnHeading">
    <w:name w:val="2Column Heading"/>
    <w:basedOn w:val="BodyText"/>
    <w:qFormat/>
    <w:rsid w:val="006A6B94"/>
    <w:pPr>
      <w:spacing w:after="60"/>
      <w:ind w:left="-2268"/>
    </w:pPr>
    <w:rPr>
      <w:b/>
    </w:rPr>
  </w:style>
  <w:style w:type="paragraph" w:customStyle="1" w:styleId="Heading1TOC">
    <w:name w:val="Heading1 TOC"/>
    <w:basedOn w:val="Normal"/>
    <w:qFormat/>
    <w:rsid w:val="006A6B94"/>
    <w:pPr>
      <w:spacing w:before="240" w:after="120"/>
    </w:pPr>
    <w:rPr>
      <w:rFonts w:ascii="Times New Roman" w:hAnsi="Times New Roman"/>
      <w:b/>
      <w:sz w:val="32"/>
    </w:rPr>
  </w:style>
  <w:style w:type="paragraph" w:customStyle="1" w:styleId="Heading2TOC">
    <w:name w:val="Heading2 TOC"/>
    <w:basedOn w:val="Normal"/>
    <w:qFormat/>
    <w:rsid w:val="006A6B94"/>
    <w:pPr>
      <w:spacing w:before="240" w:after="60"/>
    </w:pPr>
    <w:rPr>
      <w:rFonts w:ascii="Times New Roman" w:hAnsi="Times New Roman"/>
      <w:b/>
      <w:sz w:val="28"/>
    </w:rPr>
  </w:style>
  <w:style w:type="character" w:customStyle="1" w:styleId="Underline">
    <w:name w:val="Underline"/>
    <w:basedOn w:val="DefaultParagraphFont"/>
    <w:qFormat/>
    <w:rsid w:val="006A6B94"/>
    <w:rPr>
      <w:u w:val="single"/>
    </w:rPr>
  </w:style>
  <w:style w:type="character" w:customStyle="1" w:styleId="BoldandItalics">
    <w:name w:val="Bold and Italics"/>
    <w:qFormat/>
    <w:rsid w:val="006A6B94"/>
    <w:rPr>
      <w:b/>
      <w:i/>
      <w:u w:val="none"/>
    </w:rPr>
  </w:style>
  <w:style w:type="paragraph" w:styleId="BalloonText">
    <w:name w:val="Balloon Text"/>
    <w:basedOn w:val="Normal"/>
    <w:link w:val="BalloonTextChar"/>
    <w:rsid w:val="006A6B94"/>
    <w:rPr>
      <w:rFonts w:ascii="Tahoma" w:hAnsi="Tahoma" w:cs="Tahoma"/>
      <w:sz w:val="16"/>
      <w:szCs w:val="16"/>
    </w:rPr>
  </w:style>
  <w:style w:type="character" w:customStyle="1" w:styleId="BalloonTextChar">
    <w:name w:val="Balloon Text Char"/>
    <w:basedOn w:val="DefaultParagraphFont"/>
    <w:link w:val="BalloonText"/>
    <w:rsid w:val="006A6B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B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B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5343</Characters>
  <Application>Microsoft Office Word</Application>
  <DocSecurity>0</DocSecurity>
  <Lines>211</Lines>
  <Paragraphs>85</Paragraphs>
  <ScaleCrop>false</ScaleCrop>
  <Company>Author-it Software Corporation Ltd.</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MEM08009C Make up solutions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2012-05-27T01:37:00Z</dcterms:modified>
</cp:coreProperties>
</file>