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4B1" w:rsidP="000C64B1">
      <w:pPr>
        <w:pStyle w:val="Title"/>
      </w:pPr>
      <w:bookmarkStart w:id="0" w:name="_GoBack"/>
      <w:bookmarkEnd w:id="0"/>
      <w:r>
        <w:fldChar w:fldCharType="begin"/>
      </w:r>
      <w:r>
        <w:instrText xml:space="preserve"> TITLE   \* MERGEFORMAT </w:instrText>
      </w:r>
      <w:r>
        <w:fldChar w:fldCharType="separate"/>
      </w:r>
      <w:r>
        <w:t>MEM08006B Produce clear and/or coloured and/or sealed anodised films on aluminium</w:t>
      </w:r>
      <w:r>
        <w:fldChar w:fldCharType="end"/>
      </w:r>
    </w:p>
    <w:p w:rsidR="000C64B1" w:rsidP="000C64B1">
      <w:pPr>
        <w:pStyle w:val="Version"/>
        <w:sectPr w:rsidSect="00E20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116" w:rsidP="00E20116">
      <w:pPr>
        <w:pStyle w:val="SuperHeading"/>
      </w:pPr>
      <w:r w:rsidRPr="00E20116">
        <w:t>MEM08006B Produce clear and/or coloured and/or sealed anodised films on aluminium</w:t>
      </w:r>
    </w:p>
    <w:p w:rsidR="00000000" w:rsidRPr="00E20116" w:rsidP="00E20116">
      <w:pPr>
        <w:pStyle w:val="Heading1"/>
      </w:pPr>
      <w:bookmarkStart w:id="1" w:name="O_272088"/>
      <w:bookmarkEnd w:id="1"/>
      <w:r w:rsidRPr="00E20116">
        <w:t>Modification History</w:t>
      </w:r>
    </w:p>
    <w:p w:rsidR="00000000" w:rsidRPr="00E20116" w:rsidP="00E20116">
      <w:pPr>
        <w:pStyle w:val="BodyText"/>
      </w:pPr>
      <w:r w:rsidRPr="00E20116">
        <w:t>Not Applicable</w:t>
      </w:r>
    </w:p>
    <w:p w:rsidR="00000000" w:rsidRPr="00E20116" w:rsidP="00E20116">
      <w:pPr>
        <w:pStyle w:val="AllowPageBreak"/>
      </w:pPr>
    </w:p>
    <w:p w:rsidR="00000000" w:rsidRPr="00E20116" w:rsidP="00E20116">
      <w:pPr>
        <w:pStyle w:val="Heading1"/>
      </w:pPr>
      <w:bookmarkStart w:id="2" w:name="O_211054"/>
      <w:bookmarkEnd w:id="2"/>
      <w:r w:rsidRPr="00E20116">
        <w:t>Unit Descriptor</w:t>
      </w:r>
    </w:p>
    <w:tbl>
      <w:tblPr>
        <w:tblW w:w="0" w:type="auto"/>
        <w:tblLayout w:type="fixed"/>
        <w:tblCellMar>
          <w:left w:w="62" w:type="dxa"/>
          <w:right w:w="62" w:type="dxa"/>
        </w:tblCellMar>
        <w:tblLook w:val="0000"/>
      </w:tblPr>
      <w:tblGrid>
        <w:gridCol w:w="2673"/>
        <w:gridCol w:w="5849"/>
      </w:tblGrid>
      <w:tr w:rsidTr="000C64B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This unit covers producing anodised coatings on aluminium</w:t>
            </w:r>
          </w:p>
        </w:tc>
      </w:tr>
    </w:tbl>
    <w:p w:rsidR="000C64B1" w:rsidP="00E20116">
      <w:pPr>
        <w:pStyle w:val="BodyText"/>
      </w:pPr>
    </w:p>
    <w:p w:rsidR="000C64B1" w:rsidP="00E20116">
      <w:pPr>
        <w:pStyle w:val="BodyText"/>
      </w:pPr>
    </w:p>
    <w:p w:rsidR="00000000" w:rsidRPr="00E20116" w:rsidP="00E20116">
      <w:pPr>
        <w:pStyle w:val="Heading1"/>
      </w:pPr>
      <w:bookmarkStart w:id="3" w:name="O_211058"/>
      <w:bookmarkEnd w:id="3"/>
      <w:r w:rsidRPr="00E20116">
        <w:t>Application of the Unit</w:t>
      </w:r>
    </w:p>
    <w:tbl>
      <w:tblPr>
        <w:tblW w:w="0" w:type="auto"/>
        <w:tblLayout w:type="fixed"/>
        <w:tblCellMar>
          <w:left w:w="62" w:type="dxa"/>
          <w:right w:w="62" w:type="dxa"/>
        </w:tblCellMar>
        <w:tblLook w:val="0000"/>
      </w:tblPr>
      <w:tblGrid>
        <w:gridCol w:w="2745"/>
        <w:gridCol w:w="5777"/>
      </w:tblGrid>
      <w:tr w:rsidTr="000C64B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This unit applies to the production of sealed anodised films on aluminium and its alloys. Films may be clear or coloured. Colouring is produced by dyeing or by 'in-bath' processes. Applications include electrical, decorative, mechanical and architectural p</w:t>
            </w:r>
            <w:r w:rsidRPr="00E20116">
              <w:t>urposes.</w:t>
            </w:r>
          </w:p>
          <w:p w:rsidR="00000000" w:rsidRPr="00E20116" w:rsidP="00E20116">
            <w:pPr>
              <w:pStyle w:val="BodyText"/>
            </w:pPr>
          </w:p>
          <w:p w:rsidR="00000000" w:rsidRPr="00E20116" w:rsidP="00E20116">
            <w:pPr>
              <w:pStyle w:val="BodyText"/>
            </w:pPr>
            <w:r w:rsidRPr="00E20116">
              <w:rPr>
                <w:rStyle w:val="SpecialBold"/>
              </w:rPr>
              <w:t>Band</w:t>
            </w:r>
            <w:r w:rsidRPr="00E20116">
              <w:t>:</w:t>
            </w:r>
            <w:r w:rsidRPr="00E20116">
              <w:tab/>
            </w:r>
            <w:r w:rsidRPr="00E20116">
              <w:rPr>
                <w:rStyle w:val="SpecialBold"/>
              </w:rPr>
              <w:t>A</w:t>
            </w:r>
          </w:p>
          <w:p w:rsidR="00000000" w:rsidRPr="00E20116" w:rsidP="00E20116">
            <w:pPr>
              <w:pStyle w:val="BodyText"/>
            </w:pPr>
            <w:r w:rsidRPr="00E20116">
              <w:rPr>
                <w:rStyle w:val="SpecialBold"/>
              </w:rPr>
              <w:t>Unit Weight</w:t>
            </w:r>
            <w:r w:rsidRPr="00E20116">
              <w:t>:</w:t>
            </w:r>
            <w:r w:rsidRPr="00E20116">
              <w:tab/>
            </w:r>
            <w:r w:rsidRPr="00E20116">
              <w:rPr>
                <w:rStyle w:val="SpecialBold"/>
              </w:rPr>
              <w:t>2</w:t>
            </w:r>
          </w:p>
        </w:tc>
      </w:tr>
    </w:tbl>
    <w:p w:rsidR="000C64B1" w:rsidP="00E20116">
      <w:pPr>
        <w:pStyle w:val="BodyText"/>
      </w:pPr>
    </w:p>
    <w:p w:rsidR="000C64B1" w:rsidP="00E20116">
      <w:pPr>
        <w:pStyle w:val="BodyText"/>
      </w:pPr>
    </w:p>
    <w:p w:rsidR="00000000" w:rsidRPr="00E20116" w:rsidP="00E20116">
      <w:pPr>
        <w:pStyle w:val="Heading1"/>
      </w:pPr>
      <w:bookmarkStart w:id="4" w:name="O_280348"/>
      <w:bookmarkEnd w:id="4"/>
      <w:r w:rsidRPr="00E20116">
        <w:t>Licensing/Regulatory Information</w:t>
      </w:r>
    </w:p>
    <w:p w:rsidR="00000000" w:rsidRPr="00E20116" w:rsidP="00E20116">
      <w:pPr>
        <w:pStyle w:val="BodyText"/>
      </w:pPr>
      <w:r w:rsidRPr="00E20116">
        <w:t>Not Applicable</w:t>
      </w:r>
    </w:p>
    <w:p w:rsidR="00000000" w:rsidRPr="00E20116" w:rsidP="00E20116">
      <w:pPr>
        <w:pStyle w:val="AllowPageBreak"/>
      </w:pPr>
    </w:p>
    <w:p w:rsidR="00000000" w:rsidRPr="00E20116" w:rsidP="00E20116">
      <w:pPr>
        <w:pStyle w:val="Heading1"/>
      </w:pPr>
      <w:bookmarkStart w:id="5" w:name="O_211056"/>
      <w:bookmarkEnd w:id="5"/>
      <w:r w:rsidRPr="00E20116">
        <w:t>Pre-Requisites</w:t>
      </w:r>
    </w:p>
    <w:tbl>
      <w:tblPr>
        <w:tblW w:w="0" w:type="auto"/>
        <w:tblLayout w:type="fixed"/>
        <w:tblCellMar>
          <w:left w:w="62" w:type="dxa"/>
          <w:right w:w="62" w:type="dxa"/>
        </w:tblCellMar>
        <w:tblLook w:val="0000"/>
      </w:tblPr>
      <w:tblGrid>
        <w:gridCol w:w="2721"/>
        <w:gridCol w:w="2207"/>
        <w:gridCol w:w="3594"/>
      </w:tblGrid>
      <w:tr w:rsidTr="000C64B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p>
        </w:tc>
      </w:tr>
      <w:tr w:rsidTr="000C64B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MEM08002C</w:t>
            </w:r>
          </w:p>
        </w:tc>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Pre-treat work for subsequent surface coating</w:t>
            </w:r>
          </w:p>
        </w:tc>
      </w:tr>
      <w:tr w:rsidTr="000C64B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p>
        </w:tc>
      </w:tr>
    </w:tbl>
    <w:p w:rsidR="000C64B1" w:rsidP="00E20116">
      <w:pPr>
        <w:pStyle w:val="BodyText"/>
      </w:pPr>
    </w:p>
    <w:p w:rsidR="000C64B1" w:rsidP="00E20116">
      <w:pPr>
        <w:pStyle w:val="BodyText"/>
      </w:pPr>
    </w:p>
    <w:p w:rsidR="00000000" w:rsidRPr="00E20116" w:rsidP="00E20116">
      <w:pPr>
        <w:pStyle w:val="Heading1"/>
      </w:pPr>
      <w:bookmarkStart w:id="6" w:name="O_211055"/>
      <w:bookmarkEnd w:id="6"/>
      <w:r w:rsidRPr="00E20116">
        <w:t>Employability Skills Information</w:t>
      </w:r>
    </w:p>
    <w:tbl>
      <w:tblPr>
        <w:tblW w:w="0" w:type="auto"/>
        <w:tblLayout w:type="fixed"/>
        <w:tblCellMar>
          <w:left w:w="62" w:type="dxa"/>
          <w:right w:w="62" w:type="dxa"/>
        </w:tblCellMar>
        <w:tblLook w:val="0000"/>
      </w:tblPr>
      <w:tblGrid>
        <w:gridCol w:w="2802"/>
        <w:gridCol w:w="5720"/>
      </w:tblGrid>
      <w:tr w:rsidTr="000C64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This unit contains employability skills.</w:t>
            </w:r>
          </w:p>
        </w:tc>
      </w:tr>
    </w:tbl>
    <w:p w:rsidR="000C64B1" w:rsidP="00E20116">
      <w:pPr>
        <w:pStyle w:val="BodyText"/>
      </w:pPr>
    </w:p>
    <w:p w:rsidR="000C64B1" w:rsidP="00E20116">
      <w:pPr>
        <w:pStyle w:val="BodyText"/>
      </w:pPr>
    </w:p>
    <w:p w:rsidR="00000000" w:rsidRPr="00E20116" w:rsidP="00E20116">
      <w:pPr>
        <w:pStyle w:val="Heading1"/>
      </w:pPr>
      <w:bookmarkStart w:id="7" w:name="O_290134"/>
      <w:bookmarkEnd w:id="7"/>
      <w:r w:rsidRPr="00E20116">
        <w:t>Elements and Performance Criteria Pre-Content</w:t>
      </w:r>
    </w:p>
    <w:tbl>
      <w:tblPr>
        <w:tblW w:w="0" w:type="auto"/>
        <w:tblLayout w:type="fixed"/>
        <w:tblCellMar>
          <w:left w:w="62" w:type="dxa"/>
          <w:right w:w="62" w:type="dxa"/>
        </w:tblCellMar>
        <w:tblLook w:val="0000"/>
      </w:tblPr>
      <w:tblGrid>
        <w:gridCol w:w="2592"/>
        <w:gridCol w:w="5930"/>
      </w:tblGrid>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Performance criteria describe</w:t>
            </w:r>
            <w:r w:rsidRPr="00E2011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20116">
              <w:t>the evidence guide.</w:t>
            </w:r>
          </w:p>
        </w:tc>
      </w:tr>
    </w:tbl>
    <w:p w:rsidR="00000000" w:rsidRPr="00E20116" w:rsidP="00E20116">
      <w:pPr>
        <w:pStyle w:val="BodyText"/>
      </w:pPr>
    </w:p>
    <w:p w:rsidR="00000000" w:rsidRPr="00E20116" w:rsidP="00E20116">
      <w:pPr>
        <w:pStyle w:val="AllowPageBreak"/>
      </w:pPr>
    </w:p>
    <w:p w:rsidR="00000000" w:rsidRPr="00E20116" w:rsidP="00E20116">
      <w:pPr>
        <w:pStyle w:val="Heading1"/>
      </w:pPr>
      <w:bookmarkStart w:id="8" w:name="O_236801"/>
      <w:bookmarkEnd w:id="8"/>
      <w:r w:rsidRPr="00E20116">
        <w:t>Elements and Performance Criteria</w:t>
      </w:r>
    </w:p>
    <w:tbl>
      <w:tblPr>
        <w:tblW w:w="0" w:type="auto"/>
        <w:tblLayout w:type="fixed"/>
        <w:tblCellMar>
          <w:left w:w="62" w:type="dxa"/>
          <w:right w:w="62" w:type="dxa"/>
        </w:tblCellMar>
        <w:tblLook w:val="0000"/>
      </w:tblPr>
      <w:tblGrid>
        <w:gridCol w:w="2592"/>
        <w:gridCol w:w="5930"/>
      </w:tblGrid>
      <w:tr w:rsidTr="000C64B1">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PERFORMANCE CRITERIA</w:t>
            </w:r>
          </w:p>
        </w:tc>
      </w:tr>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
              <w:rPr>
                <w:lang w:val="en-NZ"/>
              </w:rPr>
            </w:pPr>
            <w:r w:rsidRPr="00E20116">
              <w:t>1.</w:t>
            </w:r>
            <w:r w:rsidRPr="00E20116">
              <w:tab/>
              <w:t xml:space="preserve">Perform a series of anodising steps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List2"/>
            </w:pPr>
            <w:r w:rsidRPr="00E20116">
              <w:t>1.1.</w:t>
            </w:r>
            <w:r w:rsidRPr="00E20116">
              <w:tab/>
              <w:t>All steps are carried out in the correct sequence to standard operating procedures.</w:t>
            </w:r>
          </w:p>
          <w:p w:rsidR="00000000" w:rsidRPr="00E20116" w:rsidP="00E20116">
            <w:pPr>
              <w:pStyle w:val="List2"/>
            </w:pPr>
            <w:r w:rsidRPr="00E20116">
              <w:t>1.2.</w:t>
            </w:r>
            <w:r w:rsidRPr="00E20116">
              <w:tab/>
            </w:r>
            <w:r w:rsidRPr="00E20116">
              <w:t>Masking techniques are correctly applied, where required.</w:t>
            </w:r>
          </w:p>
          <w:p w:rsidR="00000000" w:rsidP="00E20116">
            <w:pPr>
              <w:pStyle w:val="List2"/>
              <w:rPr>
                <w:lang w:val="en-NZ"/>
              </w:rPr>
            </w:pPr>
            <w:r w:rsidRPr="00E20116">
              <w:t>1.3.</w:t>
            </w:r>
            <w:r w:rsidRPr="00E20116">
              <w:tab/>
              <w:t>Contact marks and shielding are minimised.</w:t>
            </w:r>
          </w:p>
        </w:tc>
      </w:tr>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
              <w:rPr>
                <w:lang w:val="en-NZ"/>
              </w:rPr>
            </w:pPr>
            <w:r w:rsidRPr="00E20116">
              <w:t>2.</w:t>
            </w:r>
            <w:r w:rsidRPr="00E20116">
              <w:tab/>
              <w:t>Assess preparation of work for correct jigging/loading</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List2"/>
            </w:pPr>
            <w:r w:rsidRPr="00E20116">
              <w:t>2.1.</w:t>
            </w:r>
            <w:r w:rsidRPr="00E20116">
              <w:tab/>
            </w:r>
            <w:r w:rsidRPr="00E20116">
              <w:t>Work is correctly connected for the required current flow and minimum contact marks and shielding.</w:t>
            </w:r>
          </w:p>
          <w:p w:rsidR="00000000" w:rsidP="00E20116">
            <w:pPr>
              <w:pStyle w:val="List2"/>
              <w:rPr>
                <w:lang w:val="en-NZ"/>
              </w:rPr>
            </w:pPr>
            <w:r w:rsidRPr="00E20116">
              <w:t>2.2.</w:t>
            </w:r>
            <w:r w:rsidRPr="00E20116">
              <w:tab/>
              <w:t>All incorrectly loaded work is rejected.</w:t>
            </w:r>
          </w:p>
        </w:tc>
      </w:tr>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
              <w:rPr>
                <w:lang w:val="en-NZ"/>
              </w:rPr>
            </w:pPr>
            <w:r w:rsidRPr="00E20116">
              <w:t>3.</w:t>
            </w:r>
            <w:r w:rsidRPr="00E20116">
              <w:tab/>
              <w:t>Anodise work by a series of treatment steps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2"/>
              <w:rPr>
                <w:lang w:val="en-NZ"/>
              </w:rPr>
            </w:pPr>
            <w:r w:rsidRPr="00E20116">
              <w:t>3.1.</w:t>
            </w:r>
            <w:r w:rsidRPr="00E20116">
              <w:tab/>
              <w:t>All steps are carried out in the correct sequence to stand</w:t>
            </w:r>
            <w:r w:rsidRPr="00E20116">
              <w:t>ard operating procedures.</w:t>
            </w:r>
          </w:p>
        </w:tc>
      </w:tr>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
              <w:rPr>
                <w:lang w:val="en-NZ"/>
              </w:rPr>
            </w:pPr>
            <w:r w:rsidRPr="00E20116">
              <w:t>4.</w:t>
            </w:r>
            <w:r w:rsidRPr="00E20116">
              <w:tab/>
              <w:t>Seal or dye and seal anodised work</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2"/>
              <w:rPr>
                <w:lang w:val="en-NZ"/>
              </w:rPr>
            </w:pPr>
            <w:r w:rsidRPr="00E20116">
              <w:t>4.1.</w:t>
            </w:r>
            <w:r w:rsidRPr="00E20116">
              <w:tab/>
              <w:t>All steps on work are carried out in the correct sequence to standard operating procedures.</w:t>
            </w:r>
          </w:p>
        </w:tc>
      </w:tr>
      <w:tr w:rsidTr="000C64B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List"/>
              <w:rPr>
                <w:lang w:val="en-NZ"/>
              </w:rPr>
            </w:pPr>
            <w:r w:rsidRPr="00E20116">
              <w:t>5.</w:t>
            </w:r>
            <w:r w:rsidRPr="00E20116">
              <w:tab/>
              <w:t xml:space="preserve">Monitor and control operating parameters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List2"/>
            </w:pPr>
            <w:r w:rsidRPr="00E20116">
              <w:t>5.1.</w:t>
            </w:r>
            <w:r w:rsidRPr="00E20116">
              <w:tab/>
              <w:t>Process parameters are maintained within sp</w:t>
            </w:r>
            <w:r w:rsidRPr="00E20116">
              <w:t>ecified limits.</w:t>
            </w:r>
          </w:p>
        </w:tc>
      </w:tr>
    </w:tbl>
    <w:p w:rsidR="000C64B1" w:rsidP="00E20116">
      <w:pPr>
        <w:pStyle w:val="BodyText"/>
      </w:pPr>
    </w:p>
    <w:p w:rsidR="000C64B1" w:rsidP="00E20116">
      <w:pPr>
        <w:pStyle w:val="BodyText"/>
      </w:pPr>
    </w:p>
    <w:p w:rsidR="00000000" w:rsidRPr="00E20116" w:rsidP="00E20116">
      <w:pPr>
        <w:pStyle w:val="Heading1"/>
      </w:pPr>
      <w:bookmarkStart w:id="9" w:name="O_260751"/>
      <w:bookmarkEnd w:id="9"/>
      <w:r w:rsidRPr="00E20116">
        <w:t>Required Skills and Knowledge</w:t>
      </w:r>
    </w:p>
    <w:tbl>
      <w:tblPr>
        <w:tblW w:w="0" w:type="auto"/>
        <w:tblLayout w:type="fixed"/>
        <w:tblCellMar>
          <w:left w:w="62" w:type="dxa"/>
          <w:right w:w="62" w:type="dxa"/>
        </w:tblCellMar>
        <w:tblLook w:val="0000"/>
      </w:tblPr>
      <w:tblGrid>
        <w:gridCol w:w="8522"/>
      </w:tblGrid>
      <w:tr w:rsidTr="000C64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REQUIRED SKILLS AND KNOWLEDGE</w:t>
            </w:r>
          </w:p>
        </w:tc>
      </w:tr>
      <w:tr w:rsidTr="000C64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This section describes the skills and knowledge required for this unit.</w:t>
            </w:r>
          </w:p>
        </w:tc>
      </w:tr>
      <w:tr w:rsidTr="000C6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Required skills</w:t>
            </w:r>
          </w:p>
        </w:tc>
      </w:tr>
      <w:tr w:rsidTr="000C6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Look for evidence that confirms skills in:</w:t>
            </w:r>
          </w:p>
          <w:p w:rsidR="00000000" w:rsidRPr="00E20116" w:rsidP="00E20116">
            <w:pPr>
              <w:pStyle w:val="ListBullet"/>
            </w:pPr>
            <w:r w:rsidRPr="00E20116">
              <w:t>reading and following routine and familiar information on standard operating procedures</w:t>
            </w:r>
          </w:p>
          <w:p w:rsidR="00000000" w:rsidRPr="00E20116" w:rsidP="00E20116">
            <w:pPr>
              <w:pStyle w:val="ListBullet"/>
            </w:pPr>
            <w:r w:rsidRPr="00E20116">
              <w:t>following all steps in the anodising process</w:t>
            </w:r>
          </w:p>
          <w:p w:rsidR="00000000" w:rsidRPr="00E20116" w:rsidP="00E20116">
            <w:pPr>
              <w:pStyle w:val="ListBullet"/>
            </w:pPr>
            <w:r w:rsidRPr="00E20116">
              <w:t>applying the correct masking materials and techniques</w:t>
            </w:r>
          </w:p>
          <w:p w:rsidR="00000000" w:rsidRPr="00E20116" w:rsidP="00E20116">
            <w:pPr>
              <w:pStyle w:val="ListBullet"/>
            </w:pPr>
            <w:r w:rsidRPr="00E20116">
              <w:t>minimising contact marks and shielding</w:t>
            </w:r>
          </w:p>
          <w:p w:rsidR="00000000" w:rsidRPr="00E20116" w:rsidP="00E20116">
            <w:pPr>
              <w:pStyle w:val="ListBullet"/>
            </w:pPr>
            <w:r w:rsidRPr="00E20116">
              <w:t xml:space="preserve">correctly connecting the work </w:t>
            </w:r>
            <w:r w:rsidRPr="00E20116">
              <w:t>to the required electrical current</w:t>
            </w:r>
          </w:p>
          <w:p w:rsidR="00000000" w:rsidRPr="00E20116" w:rsidP="00E20116">
            <w:pPr>
              <w:pStyle w:val="ListBullet"/>
            </w:pPr>
            <w:r w:rsidRPr="00E20116">
              <w:t>identifying incorrectly loaded work</w:t>
            </w:r>
          </w:p>
          <w:p w:rsidR="00000000" w:rsidRPr="00E20116" w:rsidP="00E20116">
            <w:pPr>
              <w:pStyle w:val="ListBullet"/>
            </w:pPr>
            <w:r w:rsidRPr="00E20116">
              <w:t>maintaining process parameters within specified limits</w:t>
            </w:r>
          </w:p>
          <w:p w:rsidR="00000000" w:rsidRPr="00E20116" w:rsidP="00E20116">
            <w:pPr>
              <w:pStyle w:val="ListBullet"/>
            </w:pPr>
            <w:r w:rsidRPr="00E20116">
              <w:t>following verbal instructions</w:t>
            </w:r>
          </w:p>
          <w:p w:rsidR="00000000" w:rsidP="00E20116">
            <w:pPr>
              <w:pStyle w:val="ListBullet"/>
              <w:rPr>
                <w:lang w:val="en-NZ"/>
              </w:rPr>
            </w:pPr>
            <w:r w:rsidRPr="00E20116">
              <w:t>orally reporting routine information</w:t>
            </w:r>
          </w:p>
        </w:tc>
      </w:tr>
      <w:tr w:rsidTr="000C6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Required knowledge</w:t>
            </w:r>
          </w:p>
        </w:tc>
      </w:tr>
      <w:tr w:rsidTr="000C6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Look for evidence that confirms knowledge of:</w:t>
            </w:r>
          </w:p>
          <w:p w:rsidR="00000000" w:rsidRPr="00E20116" w:rsidP="00E20116">
            <w:pPr>
              <w:pStyle w:val="ListBullet"/>
            </w:pPr>
            <w:r w:rsidRPr="00E20116">
              <w:t>process for anodising aluminium</w:t>
            </w:r>
          </w:p>
          <w:p w:rsidR="00000000" w:rsidRPr="00E20116" w:rsidP="00E20116">
            <w:pPr>
              <w:pStyle w:val="ListBullet"/>
            </w:pPr>
            <w:r w:rsidRPr="00E20116">
              <w:t>materials, techniques and procedures for masking materials during anodising</w:t>
            </w:r>
          </w:p>
          <w:p w:rsidR="00000000" w:rsidRPr="00E20116" w:rsidP="00E20116">
            <w:pPr>
              <w:pStyle w:val="ListBullet"/>
            </w:pPr>
            <w:r w:rsidRPr="00E20116">
              <w:t>causes of contact marks and shielding during the anodising process</w:t>
            </w:r>
          </w:p>
          <w:p w:rsidR="00000000" w:rsidRPr="00E20116" w:rsidP="00E20116">
            <w:pPr>
              <w:pStyle w:val="ListBullet"/>
            </w:pPr>
            <w:r w:rsidRPr="00E20116">
              <w:t>procedures for minimising contact m</w:t>
            </w:r>
            <w:r w:rsidRPr="00E20116">
              <w:t>arks and shielding</w:t>
            </w:r>
          </w:p>
          <w:p w:rsidR="00000000" w:rsidRPr="00E20116" w:rsidP="00E20116">
            <w:pPr>
              <w:pStyle w:val="ListBullet"/>
            </w:pPr>
            <w:r w:rsidRPr="00E20116">
              <w:t>procedures for connecting the work to the required electrical current</w:t>
            </w:r>
          </w:p>
          <w:p w:rsidR="00000000" w:rsidRPr="00E20116" w:rsidP="00E20116">
            <w:pPr>
              <w:pStyle w:val="ListBullet"/>
            </w:pPr>
            <w:r w:rsidRPr="00E20116">
              <w:t>the electrical current required for the anodising process</w:t>
            </w:r>
          </w:p>
          <w:p w:rsidR="00000000" w:rsidRPr="00E20116" w:rsidP="00E20116">
            <w:pPr>
              <w:pStyle w:val="ListBullet"/>
            </w:pPr>
            <w:r w:rsidRPr="00E20116">
              <w:t>methods for correctly loading work</w:t>
            </w:r>
          </w:p>
          <w:p w:rsidR="00000000" w:rsidRPr="00E20116" w:rsidP="00E20116">
            <w:pPr>
              <w:pStyle w:val="ListBullet"/>
            </w:pPr>
            <w:r w:rsidRPr="00E20116">
              <w:t>examples of incorrectly loaded work</w:t>
            </w:r>
          </w:p>
          <w:p w:rsidR="00000000" w:rsidRPr="00E20116" w:rsidP="00E20116">
            <w:pPr>
              <w:pStyle w:val="ListBullet"/>
            </w:pPr>
            <w:r w:rsidRPr="00E20116">
              <w:t>reasons for rejecting incorrectly load</w:t>
            </w:r>
            <w:r w:rsidRPr="00E20116">
              <w:t>ed work</w:t>
            </w:r>
          </w:p>
          <w:p w:rsidR="00000000" w:rsidRPr="00E20116" w:rsidP="00E20116">
            <w:pPr>
              <w:pStyle w:val="ListBullet"/>
            </w:pPr>
            <w:r w:rsidRPr="00E20116">
              <w:t>steps to be carried out in the seal/dye and seal process</w:t>
            </w:r>
          </w:p>
          <w:p w:rsidR="00000000" w:rsidRPr="00E20116" w:rsidP="00E20116">
            <w:pPr>
              <w:pStyle w:val="ListBullet"/>
            </w:pPr>
            <w:r w:rsidRPr="00E20116">
              <w:t>procedures and reasons for monitoring and maintaining the process parameters within the specified limits</w:t>
            </w:r>
          </w:p>
          <w:p w:rsidR="00000000" w:rsidRPr="00E20116" w:rsidP="00E20116">
            <w:pPr>
              <w:pStyle w:val="ListBullet"/>
            </w:pPr>
            <w:r w:rsidRPr="00E20116">
              <w:t>hazards and control measures associated with anodising operations, including housekeep</w:t>
            </w:r>
            <w:r w:rsidRPr="00E20116">
              <w:t>ing</w:t>
            </w:r>
          </w:p>
          <w:p w:rsidR="00000000" w:rsidRPr="00E20116" w:rsidP="00E20116">
            <w:pPr>
              <w:pStyle w:val="ListBullet"/>
            </w:pPr>
            <w:r w:rsidRPr="00E20116">
              <w:t>use and application of personal protective equipment</w:t>
            </w:r>
          </w:p>
          <w:p w:rsidR="00000000" w:rsidRPr="00E20116" w:rsidP="00E20116">
            <w:pPr>
              <w:pStyle w:val="ListBullet"/>
            </w:pPr>
            <w:r w:rsidRPr="00E20116">
              <w:t>safe work practices and procedures</w:t>
            </w:r>
          </w:p>
        </w:tc>
      </w:tr>
    </w:tbl>
    <w:p w:rsidR="000C64B1" w:rsidP="00E20116">
      <w:pPr>
        <w:pStyle w:val="BodyText"/>
      </w:pPr>
    </w:p>
    <w:p w:rsidR="000C64B1" w:rsidP="00E20116">
      <w:pPr>
        <w:pStyle w:val="BodyText"/>
      </w:pPr>
    </w:p>
    <w:p w:rsidR="00000000" w:rsidRPr="00E20116" w:rsidP="00E20116">
      <w:pPr>
        <w:pStyle w:val="AllowPageBreak"/>
      </w:pPr>
    </w:p>
    <w:p w:rsidR="00000000" w:rsidRPr="00E20116" w:rsidP="00E20116">
      <w:pPr>
        <w:pStyle w:val="Heading1"/>
      </w:pPr>
      <w:bookmarkStart w:id="10" w:name="O_244785"/>
      <w:bookmarkEnd w:id="10"/>
      <w:r w:rsidRPr="00E20116">
        <w:t>Evidence Guide</w:t>
      </w:r>
    </w:p>
    <w:tbl>
      <w:tblPr>
        <w:tblW w:w="9570" w:type="dxa"/>
        <w:tblLayout w:type="fixed"/>
        <w:tblCellMar>
          <w:left w:w="62" w:type="dxa"/>
          <w:right w:w="62" w:type="dxa"/>
        </w:tblCellMar>
        <w:tblLook w:val="0000"/>
      </w:tblPr>
      <w:tblGrid>
        <w:gridCol w:w="3908"/>
        <w:gridCol w:w="5662"/>
      </w:tblGrid>
      <w:tr w:rsidTr="000C64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EVIDENCE GUIDE</w:t>
            </w:r>
          </w:p>
        </w:tc>
      </w:tr>
      <w:tr w:rsidTr="000C64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The evidence guide provides advice on assessment and must be read in conjunction with th</w:t>
            </w:r>
            <w:r w:rsidRPr="00E20116">
              <w:t>e performance criteria, required skills and knowledge, range statement and the Assessment Guidelines for the Training Package.</w:t>
            </w:r>
          </w:p>
        </w:tc>
      </w:tr>
      <w:tr w:rsidTr="000C6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 xml:space="preserve">A person who demonstrates competency in this unit must be able to produce clear and coloured and sealed </w:t>
            </w:r>
            <w:r w:rsidRPr="00E20116">
              <w:t>anodised films on aluminium and its alloys for decorative, mechanical and architectural purposes. Competency in this unit cannot be claimed until all prerequisites have been satisfied.</w:t>
            </w:r>
          </w:p>
        </w:tc>
      </w:tr>
      <w:tr w:rsidTr="000C6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Critical aspects for assessment and evidence required to demonstrate c</w:t>
            </w:r>
            <w:r w:rsidRPr="00E20116">
              <w:rPr>
                <w:rStyle w:val="SpecialBold"/>
              </w:rPr>
              <w:t>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Assessors must be satisfied that the candidate can competently and consistently perform all elements of the unit as specified by the criteria, including required knowledge, and be capable of applying the competency in new and differe</w:t>
            </w:r>
            <w:r w:rsidRPr="00E20116">
              <w:t>nt situations and contexts.</w:t>
            </w:r>
          </w:p>
        </w:tc>
      </w:tr>
      <w:tr w:rsidTr="000C6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This unit may be assessed on the job, off the job or a combination of both. Where assessment occurs off the job, i.e. the candidate is not in productive work, an appropriate simu</w:t>
            </w:r>
            <w:r w:rsidRPr="00E20116">
              <w:t>lation must be used where the range of conditions reflects realistic workplace situations. The competencies covered by this unit would be demonstrated by an individual working alone or as part of a team. The assessment environment should not disadvantage t</w:t>
            </w:r>
            <w:r w:rsidRPr="00E20116">
              <w:t>he candidate.</w:t>
            </w:r>
          </w:p>
          <w:p w:rsidR="00000000" w:rsidP="00E20116">
            <w:pPr>
              <w:pStyle w:val="BodyText"/>
              <w:rPr>
                <w:lang w:val="en-NZ"/>
              </w:rPr>
            </w:pPr>
            <w:r w:rsidRPr="00E20116">
              <w:t>This unit could be assessed in conjunction with any other units addressing the safety, quality, communication, materials handling, recording and reporting associated with anodising aluminium or other units requiring the exercise of the skills and knowledge</w:t>
            </w:r>
            <w:r w:rsidRPr="00E20116">
              <w:t xml:space="preserve"> covered by this unit.</w:t>
            </w:r>
          </w:p>
        </w:tc>
      </w:tr>
      <w:tr w:rsidTr="000C6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 xml:space="preserve">Assessors should gather a range of evidence that is valid, sufficient, current and authentic. Evidence can be gathered through a variety of ways including direct observation, supervisor's reports, project work, </w:t>
            </w:r>
            <w:r w:rsidRPr="00E20116">
              <w:t>samples and questioning. Questioning should not require language, literacy and numeracy skills beyond those required in this unit. The candidate must have access to all tools, equipment, materials and documentation required. The candidate must be permitted</w:t>
            </w:r>
            <w:r w:rsidRPr="00E20116">
              <w:t xml:space="preserve"> to refer to any relevant workplace procedures, product and manufacturing specifications, codes, standards, manuals and reference materials.</w:t>
            </w:r>
          </w:p>
        </w:tc>
      </w:tr>
      <w:tr w:rsidTr="000C64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p>
        </w:tc>
      </w:tr>
    </w:tbl>
    <w:p w:rsidR="000C64B1" w:rsidP="00E20116">
      <w:pPr>
        <w:pStyle w:val="BodyText"/>
      </w:pPr>
    </w:p>
    <w:p w:rsidR="000C64B1" w:rsidP="00E20116">
      <w:pPr>
        <w:pStyle w:val="BodyText"/>
      </w:pPr>
    </w:p>
    <w:p w:rsidR="00000000" w:rsidRPr="00E20116" w:rsidP="00E20116">
      <w:pPr>
        <w:pStyle w:val="Heading1"/>
      </w:pPr>
      <w:bookmarkStart w:id="11" w:name="O_252768"/>
      <w:bookmarkEnd w:id="11"/>
      <w:r w:rsidRPr="00E20116">
        <w:t>Range Statement</w:t>
      </w:r>
    </w:p>
    <w:tbl>
      <w:tblPr>
        <w:tblW w:w="0" w:type="auto"/>
        <w:tblLayout w:type="fixed"/>
        <w:tblCellMar>
          <w:left w:w="62" w:type="dxa"/>
          <w:right w:w="62" w:type="dxa"/>
        </w:tblCellMar>
        <w:tblLook w:val="0000"/>
      </w:tblPr>
      <w:tblGrid>
        <w:gridCol w:w="3512"/>
        <w:gridCol w:w="5010"/>
      </w:tblGrid>
      <w:tr w:rsidTr="000C64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RANGE STATEMENT</w:t>
            </w:r>
          </w:p>
        </w:tc>
      </w:tr>
      <w:tr w:rsidTr="000C64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The range statement relates to the unit of competency as a whole. It allows for different work environments and situations that may affect performance. Bold italicised wording, if used in the performance criteria, is detailed below. Essential operating con</w:t>
            </w:r>
            <w:r w:rsidRPr="00E20116">
              <w:t>ditions that may be present with training and assessment (depending on the work situation, needs of the candidate, accessibility of the item, and local industry and regional contexts) may also be included.</w:t>
            </w:r>
          </w:p>
        </w:tc>
      </w:tr>
      <w:tr w:rsidTr="000C64B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Anodising steps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Pre treatment, anodising, dyeing</w:t>
            </w:r>
            <w:r w:rsidRPr="00E20116">
              <w:t>, sealing</w:t>
            </w:r>
          </w:p>
        </w:tc>
      </w:tr>
      <w:tr w:rsidTr="000C64B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Masking techniques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t>Taping, waxing</w:t>
            </w:r>
          </w:p>
        </w:tc>
      </w:tr>
      <w:tr w:rsidTr="000C64B1">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Process parameters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Temperature, current density, time</w:t>
            </w:r>
          </w:p>
        </w:tc>
      </w:tr>
    </w:tbl>
    <w:p w:rsidR="000C64B1" w:rsidP="00E20116">
      <w:pPr>
        <w:pStyle w:val="BodyText"/>
      </w:pPr>
    </w:p>
    <w:p w:rsidR="000C64B1" w:rsidP="00E20116">
      <w:pPr>
        <w:pStyle w:val="BodyText"/>
      </w:pPr>
    </w:p>
    <w:p w:rsidR="00000000" w:rsidRPr="00E20116" w:rsidP="00E20116">
      <w:pPr>
        <w:pStyle w:val="Heading1"/>
      </w:pPr>
      <w:bookmarkStart w:id="12" w:name="O_211060"/>
      <w:bookmarkEnd w:id="12"/>
      <w:r w:rsidRPr="00E20116">
        <w:t>Unit Sector(s)</w:t>
      </w:r>
    </w:p>
    <w:tbl>
      <w:tblPr>
        <w:tblW w:w="0" w:type="auto"/>
        <w:tblLayout w:type="fixed"/>
        <w:tblCellMar>
          <w:left w:w="62" w:type="dxa"/>
          <w:right w:w="62" w:type="dxa"/>
        </w:tblCellMar>
        <w:tblLook w:val="0000"/>
      </w:tblPr>
      <w:tblGrid>
        <w:gridCol w:w="2654"/>
        <w:gridCol w:w="5868"/>
      </w:tblGrid>
      <w:tr w:rsidTr="000C64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p>
        </w:tc>
      </w:tr>
    </w:tbl>
    <w:p w:rsidR="000C64B1" w:rsidP="00E20116">
      <w:pPr>
        <w:pStyle w:val="BodyText"/>
      </w:pPr>
    </w:p>
    <w:p w:rsidR="000C64B1" w:rsidP="00E20116">
      <w:pPr>
        <w:pStyle w:val="BodyText"/>
      </w:pPr>
    </w:p>
    <w:p w:rsidR="00000000" w:rsidRPr="00E20116" w:rsidP="00E20116">
      <w:pPr>
        <w:pStyle w:val="Heading1"/>
      </w:pPr>
      <w:bookmarkStart w:id="13" w:name="O_211057"/>
      <w:bookmarkEnd w:id="13"/>
      <w:r w:rsidRPr="00E20116">
        <w:t>Co-requisite units</w:t>
      </w:r>
    </w:p>
    <w:tbl>
      <w:tblPr>
        <w:tblW w:w="0" w:type="auto"/>
        <w:tblLayout w:type="fixed"/>
        <w:tblCellMar>
          <w:left w:w="62" w:type="dxa"/>
          <w:right w:w="62" w:type="dxa"/>
        </w:tblCellMar>
        <w:tblLook w:val="0000"/>
      </w:tblPr>
      <w:tblGrid>
        <w:gridCol w:w="2641"/>
        <w:gridCol w:w="1322"/>
        <w:gridCol w:w="4559"/>
      </w:tblGrid>
      <w:tr w:rsidTr="000C64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p>
        </w:tc>
      </w:tr>
      <w:tr w:rsidTr="000C64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p>
        </w:tc>
      </w:tr>
      <w:tr w:rsidTr="000C64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p>
        </w:tc>
      </w:tr>
    </w:tbl>
    <w:p w:rsidR="000C64B1" w:rsidP="00E20116">
      <w:pPr>
        <w:pStyle w:val="BodyText"/>
      </w:pPr>
    </w:p>
    <w:p w:rsidR="000C64B1" w:rsidP="00E20116">
      <w:pPr>
        <w:pStyle w:val="BodyText"/>
      </w:pPr>
    </w:p>
    <w:p w:rsidR="00000000" w:rsidRPr="00E20116" w:rsidP="00E20116">
      <w:pPr>
        <w:pStyle w:val="Heading1"/>
      </w:pPr>
      <w:bookmarkStart w:id="14" w:name="O_211059"/>
      <w:bookmarkEnd w:id="14"/>
      <w:r w:rsidRPr="00E20116">
        <w:t>Competency field</w:t>
      </w:r>
    </w:p>
    <w:tbl>
      <w:tblPr>
        <w:tblW w:w="0" w:type="auto"/>
        <w:tblLayout w:type="fixed"/>
        <w:tblCellMar>
          <w:left w:w="62" w:type="dxa"/>
          <w:right w:w="62" w:type="dxa"/>
        </w:tblCellMar>
        <w:tblLook w:val="0000"/>
      </w:tblPr>
      <w:tblGrid>
        <w:gridCol w:w="2778"/>
        <w:gridCol w:w="5744"/>
      </w:tblGrid>
      <w:tr w:rsidTr="000C64B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16">
            <w:pPr>
              <w:pStyle w:val="BodyText"/>
              <w:rPr>
                <w:lang w:val="en-NZ"/>
              </w:rPr>
            </w:pPr>
            <w:r w:rsidRPr="00E2011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16" w:rsidP="00E20116">
            <w:pPr>
              <w:pStyle w:val="BodyText"/>
            </w:pPr>
            <w:r w:rsidRPr="00E20116">
              <w:t>Surface finishing</w:t>
            </w:r>
          </w:p>
        </w:tc>
      </w:tr>
    </w:tbl>
    <w:p w:rsidR="000C64B1" w:rsidP="00E20116">
      <w:pPr>
        <w:pStyle w:val="BodyText"/>
      </w:pPr>
    </w:p>
    <w:p w:rsidR="000C64B1" w:rsidP="00E20116">
      <w:pPr>
        <w:pStyle w:val="BodyText"/>
      </w:pPr>
    </w:p>
    <w:p w:rsidR="00000000" w:rsidRPr="00E20116" w:rsidP="00E20116"/>
    <w:sectPr w:rsidSect="00E20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4B1" w:rsidP="000C64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B1" w:rsidP="00E201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64B1" w:rsidP="00E20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64B1" w:rsidP="00E20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16" w:rsidRPr="000C64B1" w:rsidP="000C64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B1" w:rsidRPr="002D2AF8" w:rsidP="00E20116">
    <w:pPr>
      <w:pStyle w:val="Header"/>
      <w:framePr w:wrap="around"/>
    </w:pPr>
    <w:r>
      <w:fldChar w:fldCharType="begin"/>
    </w:r>
    <w:r>
      <w:instrText xml:space="preserve"> TITLE   \* MERGEFORMAT </w:instrText>
    </w:r>
    <w:r>
      <w:fldChar w:fldCharType="separate"/>
    </w:r>
    <w:r>
      <w:t>MEM08006B Produce clear and/or coloured and/or sealed anodised films on aluminium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C64B1" w:rsidP="00E20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7E8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16"/>
    <w:pPr>
      <w:spacing w:before="360" w:after="60"/>
      <w:outlineLvl w:val="0"/>
    </w:pPr>
    <w:rPr>
      <w:sz w:val="32"/>
    </w:rPr>
  </w:style>
  <w:style w:type="paragraph" w:styleId="Heading2">
    <w:name w:val="heading 2"/>
    <w:basedOn w:val="HeadingBase"/>
    <w:next w:val="BodyText"/>
    <w:link w:val="Heading2Char"/>
    <w:qFormat/>
    <w:rsid w:val="00E20116"/>
    <w:pPr>
      <w:keepLines/>
      <w:spacing w:before="240" w:after="120"/>
      <w:outlineLvl w:val="1"/>
    </w:pPr>
    <w:rPr>
      <w:sz w:val="28"/>
      <w:szCs w:val="40"/>
    </w:rPr>
  </w:style>
  <w:style w:type="paragraph" w:styleId="Heading3">
    <w:name w:val="heading 3"/>
    <w:basedOn w:val="HeadingBase"/>
    <w:next w:val="BodyText"/>
    <w:link w:val="Heading3Char"/>
    <w:qFormat/>
    <w:rsid w:val="00E20116"/>
    <w:pPr>
      <w:spacing w:before="180" w:after="120"/>
      <w:outlineLvl w:val="2"/>
    </w:pPr>
    <w:rPr>
      <w:spacing w:val="-10"/>
      <w:kern w:val="32"/>
    </w:rPr>
  </w:style>
  <w:style w:type="paragraph" w:styleId="Heading4">
    <w:name w:val="heading 4"/>
    <w:basedOn w:val="HeadingBase"/>
    <w:next w:val="BodyText"/>
    <w:link w:val="Heading4Char"/>
    <w:qFormat/>
    <w:rsid w:val="00E20116"/>
    <w:pPr>
      <w:spacing w:before="160" w:after="120"/>
      <w:outlineLvl w:val="3"/>
    </w:pPr>
    <w:rPr>
      <w:sz w:val="22"/>
    </w:rPr>
  </w:style>
  <w:style w:type="paragraph" w:styleId="Heading5">
    <w:name w:val="heading 5"/>
    <w:basedOn w:val="HeadingBase"/>
    <w:next w:val="Normal"/>
    <w:link w:val="Heading5Char"/>
    <w:qFormat/>
    <w:rsid w:val="00E20116"/>
    <w:pPr>
      <w:spacing w:before="80"/>
      <w:outlineLvl w:val="4"/>
    </w:pPr>
    <w:rPr>
      <w:color w:val="918585"/>
      <w:sz w:val="20"/>
    </w:rPr>
  </w:style>
  <w:style w:type="paragraph" w:styleId="Heading6">
    <w:name w:val="heading 6"/>
    <w:basedOn w:val="HeadingBase"/>
    <w:next w:val="Normal"/>
    <w:link w:val="Heading6Char"/>
    <w:qFormat/>
    <w:rsid w:val="00E20116"/>
    <w:pPr>
      <w:spacing w:before="60"/>
      <w:outlineLvl w:val="5"/>
    </w:pPr>
    <w:rPr>
      <w:color w:val="918585"/>
      <w:sz w:val="20"/>
    </w:rPr>
  </w:style>
  <w:style w:type="paragraph" w:styleId="Heading7">
    <w:name w:val="heading 7"/>
    <w:basedOn w:val="Normal"/>
    <w:next w:val="Normal"/>
    <w:link w:val="Heading7Char"/>
    <w:qFormat/>
    <w:rsid w:val="00E20116"/>
    <w:pPr>
      <w:ind w:left="720"/>
      <w:outlineLvl w:val="6"/>
    </w:pPr>
    <w:rPr>
      <w:i/>
    </w:rPr>
  </w:style>
  <w:style w:type="paragraph" w:styleId="Heading8">
    <w:name w:val="heading 8"/>
    <w:basedOn w:val="Normal"/>
    <w:next w:val="Normal"/>
    <w:link w:val="Heading8Char"/>
    <w:qFormat/>
    <w:rsid w:val="00E20116"/>
    <w:pPr>
      <w:ind w:left="720"/>
      <w:outlineLvl w:val="7"/>
    </w:pPr>
    <w:rPr>
      <w:i/>
    </w:rPr>
  </w:style>
  <w:style w:type="paragraph" w:styleId="Heading9">
    <w:name w:val="heading 9"/>
    <w:basedOn w:val="Normal"/>
    <w:next w:val="Normal"/>
    <w:link w:val="Heading9Char"/>
    <w:qFormat/>
    <w:rsid w:val="00E20116"/>
    <w:pPr>
      <w:ind w:left="720"/>
      <w:outlineLvl w:val="8"/>
    </w:pPr>
    <w:rPr>
      <w:i/>
    </w:rPr>
  </w:style>
  <w:style w:type="character" w:default="1" w:styleId="DefaultParagraphFont">
    <w:name w:val="Default Paragraph Font"/>
    <w:uiPriority w:val="1"/>
    <w:unhideWhenUsed/>
    <w:rsid w:val="00E20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16"/>
  </w:style>
  <w:style w:type="character" w:customStyle="1" w:styleId="Heading1Char">
    <w:name w:val="Heading 1 Char"/>
    <w:basedOn w:val="DefaultParagraphFont"/>
    <w:link w:val="Heading1"/>
    <w:rsid w:val="00E20116"/>
    <w:rPr>
      <w:rFonts w:ascii="Times New Roman" w:eastAsia="Times New Roman" w:hAnsi="Times New Roman" w:cs="Times New Roman"/>
      <w:b/>
      <w:sz w:val="32"/>
      <w:szCs w:val="20"/>
      <w:lang w:eastAsia="en-US"/>
    </w:rPr>
  </w:style>
  <w:style w:type="paragraph" w:styleId="BodyText">
    <w:name w:val="Body Text"/>
    <w:basedOn w:val="Normal"/>
    <w:link w:val="BodyTextChar"/>
    <w:rsid w:val="00E20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116"/>
    <w:rPr>
      <w:rFonts w:ascii="Times New Roman" w:eastAsia="Times New Roman" w:hAnsi="Times New Roman" w:cs="Times New Roman"/>
      <w:sz w:val="24"/>
      <w:lang w:eastAsia="en-US"/>
    </w:rPr>
  </w:style>
  <w:style w:type="paragraph" w:styleId="Footer">
    <w:name w:val="footer"/>
    <w:basedOn w:val="Normal"/>
    <w:link w:val="FooterChar"/>
    <w:rsid w:val="00E20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16"/>
    <w:rPr>
      <w:rFonts w:ascii="Times New Roman" w:eastAsia="Times New Roman" w:hAnsi="Times New Roman" w:cs="Times New Roman"/>
      <w:sz w:val="16"/>
      <w:lang w:eastAsia="en-US"/>
    </w:rPr>
  </w:style>
  <w:style w:type="paragraph" w:styleId="List">
    <w:name w:val="List"/>
    <w:basedOn w:val="BodyText"/>
    <w:next w:val="BodyText"/>
    <w:rsid w:val="00E20116"/>
    <w:pPr>
      <w:tabs>
        <w:tab w:val="left" w:pos="340"/>
      </w:tabs>
      <w:spacing w:before="60" w:after="60"/>
      <w:ind w:left="340" w:hanging="340"/>
    </w:pPr>
  </w:style>
  <w:style w:type="paragraph" w:styleId="ListBullet">
    <w:name w:val="List Bullet"/>
    <w:basedOn w:val="List"/>
    <w:rsid w:val="00E20116"/>
    <w:pPr>
      <w:numPr>
        <w:numId w:val="12"/>
      </w:numPr>
      <w:tabs>
        <w:tab w:val="clear" w:pos="340"/>
      </w:tabs>
      <w:spacing w:before="40" w:after="40"/>
    </w:pPr>
  </w:style>
  <w:style w:type="character" w:customStyle="1" w:styleId="SpecialBold">
    <w:name w:val="Special Bold"/>
    <w:basedOn w:val="DefaultParagraphFont"/>
    <w:rsid w:val="00E20116"/>
    <w:rPr>
      <w:b/>
      <w:spacing w:val="0"/>
    </w:rPr>
  </w:style>
  <w:style w:type="paragraph" w:customStyle="1" w:styleId="SuperHeading">
    <w:name w:val="SuperHeading"/>
    <w:basedOn w:val="Normal"/>
    <w:rsid w:val="00E20116"/>
    <w:pPr>
      <w:spacing w:before="240" w:after="120"/>
      <w:outlineLvl w:val="0"/>
    </w:pPr>
    <w:rPr>
      <w:rFonts w:ascii="Times New Roman" w:hAnsi="Times New Roman"/>
      <w:b/>
      <w:sz w:val="28"/>
    </w:rPr>
  </w:style>
  <w:style w:type="paragraph" w:customStyle="1" w:styleId="AllowPageBreak">
    <w:name w:val="AllowPageBreak"/>
    <w:rsid w:val="00E201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116"/>
    <w:pPr>
      <w:tabs>
        <w:tab w:val="left" w:pos="680"/>
      </w:tabs>
      <w:spacing w:before="60" w:after="60"/>
      <w:ind w:left="680" w:hanging="340"/>
    </w:pPr>
  </w:style>
  <w:style w:type="character" w:customStyle="1" w:styleId="Heading2Char">
    <w:name w:val="Heading 2 Char"/>
    <w:basedOn w:val="DefaultParagraphFont"/>
    <w:link w:val="Heading2"/>
    <w:rsid w:val="00E20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16"/>
    <w:rPr>
      <w:rFonts w:ascii="Courier New" w:eastAsia="Times New Roman" w:hAnsi="Courier New" w:cs="Times New Roman"/>
      <w:i/>
      <w:szCs w:val="20"/>
      <w:lang w:eastAsia="en-US"/>
    </w:rPr>
  </w:style>
  <w:style w:type="paragraph" w:customStyle="1" w:styleId="HeadingBase">
    <w:name w:val="Heading Base"/>
    <w:rsid w:val="00E20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16"/>
    <w:pPr>
      <w:tabs>
        <w:tab w:val="right" w:leader="dot" w:pos="9072"/>
      </w:tabs>
      <w:ind w:left="567"/>
    </w:pPr>
    <w:rPr>
      <w:szCs w:val="22"/>
    </w:rPr>
  </w:style>
  <w:style w:type="paragraph" w:customStyle="1" w:styleId="TOCBase">
    <w:name w:val="TOC Base"/>
    <w:rsid w:val="00E20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16"/>
    <w:pPr>
      <w:tabs>
        <w:tab w:val="right" w:leader="dot" w:pos="9072"/>
      </w:tabs>
      <w:spacing w:before="40" w:after="40"/>
      <w:ind w:left="284"/>
    </w:pPr>
    <w:rPr>
      <w:rFonts w:ascii="Times New Roman" w:hAnsi="Times New Roman"/>
    </w:rPr>
  </w:style>
  <w:style w:type="paragraph" w:styleId="TOC1">
    <w:name w:val="toc 1"/>
    <w:basedOn w:val="TOCBase"/>
    <w:next w:val="Normal"/>
    <w:rsid w:val="00E20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116"/>
    <w:pPr>
      <w:spacing w:before="5040"/>
      <w:jc w:val="center"/>
    </w:pPr>
    <w:rPr>
      <w:sz w:val="48"/>
      <w:szCs w:val="72"/>
      <w:lang w:val="en-US"/>
    </w:rPr>
  </w:style>
  <w:style w:type="character" w:customStyle="1" w:styleId="TitleChar">
    <w:name w:val="Title Char"/>
    <w:basedOn w:val="DefaultParagraphFont"/>
    <w:link w:val="Title"/>
    <w:rsid w:val="00E20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16"/>
    <w:pPr>
      <w:tabs>
        <w:tab w:val="left" w:pos="3600"/>
        <w:tab w:val="left" w:pos="3958"/>
      </w:tabs>
    </w:pPr>
  </w:style>
  <w:style w:type="paragraph" w:customStyle="1" w:styleId="Note">
    <w:name w:val="Note"/>
    <w:basedOn w:val="BodyText"/>
    <w:rsid w:val="00E20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16"/>
    <w:pPr>
      <w:framePr w:wrap="auto" w:hAnchor="text" w:y="6049"/>
    </w:pPr>
    <w:rPr>
      <w:color w:val="000000"/>
      <w:sz w:val="40"/>
    </w:rPr>
  </w:style>
  <w:style w:type="paragraph" w:customStyle="1" w:styleId="TOCTitle">
    <w:name w:val="TOCTitle"/>
    <w:basedOn w:val="Heading1"/>
    <w:rsid w:val="00E20116"/>
    <w:pPr>
      <w:spacing w:after="240"/>
      <w:jc w:val="center"/>
      <w:outlineLvl w:val="9"/>
    </w:pPr>
    <w:rPr>
      <w:caps/>
    </w:rPr>
  </w:style>
  <w:style w:type="paragraph" w:customStyle="1" w:styleId="Version">
    <w:name w:val="Version"/>
    <w:rsid w:val="00E201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116"/>
    <w:pPr>
      <w:numPr>
        <w:numId w:val="13"/>
      </w:numPr>
      <w:tabs>
        <w:tab w:val="clear" w:pos="680"/>
      </w:tabs>
    </w:pPr>
  </w:style>
  <w:style w:type="paragraph" w:styleId="Index1">
    <w:name w:val="index 1"/>
    <w:basedOn w:val="Normal"/>
    <w:next w:val="Normal"/>
    <w:semiHidden/>
    <w:rsid w:val="00E20116"/>
    <w:pPr>
      <w:keepNext w:val="0"/>
      <w:tabs>
        <w:tab w:val="right" w:pos="4176"/>
      </w:tabs>
      <w:ind w:left="198" w:hanging="198"/>
    </w:pPr>
    <w:rPr>
      <w:rFonts w:ascii="Garamond" w:hAnsi="Garamond"/>
    </w:rPr>
  </w:style>
  <w:style w:type="paragraph" w:styleId="IndexHeading">
    <w:name w:val="index heading"/>
    <w:basedOn w:val="Normal"/>
    <w:next w:val="Index1"/>
    <w:semiHidden/>
    <w:rsid w:val="00E20116"/>
    <w:pPr>
      <w:spacing w:before="120" w:after="120"/>
    </w:pPr>
    <w:rPr>
      <w:rFonts w:ascii="Arial" w:hAnsi="Arial"/>
      <w:b/>
      <w:color w:val="918585"/>
      <w:sz w:val="24"/>
    </w:rPr>
  </w:style>
  <w:style w:type="paragraph" w:styleId="Header">
    <w:name w:val="header"/>
    <w:basedOn w:val="Normal"/>
    <w:link w:val="HeaderChar"/>
    <w:rsid w:val="00E20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16"/>
    <w:rPr>
      <w:rFonts w:ascii="Times New Roman" w:eastAsia="Times New Roman" w:hAnsi="Times New Roman" w:cs="Times New Roman"/>
      <w:sz w:val="16"/>
      <w:szCs w:val="20"/>
      <w:lang w:val="en-GB" w:eastAsia="en-US"/>
    </w:rPr>
  </w:style>
  <w:style w:type="paragraph" w:customStyle="1" w:styleId="Chapter">
    <w:name w:val="Chapter"/>
    <w:basedOn w:val="Normal"/>
    <w:rsid w:val="00E20116"/>
    <w:pPr>
      <w:spacing w:before="240"/>
    </w:pPr>
    <w:rPr>
      <w:rFonts w:ascii="Times New Roman" w:hAnsi="Times New Roman"/>
      <w:smallCaps/>
      <w:spacing w:val="80"/>
      <w:sz w:val="28"/>
    </w:rPr>
  </w:style>
  <w:style w:type="paragraph" w:customStyle="1" w:styleId="InChapter">
    <w:name w:val="InChapter"/>
    <w:basedOn w:val="Heading3"/>
    <w:rsid w:val="00E20116"/>
    <w:pPr>
      <w:spacing w:after="240"/>
      <w:outlineLvl w:val="9"/>
    </w:pPr>
    <w:rPr>
      <w:noProof/>
    </w:rPr>
  </w:style>
  <w:style w:type="paragraph" w:styleId="Index2">
    <w:name w:val="index 2"/>
    <w:basedOn w:val="Normal"/>
    <w:next w:val="Normal"/>
    <w:semiHidden/>
    <w:rsid w:val="00E20116"/>
    <w:pPr>
      <w:tabs>
        <w:tab w:val="right" w:pos="4176"/>
      </w:tabs>
      <w:ind w:left="568" w:hanging="284"/>
    </w:pPr>
    <w:rPr>
      <w:rFonts w:ascii="Garamond" w:hAnsi="Garamond"/>
    </w:rPr>
  </w:style>
  <w:style w:type="paragraph" w:customStyle="1" w:styleId="Byline">
    <w:name w:val="Byline"/>
    <w:rsid w:val="00E20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16"/>
    <w:pPr>
      <w:tabs>
        <w:tab w:val="clear" w:pos="3600"/>
        <w:tab w:val="clear" w:pos="3958"/>
      </w:tabs>
      <w:jc w:val="right"/>
    </w:pPr>
  </w:style>
  <w:style w:type="character" w:styleId="Emphasis">
    <w:name w:val="Emphasis"/>
    <w:basedOn w:val="DefaultParagraphFont"/>
    <w:qFormat/>
    <w:rsid w:val="00E20116"/>
    <w:rPr>
      <w:i/>
    </w:rPr>
  </w:style>
  <w:style w:type="paragraph" w:styleId="Caption">
    <w:name w:val="caption"/>
    <w:basedOn w:val="BodyText"/>
    <w:next w:val="Normal"/>
    <w:qFormat/>
    <w:rsid w:val="00E20116"/>
    <w:pPr>
      <w:framePr w:w="2268" w:hSpace="181" w:vSpace="181" w:wrap="around" w:vAnchor="text" w:hAnchor="page" w:x="1135" w:y="285" w:anchorLock="1"/>
    </w:pPr>
    <w:rPr>
      <w:i/>
    </w:rPr>
  </w:style>
  <w:style w:type="paragraph" w:customStyle="1" w:styleId="MiniTOCTitle">
    <w:name w:val="MiniTOCTitle"/>
    <w:basedOn w:val="Heading4"/>
    <w:rsid w:val="00E20116"/>
    <w:pPr>
      <w:spacing w:before="240"/>
      <w:outlineLvl w:val="9"/>
    </w:pPr>
    <w:rPr>
      <w:noProof/>
      <w:sz w:val="24"/>
    </w:rPr>
  </w:style>
  <w:style w:type="paragraph" w:customStyle="1" w:styleId="MiniTOCItem">
    <w:name w:val="MiniTOCItem"/>
    <w:basedOn w:val="ListBullet"/>
    <w:rsid w:val="00E20116"/>
    <w:pPr>
      <w:numPr>
        <w:numId w:val="0"/>
      </w:numPr>
      <w:tabs>
        <w:tab w:val="right" w:leader="dot" w:pos="6521"/>
      </w:tabs>
      <w:spacing w:before="0" w:after="0"/>
    </w:pPr>
  </w:style>
  <w:style w:type="paragraph" w:customStyle="1" w:styleId="TOFTitle">
    <w:name w:val="TOFTitle"/>
    <w:basedOn w:val="TOCTitle"/>
    <w:rsid w:val="00E20116"/>
  </w:style>
  <w:style w:type="paragraph" w:styleId="TableofFigures">
    <w:name w:val="table of figures"/>
    <w:basedOn w:val="Normal"/>
    <w:next w:val="Normal"/>
    <w:semiHidden/>
    <w:rsid w:val="00E20116"/>
    <w:pPr>
      <w:tabs>
        <w:tab w:val="right" w:leader="dot" w:pos="9072"/>
      </w:tabs>
      <w:ind w:left="970" w:hanging="403"/>
    </w:pPr>
    <w:rPr>
      <w:rFonts w:ascii="Times New Roman" w:hAnsi="Times New Roman"/>
      <w:b/>
    </w:rPr>
  </w:style>
  <w:style w:type="paragraph" w:styleId="ListNumber">
    <w:name w:val="List Number"/>
    <w:basedOn w:val="List"/>
    <w:rsid w:val="00E20116"/>
    <w:pPr>
      <w:numPr>
        <w:numId w:val="10"/>
      </w:numPr>
    </w:pPr>
  </w:style>
  <w:style w:type="character" w:customStyle="1" w:styleId="WingdingSymbols">
    <w:name w:val="Wingding Symbols"/>
    <w:rsid w:val="00E20116"/>
    <w:rPr>
      <w:rFonts w:ascii="Wingdings" w:hAnsi="Wingdings"/>
    </w:rPr>
  </w:style>
  <w:style w:type="paragraph" w:customStyle="1" w:styleId="TableHeading">
    <w:name w:val="Table Heading"/>
    <w:basedOn w:val="HeadingBase"/>
    <w:rsid w:val="00E20116"/>
    <w:pPr>
      <w:keepLines/>
      <w:pBdr>
        <w:bottom w:val="single" w:sz="6" w:space="1" w:color="918585"/>
      </w:pBdr>
      <w:spacing w:before="240"/>
    </w:pPr>
  </w:style>
  <w:style w:type="character" w:customStyle="1" w:styleId="HotSpot">
    <w:name w:val="HotSpot"/>
    <w:rsid w:val="00E20116"/>
    <w:rPr>
      <w:color w:val="0033CC"/>
      <w:u w:val="none"/>
    </w:rPr>
  </w:style>
  <w:style w:type="paragraph" w:customStyle="1" w:styleId="BodyTextRight">
    <w:name w:val="Body Text Right"/>
    <w:basedOn w:val="BodyText"/>
    <w:rsid w:val="00E20116"/>
    <w:pPr>
      <w:spacing w:before="0" w:after="0"/>
      <w:jc w:val="right"/>
    </w:pPr>
  </w:style>
  <w:style w:type="paragraph" w:styleId="Index3">
    <w:name w:val="index 3"/>
    <w:basedOn w:val="ListNumber2"/>
    <w:next w:val="Normal"/>
    <w:semiHidden/>
    <w:rsid w:val="00E20116"/>
    <w:pPr>
      <w:numPr>
        <w:numId w:val="0"/>
      </w:numPr>
      <w:tabs>
        <w:tab w:val="right" w:leader="dot" w:pos="4176"/>
      </w:tabs>
    </w:pPr>
  </w:style>
  <w:style w:type="paragraph" w:styleId="ListNumber2">
    <w:name w:val="List Number 2"/>
    <w:basedOn w:val="List2"/>
    <w:rsid w:val="00E20116"/>
    <w:pPr>
      <w:numPr>
        <w:numId w:val="9"/>
      </w:numPr>
      <w:tabs>
        <w:tab w:val="clear" w:pos="1060"/>
      </w:tabs>
    </w:pPr>
  </w:style>
  <w:style w:type="paragraph" w:customStyle="1" w:styleId="MarginNote">
    <w:name w:val="Margin Note"/>
    <w:basedOn w:val="BodyText"/>
    <w:rsid w:val="00E20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16"/>
    <w:rPr>
      <w:sz w:val="32"/>
    </w:rPr>
  </w:style>
  <w:style w:type="paragraph" w:customStyle="1" w:styleId="HeadingProcedure">
    <w:name w:val="Heading Procedure"/>
    <w:basedOn w:val="HeadingBase"/>
    <w:next w:val="Normal"/>
    <w:rsid w:val="00E20116"/>
    <w:pPr>
      <w:tabs>
        <w:tab w:val="left" w:pos="0"/>
      </w:tabs>
      <w:spacing w:before="120" w:after="60"/>
    </w:pPr>
    <w:rPr>
      <w:i/>
      <w:color w:val="918585"/>
      <w:sz w:val="22"/>
    </w:rPr>
  </w:style>
  <w:style w:type="paragraph" w:customStyle="1" w:styleId="TableBodyText">
    <w:name w:val="Table Body Text"/>
    <w:basedOn w:val="BodyText"/>
    <w:rsid w:val="00E20116"/>
    <w:pPr>
      <w:spacing w:before="60" w:after="60"/>
    </w:pPr>
  </w:style>
  <w:style w:type="paragraph" w:styleId="ListContinue">
    <w:name w:val="List Continue"/>
    <w:basedOn w:val="List"/>
    <w:rsid w:val="00E20116"/>
    <w:pPr>
      <w:ind w:firstLine="0"/>
    </w:pPr>
  </w:style>
  <w:style w:type="paragraph" w:customStyle="1" w:styleId="ListNote">
    <w:name w:val="List Note"/>
    <w:basedOn w:val="List"/>
    <w:rsid w:val="00E20116"/>
    <w:pPr>
      <w:pBdr>
        <w:top w:val="single" w:sz="6" w:space="2" w:color="918585"/>
        <w:bottom w:val="single" w:sz="6" w:space="2" w:color="918585"/>
      </w:pBdr>
      <w:tabs>
        <w:tab w:val="left" w:pos="1021"/>
      </w:tabs>
      <w:ind w:firstLine="0"/>
    </w:pPr>
  </w:style>
  <w:style w:type="paragraph" w:customStyle="1" w:styleId="Warning">
    <w:name w:val="Warning"/>
    <w:basedOn w:val="BodyText"/>
    <w:rsid w:val="00E20116"/>
    <w:pPr>
      <w:shd w:val="clear" w:color="auto" w:fill="D9D9D9"/>
      <w:tabs>
        <w:tab w:val="left" w:pos="992"/>
      </w:tabs>
      <w:ind w:left="119" w:right="119"/>
    </w:pPr>
    <w:rPr>
      <w:sz w:val="20"/>
    </w:rPr>
  </w:style>
  <w:style w:type="paragraph" w:customStyle="1" w:styleId="MarginIcons">
    <w:name w:val="Margin Icons"/>
    <w:basedOn w:val="BodyText"/>
    <w:rsid w:val="00E20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16"/>
    <w:rPr>
      <w:rFonts w:ascii="Courier New" w:hAnsi="Courier New"/>
    </w:rPr>
  </w:style>
  <w:style w:type="paragraph" w:customStyle="1" w:styleId="NoteBullet">
    <w:name w:val="Note Bullet"/>
    <w:basedOn w:val="Note"/>
    <w:rsid w:val="00E20116"/>
    <w:pPr>
      <w:tabs>
        <w:tab w:val="clear" w:pos="680"/>
      </w:tabs>
      <w:spacing w:before="60" w:after="60"/>
    </w:pPr>
  </w:style>
  <w:style w:type="paragraph" w:customStyle="1" w:styleId="SubHeading2">
    <w:name w:val="SubHeading2"/>
    <w:basedOn w:val="HeadingBase"/>
    <w:rsid w:val="00E20116"/>
    <w:pPr>
      <w:spacing w:before="240" w:after="60"/>
    </w:pPr>
    <w:rPr>
      <w:sz w:val="20"/>
    </w:rPr>
  </w:style>
  <w:style w:type="paragraph" w:customStyle="1" w:styleId="SubHeading1">
    <w:name w:val="SubHeading1"/>
    <w:basedOn w:val="HeadingBase"/>
    <w:rsid w:val="00E20116"/>
    <w:pPr>
      <w:spacing w:before="240" w:after="60"/>
    </w:pPr>
    <w:rPr>
      <w:color w:val="918585"/>
      <w:sz w:val="22"/>
    </w:rPr>
  </w:style>
  <w:style w:type="paragraph" w:customStyle="1" w:styleId="SideHeading">
    <w:name w:val="Side Heading"/>
    <w:basedOn w:val="HeadingBase"/>
    <w:rsid w:val="00E20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16"/>
    <w:pPr>
      <w:tabs>
        <w:tab w:val="num" w:pos="360"/>
      </w:tabs>
    </w:pPr>
  </w:style>
  <w:style w:type="paragraph" w:styleId="PlainText">
    <w:name w:val="Plain Text"/>
    <w:basedOn w:val="Normal"/>
    <w:link w:val="PlainTextChar"/>
    <w:rsid w:val="00E20116"/>
    <w:rPr>
      <w:sz w:val="20"/>
    </w:rPr>
  </w:style>
  <w:style w:type="character" w:customStyle="1" w:styleId="PlainTextChar">
    <w:name w:val="Plain Text Char"/>
    <w:basedOn w:val="DefaultParagraphFont"/>
    <w:link w:val="PlainText"/>
    <w:rsid w:val="00E20116"/>
    <w:rPr>
      <w:rFonts w:ascii="Courier New" w:eastAsia="Times New Roman" w:hAnsi="Courier New" w:cs="Times New Roman"/>
      <w:sz w:val="20"/>
      <w:szCs w:val="20"/>
      <w:lang w:eastAsia="en-US"/>
    </w:rPr>
  </w:style>
  <w:style w:type="character" w:customStyle="1" w:styleId="MenuOption">
    <w:name w:val="Menu Option"/>
    <w:basedOn w:val="DefaultParagraphFont"/>
    <w:rsid w:val="00E20116"/>
    <w:rPr>
      <w:b/>
      <w:smallCaps/>
    </w:rPr>
  </w:style>
  <w:style w:type="paragraph" w:customStyle="1" w:styleId="TableListNumber">
    <w:name w:val="Table List Number"/>
    <w:basedOn w:val="ListNumber"/>
    <w:rsid w:val="00E20116"/>
    <w:pPr>
      <w:numPr>
        <w:numId w:val="0"/>
      </w:numPr>
    </w:pPr>
  </w:style>
  <w:style w:type="paragraph" w:styleId="TOC4">
    <w:name w:val="toc 4"/>
    <w:basedOn w:val="TOCBase"/>
    <w:next w:val="Normal"/>
    <w:semiHidden/>
    <w:rsid w:val="00E20116"/>
    <w:pPr>
      <w:tabs>
        <w:tab w:val="right" w:leader="dot" w:pos="9071"/>
      </w:tabs>
      <w:ind w:left="1701"/>
    </w:pPr>
  </w:style>
  <w:style w:type="paragraph" w:customStyle="1" w:styleId="ListAlpha">
    <w:name w:val="List Alpha"/>
    <w:basedOn w:val="List"/>
    <w:rsid w:val="00E20116"/>
    <w:pPr>
      <w:numPr>
        <w:numId w:val="8"/>
      </w:numPr>
    </w:pPr>
  </w:style>
  <w:style w:type="paragraph" w:customStyle="1" w:styleId="ListAlpha2">
    <w:name w:val="List Alpha 2"/>
    <w:basedOn w:val="List2"/>
    <w:rsid w:val="00E20116"/>
    <w:pPr>
      <w:numPr>
        <w:numId w:val="7"/>
      </w:numPr>
    </w:pPr>
  </w:style>
  <w:style w:type="paragraph" w:styleId="List3">
    <w:name w:val="List 3"/>
    <w:basedOn w:val="BodyText"/>
    <w:rsid w:val="00E20116"/>
    <w:pPr>
      <w:tabs>
        <w:tab w:val="left" w:pos="1021"/>
      </w:tabs>
      <w:spacing w:before="60" w:after="60"/>
      <w:ind w:left="1020" w:hanging="340"/>
    </w:pPr>
  </w:style>
  <w:style w:type="paragraph" w:styleId="List4">
    <w:name w:val="List 4"/>
    <w:basedOn w:val="BodyText"/>
    <w:rsid w:val="00E20116"/>
    <w:pPr>
      <w:tabs>
        <w:tab w:val="left" w:pos="1361"/>
      </w:tabs>
      <w:spacing w:before="60" w:after="60"/>
      <w:ind w:left="1361" w:hanging="340"/>
    </w:pPr>
  </w:style>
  <w:style w:type="paragraph" w:styleId="List5">
    <w:name w:val="List 5"/>
    <w:basedOn w:val="BodyText"/>
    <w:rsid w:val="00E20116"/>
    <w:pPr>
      <w:tabs>
        <w:tab w:val="left" w:pos="1701"/>
      </w:tabs>
      <w:spacing w:before="60" w:after="60"/>
      <w:ind w:left="1701" w:hanging="340"/>
    </w:pPr>
  </w:style>
  <w:style w:type="paragraph" w:styleId="ListBullet3">
    <w:name w:val="List Bullet 3"/>
    <w:basedOn w:val="List3"/>
    <w:rsid w:val="00E20116"/>
    <w:pPr>
      <w:numPr>
        <w:numId w:val="14"/>
      </w:numPr>
      <w:tabs>
        <w:tab w:val="clear" w:pos="1021"/>
      </w:tabs>
      <w:ind w:left="1037" w:hanging="357"/>
    </w:pPr>
  </w:style>
  <w:style w:type="paragraph" w:styleId="ListBullet4">
    <w:name w:val="List Bullet 4"/>
    <w:basedOn w:val="List4"/>
    <w:rsid w:val="00E20116"/>
    <w:pPr>
      <w:numPr>
        <w:numId w:val="2"/>
      </w:numPr>
    </w:pPr>
  </w:style>
  <w:style w:type="paragraph" w:styleId="ListBullet5">
    <w:name w:val="List Bullet 5"/>
    <w:basedOn w:val="List5"/>
    <w:rsid w:val="00E20116"/>
    <w:pPr>
      <w:numPr>
        <w:numId w:val="3"/>
      </w:numPr>
    </w:pPr>
  </w:style>
  <w:style w:type="paragraph" w:styleId="ListContinue2">
    <w:name w:val="List Continue 2"/>
    <w:basedOn w:val="List2"/>
    <w:rsid w:val="00E20116"/>
    <w:pPr>
      <w:ind w:firstLine="0"/>
    </w:pPr>
  </w:style>
  <w:style w:type="paragraph" w:styleId="ListContinue3">
    <w:name w:val="List Continue 3"/>
    <w:basedOn w:val="List3"/>
    <w:rsid w:val="00E20116"/>
    <w:pPr>
      <w:ind w:left="1021" w:firstLine="0"/>
    </w:pPr>
  </w:style>
  <w:style w:type="paragraph" w:styleId="ListContinue4">
    <w:name w:val="List Continue 4"/>
    <w:basedOn w:val="List4"/>
    <w:rsid w:val="00E20116"/>
    <w:pPr>
      <w:ind w:firstLine="0"/>
    </w:pPr>
  </w:style>
  <w:style w:type="paragraph" w:styleId="ListContinue5">
    <w:name w:val="List Continue 5"/>
    <w:basedOn w:val="List5"/>
    <w:rsid w:val="00E20116"/>
    <w:pPr>
      <w:ind w:firstLine="0"/>
    </w:pPr>
  </w:style>
  <w:style w:type="paragraph" w:styleId="ListNumber3">
    <w:name w:val="List Number 3"/>
    <w:basedOn w:val="List3"/>
    <w:rsid w:val="00E20116"/>
    <w:pPr>
      <w:numPr>
        <w:numId w:val="4"/>
      </w:numPr>
    </w:pPr>
  </w:style>
  <w:style w:type="paragraph" w:styleId="ListNumber4">
    <w:name w:val="List Number 4"/>
    <w:basedOn w:val="List4"/>
    <w:rsid w:val="00E20116"/>
    <w:pPr>
      <w:numPr>
        <w:numId w:val="5"/>
      </w:numPr>
    </w:pPr>
  </w:style>
  <w:style w:type="paragraph" w:styleId="ListNumber5">
    <w:name w:val="List Number 5"/>
    <w:basedOn w:val="List5"/>
    <w:rsid w:val="00E20116"/>
    <w:pPr>
      <w:numPr>
        <w:numId w:val="6"/>
      </w:numPr>
    </w:pPr>
  </w:style>
  <w:style w:type="paragraph" w:styleId="BlockText">
    <w:name w:val="Block Text"/>
    <w:basedOn w:val="Normal"/>
    <w:rsid w:val="00E20116"/>
    <w:pPr>
      <w:spacing w:after="120"/>
      <w:ind w:left="1440" w:right="1440"/>
    </w:pPr>
  </w:style>
  <w:style w:type="character" w:customStyle="1" w:styleId="Subscript">
    <w:name w:val="Subscript"/>
    <w:basedOn w:val="DefaultParagraphFont"/>
    <w:rsid w:val="00E20116"/>
    <w:rPr>
      <w:sz w:val="16"/>
      <w:vertAlign w:val="subscript"/>
    </w:rPr>
  </w:style>
  <w:style w:type="character" w:customStyle="1" w:styleId="Superscript">
    <w:name w:val="Superscript"/>
    <w:basedOn w:val="DefaultParagraphFont"/>
    <w:rsid w:val="00E20116"/>
    <w:rPr>
      <w:sz w:val="16"/>
      <w:vertAlign w:val="superscript"/>
    </w:rPr>
  </w:style>
  <w:style w:type="character" w:customStyle="1" w:styleId="Symbols">
    <w:name w:val="Symbols"/>
    <w:basedOn w:val="DefaultParagraphFont"/>
    <w:rsid w:val="00E20116"/>
    <w:rPr>
      <w:rFonts w:ascii="Symbol" w:hAnsi="Symbol"/>
    </w:rPr>
  </w:style>
  <w:style w:type="character" w:customStyle="1" w:styleId="MenuOptions">
    <w:name w:val="Menu Options"/>
    <w:basedOn w:val="DefaultParagraphFont"/>
    <w:rsid w:val="00E20116"/>
    <w:rPr>
      <w:rFonts w:ascii="Arial Narrow" w:hAnsi="Arial Narrow"/>
      <w:smallCaps/>
    </w:rPr>
  </w:style>
  <w:style w:type="character" w:customStyle="1" w:styleId="Buttons">
    <w:name w:val="Buttons"/>
    <w:basedOn w:val="DefaultParagraphFont"/>
    <w:rsid w:val="00E20116"/>
    <w:rPr>
      <w:b/>
    </w:rPr>
  </w:style>
  <w:style w:type="character" w:customStyle="1" w:styleId="Underlined">
    <w:name w:val="Underlined"/>
    <w:basedOn w:val="DefaultParagraphFont"/>
    <w:rsid w:val="00E20116"/>
    <w:rPr>
      <w:u w:val="single"/>
    </w:rPr>
  </w:style>
  <w:style w:type="paragraph" w:customStyle="1" w:styleId="TableBodyTextRight">
    <w:name w:val="Table Body Text Right"/>
    <w:basedOn w:val="TableBodyText"/>
    <w:rsid w:val="00E20116"/>
    <w:pPr>
      <w:widowControl w:val="0"/>
      <w:autoSpaceDE w:val="0"/>
      <w:autoSpaceDN w:val="0"/>
      <w:adjustRightInd w:val="0"/>
      <w:jc w:val="right"/>
    </w:pPr>
    <w:rPr>
      <w:rFonts w:cs="Arial"/>
      <w:szCs w:val="18"/>
    </w:rPr>
  </w:style>
  <w:style w:type="paragraph" w:customStyle="1" w:styleId="CopyrightText">
    <w:name w:val="Copyright Text"/>
    <w:basedOn w:val="BodyText"/>
    <w:rsid w:val="00E20116"/>
    <w:rPr>
      <w:sz w:val="18"/>
    </w:rPr>
  </w:style>
  <w:style w:type="paragraph" w:customStyle="1" w:styleId="BodySmallRight">
    <w:name w:val="Body Small Right"/>
    <w:basedOn w:val="BodyTextRight"/>
    <w:rsid w:val="00E20116"/>
    <w:rPr>
      <w:sz w:val="18"/>
      <w:szCs w:val="18"/>
    </w:rPr>
  </w:style>
  <w:style w:type="paragraph" w:customStyle="1" w:styleId="MarginEdition">
    <w:name w:val="Margin Edition"/>
    <w:basedOn w:val="MarginNote"/>
    <w:rsid w:val="00E20116"/>
    <w:pPr>
      <w:spacing w:before="0" w:after="0"/>
    </w:pPr>
    <w:rPr>
      <w:rFonts w:ascii="Times New Roman" w:hAnsi="Times New Roman"/>
      <w:color w:val="999999"/>
    </w:rPr>
  </w:style>
  <w:style w:type="paragraph" w:customStyle="1" w:styleId="Spacer">
    <w:name w:val="Spacer"/>
    <w:basedOn w:val="Normal"/>
    <w:rsid w:val="00E20116"/>
    <w:rPr>
      <w:sz w:val="2"/>
      <w:szCs w:val="2"/>
    </w:rPr>
  </w:style>
  <w:style w:type="character" w:customStyle="1" w:styleId="Small">
    <w:name w:val="Small"/>
    <w:basedOn w:val="DefaultParagraphFont"/>
    <w:rsid w:val="00E20116"/>
    <w:rPr>
      <w:sz w:val="16"/>
    </w:rPr>
  </w:style>
  <w:style w:type="paragraph" w:customStyle="1" w:styleId="WideTable">
    <w:name w:val="Wide Table"/>
    <w:basedOn w:val="Normal"/>
    <w:rsid w:val="00E20116"/>
    <w:pPr>
      <w:ind w:left="-1418"/>
    </w:pPr>
    <w:rPr>
      <w:sz w:val="2"/>
      <w:szCs w:val="2"/>
    </w:rPr>
  </w:style>
  <w:style w:type="character" w:styleId="PageNumber">
    <w:name w:val="page number"/>
    <w:basedOn w:val="DefaultParagraphFont"/>
    <w:rsid w:val="00E20116"/>
  </w:style>
  <w:style w:type="paragraph" w:styleId="Quote">
    <w:name w:val="Quote"/>
    <w:basedOn w:val="Heading1"/>
    <w:link w:val="QuoteChar"/>
    <w:qFormat/>
    <w:rsid w:val="00E20116"/>
    <w:rPr>
      <w:b w:val="0"/>
      <w:sz w:val="72"/>
      <w:szCs w:val="72"/>
      <w:lang w:val="en-NZ"/>
    </w:rPr>
  </w:style>
  <w:style w:type="character" w:customStyle="1" w:styleId="QuoteChar">
    <w:name w:val="Quote Char"/>
    <w:basedOn w:val="DefaultParagraphFont"/>
    <w:link w:val="Quote"/>
    <w:rsid w:val="00E20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16"/>
    <w:pPr>
      <w:pageBreakBefore/>
    </w:pPr>
  </w:style>
  <w:style w:type="paragraph" w:customStyle="1" w:styleId="Border">
    <w:name w:val="Border"/>
    <w:basedOn w:val="Normal"/>
    <w:qFormat/>
    <w:rsid w:val="00E20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16"/>
    <w:rPr>
      <w:b/>
      <w:bCs/>
      <w:i/>
      <w:iCs/>
      <w:color w:val="auto"/>
    </w:rPr>
  </w:style>
  <w:style w:type="paragraph" w:styleId="IntenseQuote">
    <w:name w:val="Intense Quote"/>
    <w:basedOn w:val="Normal"/>
    <w:next w:val="Normal"/>
    <w:link w:val="IntenseQuoteChar"/>
    <w:uiPriority w:val="30"/>
    <w:qFormat/>
    <w:rsid w:val="00E20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16"/>
    <w:rPr>
      <w:smallCaps/>
      <w:color w:val="auto"/>
      <w:u w:val="single"/>
    </w:rPr>
  </w:style>
  <w:style w:type="character" w:styleId="IntenseReference">
    <w:name w:val="Intense Reference"/>
    <w:basedOn w:val="DefaultParagraphFont"/>
    <w:uiPriority w:val="32"/>
    <w:qFormat/>
    <w:rsid w:val="00E20116"/>
    <w:rPr>
      <w:b/>
      <w:bCs/>
      <w:smallCaps/>
      <w:color w:val="auto"/>
      <w:spacing w:val="5"/>
      <w:u w:val="single"/>
    </w:rPr>
  </w:style>
  <w:style w:type="paragraph" w:customStyle="1" w:styleId="2ColumnHeading">
    <w:name w:val="2Column Heading"/>
    <w:basedOn w:val="BodyText"/>
    <w:qFormat/>
    <w:rsid w:val="00E20116"/>
    <w:pPr>
      <w:spacing w:after="60"/>
      <w:ind w:left="-2268"/>
    </w:pPr>
    <w:rPr>
      <w:b/>
    </w:rPr>
  </w:style>
  <w:style w:type="paragraph" w:customStyle="1" w:styleId="Heading1TOC">
    <w:name w:val="Heading1 TOC"/>
    <w:basedOn w:val="Normal"/>
    <w:qFormat/>
    <w:rsid w:val="00E20116"/>
    <w:pPr>
      <w:spacing w:before="240" w:after="120"/>
    </w:pPr>
    <w:rPr>
      <w:rFonts w:ascii="Times New Roman" w:hAnsi="Times New Roman"/>
      <w:b/>
      <w:sz w:val="32"/>
    </w:rPr>
  </w:style>
  <w:style w:type="paragraph" w:customStyle="1" w:styleId="Heading2TOC">
    <w:name w:val="Heading2 TOC"/>
    <w:basedOn w:val="Normal"/>
    <w:qFormat/>
    <w:rsid w:val="00E20116"/>
    <w:pPr>
      <w:spacing w:before="240" w:after="60"/>
    </w:pPr>
    <w:rPr>
      <w:rFonts w:ascii="Times New Roman" w:hAnsi="Times New Roman"/>
      <w:b/>
      <w:sz w:val="28"/>
    </w:rPr>
  </w:style>
  <w:style w:type="character" w:customStyle="1" w:styleId="Underline">
    <w:name w:val="Underline"/>
    <w:basedOn w:val="DefaultParagraphFont"/>
    <w:qFormat/>
    <w:rsid w:val="00E20116"/>
    <w:rPr>
      <w:u w:val="single"/>
    </w:rPr>
  </w:style>
  <w:style w:type="character" w:customStyle="1" w:styleId="BoldandItalics">
    <w:name w:val="Bold and Italics"/>
    <w:qFormat/>
    <w:rsid w:val="00E20116"/>
    <w:rPr>
      <w:b/>
      <w:i/>
      <w:u w:val="none"/>
    </w:rPr>
  </w:style>
  <w:style w:type="paragraph" w:styleId="BalloonText">
    <w:name w:val="Balloon Text"/>
    <w:basedOn w:val="Normal"/>
    <w:link w:val="BalloonTextChar"/>
    <w:rsid w:val="00E20116"/>
    <w:rPr>
      <w:rFonts w:ascii="Tahoma" w:hAnsi="Tahoma" w:cs="Tahoma"/>
      <w:sz w:val="16"/>
      <w:szCs w:val="16"/>
    </w:rPr>
  </w:style>
  <w:style w:type="character" w:customStyle="1" w:styleId="BalloonTextChar">
    <w:name w:val="Balloon Text Char"/>
    <w:basedOn w:val="DefaultParagraphFont"/>
    <w:link w:val="BalloonText"/>
    <w:rsid w:val="00E20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16"/>
    <w:rPr>
      <w:b/>
      <w:color w:val="660033"/>
      <w:spacing w:val="0"/>
    </w:rPr>
  </w:style>
  <w:style w:type="paragraph" w:customStyle="1" w:styleId="Nameditemlist">
    <w:name w:val="Named item list"/>
    <w:basedOn w:val="BodyText"/>
    <w:qFormat/>
    <w:rsid w:val="00E201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964</Words>
  <Characters>5870</Characters>
  <Application>Microsoft Office Word</Application>
  <DocSecurity>0</DocSecurity>
  <Lines>218</Lines>
  <Paragraphs>101</Paragraphs>
  <ScaleCrop>false</ScaleCrop>
  <Company>Author-it Software Corporation Ltd.</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MEM08006B Produce clear and/or coloured and/or sealed anodised films on aluminium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2012-10-05T16:07:00Z</dcterms:created>
  <dcterms:modified xsi:type="dcterms:W3CDTF">2012-10-05T16:07:00Z</dcterms:modified>
</cp:coreProperties>
</file>