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7F4" w:rsidP="00FF47F4">
      <w:pPr>
        <w:pStyle w:val="Title"/>
      </w:pPr>
      <w:r>
        <w:fldChar w:fldCharType="begin"/>
      </w:r>
      <w:r>
        <w:instrText xml:space="preserve"> TITLE   \* MERGEFORMAT </w:instrText>
      </w:r>
      <w:r>
        <w:fldChar w:fldCharType="separate"/>
      </w:r>
      <w:r>
        <w:t>MEM08005B Prepare and produce specialised coatings</w:t>
      </w:r>
      <w:r>
        <w:fldChar w:fldCharType="end"/>
      </w:r>
    </w:p>
    <w:p w:rsidR="00FF47F4" w:rsidP="00FF47F4">
      <w:pPr>
        <w:pStyle w:val="Version"/>
        <w:sectPr w:rsidSect="00BE0E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EDF" w:rsidP="00BE0EDF">
      <w:pPr>
        <w:pStyle w:val="SuperHeading"/>
      </w:pPr>
      <w:r w:rsidRPr="00BE0EDF">
        <w:t>MEM08005B Prepare and produce specialised coatings</w:t>
      </w:r>
    </w:p>
    <w:p w:rsidR="00000000" w:rsidRPr="00BE0EDF" w:rsidP="00BE0EDF">
      <w:pPr>
        <w:pStyle w:val="Heading1"/>
      </w:pPr>
      <w:bookmarkStart w:id="1" w:name="O_272087"/>
      <w:bookmarkEnd w:id="1"/>
      <w:r w:rsidRPr="00BE0EDF">
        <w:t>Modification History</w:t>
      </w:r>
    </w:p>
    <w:p w:rsidR="00000000" w:rsidRPr="00BE0EDF" w:rsidP="00BE0EDF">
      <w:pPr>
        <w:pStyle w:val="BodyText"/>
      </w:pPr>
      <w:r w:rsidRPr="00BE0EDF">
        <w:t>Not Applicable</w:t>
      </w:r>
    </w:p>
    <w:p w:rsidR="00000000" w:rsidRPr="00BE0EDF" w:rsidP="00BE0EDF">
      <w:pPr>
        <w:pStyle w:val="AllowPageBreak"/>
      </w:pPr>
    </w:p>
    <w:p w:rsidR="00000000" w:rsidRPr="00BE0EDF" w:rsidP="00BE0EDF">
      <w:pPr>
        <w:pStyle w:val="Heading1"/>
      </w:pPr>
      <w:bookmarkStart w:id="2" w:name="O_211047"/>
      <w:bookmarkEnd w:id="2"/>
      <w:r w:rsidRPr="00BE0EDF">
        <w:t>Unit Descriptor</w:t>
      </w:r>
    </w:p>
    <w:tbl>
      <w:tblPr>
        <w:tblW w:w="0" w:type="auto"/>
        <w:tblLayout w:type="fixed"/>
        <w:tblCellMar>
          <w:left w:w="62" w:type="dxa"/>
          <w:right w:w="62" w:type="dxa"/>
        </w:tblCellMar>
        <w:tblLook w:val="0000"/>
      </w:tblPr>
      <w:tblGrid>
        <w:gridCol w:w="2672"/>
        <w:gridCol w:w="5850"/>
      </w:tblGrid>
      <w:tr w:rsidTr="00FF47F4">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t>This unit covers undertaking masking and jig work, determining operational parameters, and pre-treat</w:t>
            </w:r>
            <w:r w:rsidRPr="00BE0EDF">
              <w:t>ing and treating work.</w:t>
            </w:r>
          </w:p>
        </w:tc>
      </w:tr>
    </w:tbl>
    <w:p w:rsidR="00FF47F4" w:rsidP="00BE0EDF">
      <w:pPr>
        <w:pStyle w:val="BodyText"/>
      </w:pPr>
    </w:p>
    <w:p w:rsidR="00FF47F4" w:rsidP="00BE0EDF">
      <w:pPr>
        <w:pStyle w:val="BodyText"/>
      </w:pPr>
    </w:p>
    <w:p w:rsidR="00000000" w:rsidRPr="00BE0EDF" w:rsidP="00BE0EDF">
      <w:pPr>
        <w:pStyle w:val="Heading1"/>
      </w:pPr>
      <w:bookmarkStart w:id="3" w:name="O_211051"/>
      <w:bookmarkEnd w:id="3"/>
      <w:r w:rsidRPr="00BE0EDF">
        <w:t>Application of the Unit</w:t>
      </w:r>
    </w:p>
    <w:tbl>
      <w:tblPr>
        <w:tblW w:w="0" w:type="auto"/>
        <w:tblLayout w:type="fixed"/>
        <w:tblCellMar>
          <w:left w:w="62" w:type="dxa"/>
          <w:right w:w="62" w:type="dxa"/>
        </w:tblCellMar>
        <w:tblLook w:val="0000"/>
      </w:tblPr>
      <w:tblGrid>
        <w:gridCol w:w="2745"/>
        <w:gridCol w:w="5777"/>
      </w:tblGrid>
      <w:tr w:rsidTr="00FF47F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t xml:space="preserve">This unit applies to specialised production of industrial films on a variety of work pieces, often on a one-off basis. Typical of the coatings </w:t>
            </w:r>
            <w:r w:rsidRPr="00BE0EDF">
              <w:t>are heavy (hard) chromium or nickel, heavy electroless nickel, 'hard' anodising and selective (brush) plating. Also included is the electrodeposition of 'difficult' metals such as iron and certain alloys.</w:t>
            </w:r>
          </w:p>
          <w:p w:rsidR="00000000" w:rsidRPr="00BE0EDF" w:rsidP="00BE0EDF">
            <w:pPr>
              <w:pStyle w:val="BodyText"/>
            </w:pPr>
          </w:p>
          <w:p w:rsidR="00000000" w:rsidRPr="00BE0EDF" w:rsidP="00BE0EDF">
            <w:pPr>
              <w:pStyle w:val="BodyText"/>
            </w:pPr>
            <w:r w:rsidRPr="00BE0EDF">
              <w:rPr>
                <w:rStyle w:val="SpecialBold"/>
              </w:rPr>
              <w:t>Band</w:t>
            </w:r>
            <w:r w:rsidRPr="00BE0EDF">
              <w:t>:</w:t>
            </w:r>
            <w:r w:rsidRPr="00BE0EDF">
              <w:tab/>
            </w:r>
            <w:r w:rsidRPr="00BE0EDF">
              <w:rPr>
                <w:rStyle w:val="SpecialBold"/>
              </w:rPr>
              <w:t>A</w:t>
            </w:r>
          </w:p>
          <w:p w:rsidR="00000000" w:rsidRPr="00BE0EDF" w:rsidP="00BE0EDF">
            <w:pPr>
              <w:pStyle w:val="BodyText"/>
            </w:pPr>
            <w:r w:rsidRPr="00BE0EDF">
              <w:rPr>
                <w:rStyle w:val="SpecialBold"/>
              </w:rPr>
              <w:t>Unit Weight</w:t>
            </w:r>
            <w:r w:rsidRPr="00BE0EDF">
              <w:t>:</w:t>
            </w:r>
            <w:r w:rsidRPr="00BE0EDF">
              <w:tab/>
            </w:r>
            <w:r w:rsidRPr="00BE0EDF">
              <w:rPr>
                <w:rStyle w:val="SpecialBold"/>
              </w:rPr>
              <w:t>4</w:t>
            </w:r>
          </w:p>
        </w:tc>
      </w:tr>
    </w:tbl>
    <w:p w:rsidR="00FF47F4" w:rsidP="00BE0EDF">
      <w:pPr>
        <w:pStyle w:val="BodyText"/>
      </w:pPr>
    </w:p>
    <w:p w:rsidR="00FF47F4" w:rsidP="00BE0EDF">
      <w:pPr>
        <w:pStyle w:val="BodyText"/>
      </w:pPr>
    </w:p>
    <w:p w:rsidR="00000000" w:rsidRPr="00BE0EDF" w:rsidP="00BE0EDF">
      <w:pPr>
        <w:pStyle w:val="Heading1"/>
      </w:pPr>
      <w:bookmarkStart w:id="4" w:name="O_280347"/>
      <w:bookmarkEnd w:id="4"/>
      <w:r w:rsidRPr="00BE0EDF">
        <w:t>Licensing/Regulatory Information</w:t>
      </w:r>
    </w:p>
    <w:p w:rsidR="00000000" w:rsidRPr="00BE0EDF" w:rsidP="00BE0EDF">
      <w:pPr>
        <w:pStyle w:val="BodyText"/>
      </w:pPr>
      <w:r w:rsidRPr="00BE0EDF">
        <w:t>Not Applicable</w:t>
      </w:r>
    </w:p>
    <w:p w:rsidR="00000000" w:rsidRPr="00BE0EDF" w:rsidP="00BE0EDF">
      <w:pPr>
        <w:pStyle w:val="AllowPageBreak"/>
      </w:pPr>
    </w:p>
    <w:p w:rsidR="00000000" w:rsidRPr="00BE0EDF" w:rsidP="00BE0EDF">
      <w:pPr>
        <w:pStyle w:val="Heading1"/>
      </w:pPr>
      <w:bookmarkStart w:id="5" w:name="O_211049"/>
      <w:bookmarkEnd w:id="5"/>
      <w:r w:rsidRPr="00BE0EDF">
        <w:t>Pre-Requisites</w:t>
      </w:r>
    </w:p>
    <w:tbl>
      <w:tblPr>
        <w:tblW w:w="0" w:type="auto"/>
        <w:tblLayout w:type="fixed"/>
        <w:tblCellMar>
          <w:left w:w="62" w:type="dxa"/>
          <w:right w:w="62" w:type="dxa"/>
        </w:tblCellMar>
        <w:tblLook w:val="0000"/>
      </w:tblPr>
      <w:tblGrid>
        <w:gridCol w:w="2719"/>
        <w:gridCol w:w="2207"/>
        <w:gridCol w:w="3596"/>
      </w:tblGrid>
      <w:tr w:rsidTr="00FF47F4">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p>
        </w:tc>
      </w:tr>
      <w:tr w:rsidTr="00FF47F4">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MEM08002C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Pre-treat work for subsequent surface coating</w:t>
            </w:r>
          </w:p>
        </w:tc>
      </w:tr>
      <w:tr w:rsidTr="00FF47F4">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MEM13003B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t xml:space="preserve">Work safely with industrial </w:t>
            </w:r>
            <w:r w:rsidRPr="00BE0EDF">
              <w:t>chemicals and materials</w:t>
            </w:r>
          </w:p>
        </w:tc>
      </w:tr>
    </w:tbl>
    <w:p w:rsidR="00FF47F4" w:rsidP="00BE0EDF">
      <w:pPr>
        <w:pStyle w:val="BodyText"/>
      </w:pPr>
    </w:p>
    <w:p w:rsidR="00FF47F4" w:rsidP="00BE0EDF">
      <w:pPr>
        <w:pStyle w:val="BodyText"/>
      </w:pPr>
    </w:p>
    <w:p w:rsidR="00000000" w:rsidRPr="00BE0EDF" w:rsidP="00BE0EDF">
      <w:pPr>
        <w:pStyle w:val="Heading1"/>
      </w:pPr>
      <w:bookmarkStart w:id="6" w:name="O_211048"/>
      <w:bookmarkEnd w:id="6"/>
      <w:r w:rsidRPr="00BE0EDF">
        <w:t>Employability Skills Information</w:t>
      </w:r>
    </w:p>
    <w:tbl>
      <w:tblPr>
        <w:tblW w:w="0" w:type="auto"/>
        <w:tblLayout w:type="fixed"/>
        <w:tblCellMar>
          <w:left w:w="62" w:type="dxa"/>
          <w:right w:w="62" w:type="dxa"/>
        </w:tblCellMar>
        <w:tblLook w:val="0000"/>
      </w:tblPr>
      <w:tblGrid>
        <w:gridCol w:w="2802"/>
        <w:gridCol w:w="5720"/>
      </w:tblGrid>
      <w:tr w:rsidTr="00FF47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t>This unit contains employability skills.</w:t>
            </w:r>
          </w:p>
        </w:tc>
      </w:tr>
    </w:tbl>
    <w:p w:rsidR="00FF47F4" w:rsidP="00BE0EDF">
      <w:pPr>
        <w:pStyle w:val="BodyText"/>
      </w:pPr>
    </w:p>
    <w:p w:rsidR="00FF47F4" w:rsidP="00BE0EDF">
      <w:pPr>
        <w:pStyle w:val="BodyText"/>
      </w:pPr>
    </w:p>
    <w:p w:rsidR="00000000" w:rsidRPr="00BE0EDF" w:rsidP="00BE0EDF">
      <w:pPr>
        <w:pStyle w:val="Heading1"/>
      </w:pPr>
      <w:bookmarkStart w:id="7" w:name="O_290133"/>
      <w:bookmarkEnd w:id="7"/>
      <w:r w:rsidRPr="00BE0EDF">
        <w:t>Elements and Performance Criteria Pre-Content</w:t>
      </w:r>
    </w:p>
    <w:tbl>
      <w:tblPr>
        <w:tblW w:w="0" w:type="auto"/>
        <w:tblLayout w:type="fixed"/>
        <w:tblCellMar>
          <w:left w:w="62" w:type="dxa"/>
          <w:right w:w="62" w:type="dxa"/>
        </w:tblCellMar>
        <w:tblLook w:val="0000"/>
      </w:tblPr>
      <w:tblGrid>
        <w:gridCol w:w="2579"/>
        <w:gridCol w:w="5943"/>
      </w:tblGrid>
      <w:tr w:rsidTr="00FF47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t>Performance criteria describe</w:t>
            </w:r>
            <w:r w:rsidRPr="00BE0ED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E0EDF">
              <w:t>the evidence guide.</w:t>
            </w:r>
          </w:p>
        </w:tc>
      </w:tr>
    </w:tbl>
    <w:p w:rsidR="00000000" w:rsidRPr="00BE0EDF" w:rsidP="00BE0EDF">
      <w:pPr>
        <w:pStyle w:val="BodyText"/>
      </w:pPr>
    </w:p>
    <w:p w:rsidR="00000000" w:rsidRPr="00BE0EDF" w:rsidP="00BE0EDF">
      <w:pPr>
        <w:pStyle w:val="AllowPageBreak"/>
      </w:pPr>
    </w:p>
    <w:p w:rsidR="00000000" w:rsidRPr="00BE0EDF" w:rsidP="00BE0EDF">
      <w:pPr>
        <w:pStyle w:val="Heading1"/>
      </w:pPr>
      <w:bookmarkStart w:id="8" w:name="O_236800"/>
      <w:bookmarkEnd w:id="8"/>
      <w:r w:rsidRPr="00BE0EDF">
        <w:t>Elements and Performance Criteria</w:t>
      </w:r>
    </w:p>
    <w:tbl>
      <w:tblPr>
        <w:tblW w:w="0" w:type="auto"/>
        <w:tblLayout w:type="fixed"/>
        <w:tblCellMar>
          <w:left w:w="62" w:type="dxa"/>
          <w:right w:w="62" w:type="dxa"/>
        </w:tblCellMar>
        <w:tblLook w:val="0000"/>
      </w:tblPr>
      <w:tblGrid>
        <w:gridCol w:w="2579"/>
        <w:gridCol w:w="5943"/>
      </w:tblGrid>
      <w:tr w:rsidTr="00FF47F4">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PERFORMANCE CRITERIA</w:t>
            </w:r>
          </w:p>
        </w:tc>
      </w:tr>
      <w:tr w:rsidTr="00FF47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List"/>
              <w:rPr>
                <w:lang w:val="en-NZ"/>
              </w:rPr>
            </w:pPr>
            <w:r w:rsidRPr="00BE0EDF">
              <w:t>1.</w:t>
            </w:r>
            <w:r w:rsidRPr="00BE0EDF">
              <w:tab/>
              <w:t xml:space="preserve">Undertake mask and jig work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List2"/>
            </w:pPr>
            <w:r w:rsidRPr="00BE0EDF">
              <w:t>1.1.</w:t>
            </w:r>
            <w:r w:rsidRPr="00BE0EDF">
              <w:tab/>
              <w:t>Jigs are secured and masking is adherent and stable.</w:t>
            </w:r>
          </w:p>
          <w:p w:rsidR="00000000" w:rsidRPr="00BE0EDF" w:rsidP="00BE0EDF">
            <w:pPr>
              <w:pStyle w:val="List2"/>
            </w:pPr>
            <w:r w:rsidRPr="00BE0EDF">
              <w:t>1.2.</w:t>
            </w:r>
            <w:r w:rsidRPr="00BE0EDF">
              <w:tab/>
            </w:r>
            <w:r w:rsidRPr="00BE0EDF">
              <w:t>Necessary auxiliary electrodes and shields are incorporated effectively.</w:t>
            </w:r>
          </w:p>
          <w:p w:rsidR="00000000" w:rsidP="00BE0EDF">
            <w:pPr>
              <w:pStyle w:val="List2"/>
              <w:rPr>
                <w:lang w:val="en-NZ"/>
              </w:rPr>
            </w:pPr>
            <w:r w:rsidRPr="00BE0EDF">
              <w:t>1.3.</w:t>
            </w:r>
            <w:r w:rsidRPr="00BE0EDF">
              <w:tab/>
              <w:t>Necessary jigs and shields are manufactured.</w:t>
            </w:r>
          </w:p>
        </w:tc>
      </w:tr>
      <w:tr w:rsidTr="00FF47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List"/>
              <w:rPr>
                <w:lang w:val="en-NZ"/>
              </w:rPr>
            </w:pPr>
            <w:r w:rsidRPr="00BE0EDF">
              <w:t>2.</w:t>
            </w:r>
            <w:r w:rsidRPr="00BE0EDF">
              <w:tab/>
              <w:t>Determine operating parameters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List2"/>
              <w:rPr>
                <w:lang w:val="en-NZ"/>
              </w:rPr>
            </w:pPr>
            <w:r w:rsidRPr="00BE0EDF">
              <w:t>2.1.</w:t>
            </w:r>
            <w:r w:rsidRPr="00BE0EDF">
              <w:tab/>
            </w:r>
            <w:r w:rsidRPr="00BE0EDF">
              <w:t>Plating knowledge and/or specifications are applied in correctly computing operating times, currents and/or voltages.</w:t>
            </w:r>
          </w:p>
        </w:tc>
      </w:tr>
      <w:tr w:rsidTr="00FF47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List"/>
              <w:rPr>
                <w:lang w:val="en-NZ"/>
              </w:rPr>
            </w:pPr>
            <w:r w:rsidRPr="00BE0EDF">
              <w:t>3.</w:t>
            </w:r>
            <w:r w:rsidRPr="00BE0EDF">
              <w:tab/>
              <w:t xml:space="preserve">Pre-treat and treat work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List2"/>
            </w:pPr>
            <w:r w:rsidRPr="00BE0EDF">
              <w:t>3.1.</w:t>
            </w:r>
            <w:r w:rsidRPr="00BE0EDF">
              <w:tab/>
              <w:t>Work is treated in accordance with specifications using standard operating procedures.</w:t>
            </w:r>
          </w:p>
        </w:tc>
      </w:tr>
    </w:tbl>
    <w:p w:rsidR="00FF47F4" w:rsidP="00BE0EDF">
      <w:pPr>
        <w:pStyle w:val="BodyText"/>
      </w:pPr>
    </w:p>
    <w:p w:rsidR="00FF47F4" w:rsidP="00BE0EDF">
      <w:pPr>
        <w:pStyle w:val="BodyText"/>
      </w:pPr>
    </w:p>
    <w:p w:rsidR="00000000" w:rsidRPr="00BE0EDF" w:rsidP="00BE0EDF">
      <w:pPr>
        <w:pStyle w:val="Heading1"/>
      </w:pPr>
      <w:bookmarkStart w:id="9" w:name="O_260750"/>
      <w:bookmarkEnd w:id="9"/>
      <w:r w:rsidRPr="00BE0EDF">
        <w:t>Required Skills and Knowledge</w:t>
      </w:r>
    </w:p>
    <w:tbl>
      <w:tblPr>
        <w:tblW w:w="0" w:type="auto"/>
        <w:tblLayout w:type="fixed"/>
        <w:tblCellMar>
          <w:left w:w="62" w:type="dxa"/>
          <w:right w:w="62" w:type="dxa"/>
        </w:tblCellMar>
        <w:tblLook w:val="0000"/>
      </w:tblPr>
      <w:tblGrid>
        <w:gridCol w:w="8522"/>
      </w:tblGrid>
      <w:tr w:rsidTr="00FF47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REQUIRED SKILLS AND KNOWLEDGE</w:t>
            </w:r>
          </w:p>
        </w:tc>
      </w:tr>
      <w:tr w:rsidTr="00FF47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This section describes the skills and knowledge required for this unit.</w:t>
            </w:r>
          </w:p>
        </w:tc>
      </w:tr>
      <w:tr w:rsidTr="00FF47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Required skills</w:t>
            </w:r>
          </w:p>
        </w:tc>
      </w:tr>
      <w:tr w:rsidTr="00FF47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t>Look for evidence that confirms skills in:</w:t>
            </w:r>
          </w:p>
          <w:p w:rsidR="00000000" w:rsidRPr="00BE0EDF" w:rsidP="00BE0EDF">
            <w:pPr>
              <w:pStyle w:val="ListBullet"/>
            </w:pPr>
            <w:r w:rsidRPr="00BE0EDF">
              <w:t>securing the electroplating jigs</w:t>
            </w:r>
          </w:p>
          <w:p w:rsidR="00000000" w:rsidRPr="00BE0EDF" w:rsidP="00BE0EDF">
            <w:pPr>
              <w:pStyle w:val="ListBullet"/>
            </w:pPr>
            <w:r w:rsidRPr="00BE0EDF">
              <w:t>correctly masking</w:t>
            </w:r>
          </w:p>
          <w:p w:rsidR="00000000" w:rsidRPr="00BE0EDF" w:rsidP="00BE0EDF">
            <w:pPr>
              <w:pStyle w:val="ListBullet"/>
            </w:pPr>
            <w:r w:rsidRPr="00BE0EDF">
              <w:t>setting up auxiliary electrodes and shields</w:t>
            </w:r>
          </w:p>
          <w:p w:rsidR="00000000" w:rsidRPr="00BE0EDF" w:rsidP="00BE0EDF">
            <w:pPr>
              <w:pStyle w:val="ListBullet"/>
            </w:pPr>
            <w:r w:rsidRPr="00BE0EDF">
              <w:t>manufacturing jigs and shields in accordance with specifications</w:t>
            </w:r>
          </w:p>
          <w:p w:rsidR="00000000" w:rsidRPr="00BE0EDF" w:rsidP="00BE0EDF">
            <w:pPr>
              <w:pStyle w:val="ListBullet"/>
            </w:pPr>
            <w:r w:rsidRPr="00BE0EDF">
              <w:t>correctly calculating the operating parameters</w:t>
            </w:r>
          </w:p>
          <w:p w:rsidR="00000000" w:rsidRPr="00BE0EDF" w:rsidP="00BE0EDF">
            <w:pPr>
              <w:pStyle w:val="ListBullet"/>
            </w:pPr>
            <w:r w:rsidRPr="00BE0EDF">
              <w:t>treating the work</w:t>
            </w:r>
          </w:p>
          <w:p w:rsidR="00000000" w:rsidRPr="00BE0EDF" w:rsidP="00BE0EDF">
            <w:pPr>
              <w:pStyle w:val="ListBullet"/>
            </w:pPr>
            <w:r w:rsidRPr="00BE0EDF">
              <w:t>reading and interpreting routine information on written job inst</w:t>
            </w:r>
            <w:r w:rsidRPr="00BE0EDF">
              <w:t>ructions, specifications and standard operating procedures. May include drawings</w:t>
            </w:r>
          </w:p>
          <w:p w:rsidR="00000000" w:rsidRPr="00BE0EDF" w:rsidP="00BE0EDF">
            <w:pPr>
              <w:pStyle w:val="ListBullet"/>
            </w:pPr>
            <w:r w:rsidRPr="00BE0EDF">
              <w:t>following oral instructions</w:t>
            </w:r>
          </w:p>
          <w:p w:rsidR="00000000" w:rsidP="00BE0EDF">
            <w:pPr>
              <w:pStyle w:val="ListBullet"/>
              <w:rPr>
                <w:lang w:val="en-NZ"/>
              </w:rPr>
            </w:pPr>
            <w:r w:rsidRPr="00BE0EDF">
              <w:t>performing calculations using formulae</w:t>
            </w:r>
          </w:p>
        </w:tc>
      </w:tr>
      <w:tr w:rsidTr="00FF47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Required knowledge</w:t>
            </w:r>
          </w:p>
        </w:tc>
      </w:tr>
      <w:tr w:rsidTr="00FF47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t>Look for evidence that confirms knowledge of:</w:t>
            </w:r>
          </w:p>
          <w:p w:rsidR="00000000" w:rsidRPr="00BE0EDF" w:rsidP="00BE0EDF">
            <w:pPr>
              <w:pStyle w:val="ListBullet"/>
            </w:pPr>
            <w:r w:rsidRPr="00BE0EDF">
              <w:t>the reasons for masking work being elect</w:t>
            </w:r>
            <w:r w:rsidRPr="00BE0EDF">
              <w:t>roplated</w:t>
            </w:r>
          </w:p>
          <w:p w:rsidR="00000000" w:rsidRPr="00BE0EDF" w:rsidP="00BE0EDF">
            <w:pPr>
              <w:pStyle w:val="ListBullet"/>
            </w:pPr>
            <w:r w:rsidRPr="00BE0EDF">
              <w:t>the range of materials that are used for masking purposes</w:t>
            </w:r>
          </w:p>
          <w:p w:rsidR="00000000" w:rsidRPr="00BE0EDF" w:rsidP="00BE0EDF">
            <w:pPr>
              <w:pStyle w:val="ListBullet"/>
            </w:pPr>
            <w:r w:rsidRPr="00BE0EDF">
              <w:t>the procedures for securing the masking</w:t>
            </w:r>
          </w:p>
          <w:p w:rsidR="00000000" w:rsidRPr="00BE0EDF" w:rsidP="00BE0EDF">
            <w:pPr>
              <w:pStyle w:val="ListBullet"/>
            </w:pPr>
            <w:r w:rsidRPr="00BE0EDF">
              <w:t>the reasons for using auxiliary electrodes and shields</w:t>
            </w:r>
          </w:p>
          <w:p w:rsidR="00000000" w:rsidRPr="00BE0EDF" w:rsidP="00BE0EDF">
            <w:pPr>
              <w:pStyle w:val="ListBullet"/>
            </w:pPr>
            <w:r w:rsidRPr="00BE0EDF">
              <w:t>the procedures for mounting/setting up auxiliary electrodes and shields</w:t>
            </w:r>
          </w:p>
          <w:p w:rsidR="00000000" w:rsidRPr="00BE0EDF" w:rsidP="00BE0EDF">
            <w:pPr>
              <w:pStyle w:val="ListBullet"/>
            </w:pPr>
            <w:r w:rsidRPr="00BE0EDF">
              <w:t>the specifications of the jigs and shields to be manufactured</w:t>
            </w:r>
          </w:p>
          <w:p w:rsidR="00000000" w:rsidRPr="00BE0EDF" w:rsidP="00BE0EDF">
            <w:pPr>
              <w:pStyle w:val="ListBullet"/>
            </w:pPr>
            <w:r w:rsidRPr="00BE0EDF">
              <w:t>the procedures for manufacturing jigs and shields</w:t>
            </w:r>
          </w:p>
          <w:p w:rsidR="00000000" w:rsidRPr="00BE0EDF" w:rsidP="00BE0EDF">
            <w:pPr>
              <w:pStyle w:val="ListBullet"/>
            </w:pPr>
            <w:r w:rsidRPr="00BE0EDF">
              <w:t>the procedures and formulae for calculating operating times, currents and voltages</w:t>
            </w:r>
          </w:p>
          <w:p w:rsidR="00000000" w:rsidRPr="00BE0EDF" w:rsidP="00BE0EDF">
            <w:pPr>
              <w:pStyle w:val="ListBullet"/>
            </w:pPr>
            <w:r w:rsidRPr="00BE0EDF">
              <w:t>the specifications of the surface finish to be achieved</w:t>
            </w:r>
          </w:p>
          <w:p w:rsidR="00000000" w:rsidRPr="00BE0EDF" w:rsidP="00BE0EDF">
            <w:pPr>
              <w:pStyle w:val="ListBullet"/>
            </w:pPr>
            <w:r w:rsidRPr="00BE0EDF">
              <w:t>the p</w:t>
            </w:r>
            <w:r w:rsidRPr="00BE0EDF">
              <w:t>rocedures for pre-treating the work</w:t>
            </w:r>
          </w:p>
          <w:p w:rsidR="00000000" w:rsidRPr="00BE0EDF" w:rsidP="00BE0EDF">
            <w:pPr>
              <w:pStyle w:val="ListBullet"/>
            </w:pPr>
            <w:r w:rsidRPr="00BE0EDF">
              <w:t>the procedure for treating the work after electroplating</w:t>
            </w:r>
          </w:p>
          <w:p w:rsidR="00000000" w:rsidRPr="00BE0EDF" w:rsidP="00BE0EDF">
            <w:pPr>
              <w:pStyle w:val="ListBullet"/>
            </w:pPr>
            <w:r w:rsidRPr="00BE0EDF">
              <w:t>the pre-electroplating and post electroplating treatment specifications</w:t>
            </w:r>
          </w:p>
          <w:p w:rsidR="00000000" w:rsidRPr="00BE0EDF" w:rsidP="00BE0EDF">
            <w:pPr>
              <w:pStyle w:val="ListBullet"/>
            </w:pPr>
            <w:r w:rsidRPr="00BE0EDF">
              <w:t>the reasons for pre-electroplating and post electroplating treatment of surfaces</w:t>
            </w:r>
          </w:p>
          <w:p w:rsidR="00000000" w:rsidRPr="00BE0EDF" w:rsidP="00BE0EDF">
            <w:pPr>
              <w:pStyle w:val="ListBullet"/>
            </w:pPr>
            <w:r w:rsidRPr="00BE0EDF">
              <w:t>hazards an</w:t>
            </w:r>
            <w:r w:rsidRPr="00BE0EDF">
              <w:t>d control measures associated with preparing and producing specialised coatings electrolytically</w:t>
            </w:r>
          </w:p>
          <w:p w:rsidR="00000000" w:rsidRPr="00BE0EDF" w:rsidP="00BE0EDF">
            <w:pPr>
              <w:pStyle w:val="ListBullet"/>
            </w:pPr>
            <w:r w:rsidRPr="00BE0EDF">
              <w:t>safe workplace practices and procedures</w:t>
            </w:r>
          </w:p>
        </w:tc>
      </w:tr>
    </w:tbl>
    <w:p w:rsidR="00FF47F4" w:rsidP="00BE0EDF">
      <w:pPr>
        <w:pStyle w:val="BodyText"/>
      </w:pPr>
    </w:p>
    <w:p w:rsidR="00FF47F4" w:rsidP="00BE0EDF">
      <w:pPr>
        <w:pStyle w:val="BodyText"/>
      </w:pPr>
    </w:p>
    <w:p w:rsidR="00000000" w:rsidRPr="00BE0EDF" w:rsidP="00BE0EDF">
      <w:pPr>
        <w:pStyle w:val="AllowPageBreak"/>
      </w:pPr>
    </w:p>
    <w:p w:rsidR="00000000" w:rsidRPr="00BE0EDF" w:rsidP="00BE0EDF">
      <w:pPr>
        <w:pStyle w:val="Heading1"/>
      </w:pPr>
      <w:bookmarkStart w:id="10" w:name="O_244784"/>
      <w:bookmarkEnd w:id="10"/>
      <w:r w:rsidRPr="00BE0EDF">
        <w:t>Evidence Guide</w:t>
      </w:r>
    </w:p>
    <w:tbl>
      <w:tblPr>
        <w:tblW w:w="9570" w:type="dxa"/>
        <w:tblLayout w:type="fixed"/>
        <w:tblCellMar>
          <w:left w:w="62" w:type="dxa"/>
          <w:right w:w="62" w:type="dxa"/>
        </w:tblCellMar>
        <w:tblLook w:val="0000"/>
      </w:tblPr>
      <w:tblGrid>
        <w:gridCol w:w="3908"/>
        <w:gridCol w:w="5662"/>
      </w:tblGrid>
      <w:tr w:rsidTr="00FF47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EVIDENCE GUIDE</w:t>
            </w:r>
          </w:p>
        </w:tc>
      </w:tr>
      <w:tr w:rsidTr="00FF47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The evidence guide provides advice on assessment and must be read in conjunction with the performance criteria, required skills and knowledge, range statement and the Assessment Guidelines for the Training Package.</w:t>
            </w:r>
          </w:p>
        </w:tc>
      </w:tr>
      <w:tr w:rsidTr="00FF4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A person who dem</w:t>
            </w:r>
            <w:r w:rsidRPr="00BE0EDF">
              <w:t>onstrates competency in this unit must be able to prepare and produce specialised industrial films on a variety of work pieces, often on a one-off basis. Competency in this unit cannot be claimed until all prerequisites have been satisfied.</w:t>
            </w:r>
          </w:p>
        </w:tc>
      </w:tr>
      <w:tr w:rsidTr="00FF4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Critical aspec</w:t>
            </w:r>
            <w:r w:rsidRPr="00BE0ED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 xml:space="preserve">Assessors must be satisfied that the candidate can competently and consistently perform all elements of the unit as specified by the criteria, including required knowledge, and </w:t>
            </w:r>
            <w:r w:rsidRPr="00BE0EDF">
              <w:t>be capable of applying the competency in new and different situations and contexts.</w:t>
            </w:r>
          </w:p>
        </w:tc>
      </w:tr>
      <w:tr w:rsidTr="00FF4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t>This unit may be assessed on the job, off the job or a combination of both on and off the job. Where assessment occurs off</w:t>
            </w:r>
            <w:r w:rsidRPr="00BE0EDF">
              <w:t xml:space="preserve"> the job, that is the candidate is not in productive work, then an appropriate simulation must be used where the range of conditions reflects realistic workplace situations. The competencies covered by this unit would be demonstrated by an individual worki</w:t>
            </w:r>
            <w:r w:rsidRPr="00BE0EDF">
              <w:t>ng alone or as part of a team. The assessment environment should not disadvantage the candidate.</w:t>
            </w:r>
          </w:p>
          <w:p w:rsidR="00000000" w:rsidP="00BE0EDF">
            <w:pPr>
              <w:pStyle w:val="BodyText"/>
              <w:rPr>
                <w:lang w:val="en-NZ"/>
              </w:rPr>
            </w:pPr>
            <w:r w:rsidRPr="00BE0EDF">
              <w:t xml:space="preserve">This unit could be assessed in conjunction with any other units addressing the safety, quality, communication, materials handling, recording </w:t>
            </w:r>
            <w:r w:rsidRPr="00BE0EDF">
              <w:t>and reporting associated with preparing and producing specialised industrial films on a variety of work pieces, often on a one-off basis or other units requiring the exercise of the skills and knowledge covered by this unit.</w:t>
            </w:r>
          </w:p>
        </w:tc>
      </w:tr>
      <w:tr w:rsidTr="00FF4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Assessors</w:t>
            </w:r>
            <w:r w:rsidRPr="00BE0EDF">
              <w:t xml:space="preserve"> should gather a range of evidence that is valid, sufficient, current and authentic. Evidence can be gathered through a variety of ways including direct observation, supervisor's reports, project work, samples and questioning. Questioning techniques should</w:t>
            </w:r>
            <w:r w:rsidRPr="00BE0EDF">
              <w:t xml:space="preserve"> not require language, literacy and numeracy skills beyond those required in this unit of competency. The candidate must have access to all tools, equipment, materials and documentation required. The candidate must be permitted to refer to any relevant wor</w:t>
            </w:r>
            <w:r w:rsidRPr="00BE0EDF">
              <w:t>kplace procedures, product and manufacturing specifications, codes, standards, manuals and reference materials.</w:t>
            </w:r>
          </w:p>
        </w:tc>
      </w:tr>
      <w:tr w:rsidTr="00FF4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p>
        </w:tc>
      </w:tr>
    </w:tbl>
    <w:p w:rsidR="00FF47F4" w:rsidP="00BE0EDF">
      <w:pPr>
        <w:pStyle w:val="BodyText"/>
      </w:pPr>
    </w:p>
    <w:p w:rsidR="00FF47F4" w:rsidP="00BE0EDF">
      <w:pPr>
        <w:pStyle w:val="BodyText"/>
      </w:pPr>
    </w:p>
    <w:p w:rsidR="00000000" w:rsidRPr="00BE0EDF" w:rsidP="00BE0EDF">
      <w:pPr>
        <w:pStyle w:val="Heading1"/>
      </w:pPr>
      <w:bookmarkStart w:id="11" w:name="O_252767"/>
      <w:bookmarkEnd w:id="11"/>
      <w:r w:rsidRPr="00BE0EDF">
        <w:t>Range Statement</w:t>
      </w:r>
    </w:p>
    <w:tbl>
      <w:tblPr>
        <w:tblW w:w="0" w:type="auto"/>
        <w:tblLayout w:type="fixed"/>
        <w:tblCellMar>
          <w:left w:w="62" w:type="dxa"/>
          <w:right w:w="62" w:type="dxa"/>
        </w:tblCellMar>
        <w:tblLook w:val="0000"/>
      </w:tblPr>
      <w:tblGrid>
        <w:gridCol w:w="3501"/>
        <w:gridCol w:w="5021"/>
      </w:tblGrid>
      <w:tr w:rsidTr="00FF47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RANGE STATEMENT</w:t>
            </w:r>
          </w:p>
        </w:tc>
      </w:tr>
      <w:tr w:rsidTr="00FF47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t>The range statement relates to the unit of competency as a whole. It allows for different work environments and situations that may affect performance. Bold italicised wording, if used in the performance criteria, is detailed below. Essential operating con</w:t>
            </w:r>
            <w:r w:rsidRPr="00BE0EDF">
              <w:t>ditions that may be present with training and assessment (depending on the work situation, needs of the candidate, accessibility of the item, and local industry and regional contexts) may also be included.</w:t>
            </w:r>
          </w:p>
        </w:tc>
      </w:tr>
      <w:tr w:rsidTr="00FF47F4">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Auxiliary electrodes and shields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ListBullet"/>
            </w:pPr>
            <w:r w:rsidRPr="00BE0EDF">
              <w:t>Soluble auxili</w:t>
            </w:r>
            <w:r w:rsidRPr="00BE0EDF">
              <w:t>ary anodes</w:t>
            </w:r>
          </w:p>
          <w:p w:rsidR="00000000" w:rsidRPr="00BE0EDF" w:rsidP="00BE0EDF">
            <w:pPr>
              <w:pStyle w:val="ListBullet"/>
            </w:pPr>
            <w:r w:rsidRPr="00BE0EDF">
              <w:t>Insoluble auxiliary anodes</w:t>
            </w:r>
          </w:p>
          <w:p w:rsidR="00000000" w:rsidRPr="00BE0EDF" w:rsidP="00BE0EDF">
            <w:pPr>
              <w:pStyle w:val="ListBullet"/>
            </w:pPr>
            <w:r w:rsidRPr="00BE0EDF">
              <w:t>Bi polar electrodes</w:t>
            </w:r>
          </w:p>
          <w:p w:rsidR="00000000" w:rsidRPr="00BE0EDF" w:rsidP="00BE0EDF">
            <w:pPr>
              <w:pStyle w:val="ListBullet"/>
            </w:pPr>
            <w:r w:rsidRPr="00BE0EDF">
              <w:t>Shields</w:t>
            </w:r>
          </w:p>
          <w:p w:rsidR="00000000" w:rsidRPr="00BE0EDF" w:rsidP="00BE0EDF">
            <w:pPr>
              <w:pStyle w:val="ListBullet"/>
            </w:pPr>
            <w:r w:rsidRPr="00BE0EDF">
              <w:t>Robbers</w:t>
            </w:r>
          </w:p>
        </w:tc>
      </w:tr>
    </w:tbl>
    <w:p w:rsidR="00FF47F4" w:rsidP="00BE0EDF">
      <w:pPr>
        <w:pStyle w:val="BodyText"/>
      </w:pPr>
    </w:p>
    <w:p w:rsidR="00FF47F4" w:rsidP="00BE0EDF">
      <w:pPr>
        <w:pStyle w:val="BodyText"/>
      </w:pPr>
    </w:p>
    <w:p w:rsidR="00000000" w:rsidRPr="00BE0EDF" w:rsidP="00BE0EDF">
      <w:pPr>
        <w:pStyle w:val="Heading1"/>
      </w:pPr>
      <w:bookmarkStart w:id="12" w:name="O_211053"/>
      <w:bookmarkEnd w:id="12"/>
      <w:r w:rsidRPr="00BE0EDF">
        <w:t>Unit Sector(s)</w:t>
      </w:r>
    </w:p>
    <w:tbl>
      <w:tblPr>
        <w:tblW w:w="0" w:type="auto"/>
        <w:tblLayout w:type="fixed"/>
        <w:tblCellMar>
          <w:left w:w="62" w:type="dxa"/>
          <w:right w:w="62" w:type="dxa"/>
        </w:tblCellMar>
        <w:tblLook w:val="0000"/>
      </w:tblPr>
      <w:tblGrid>
        <w:gridCol w:w="2654"/>
        <w:gridCol w:w="5868"/>
      </w:tblGrid>
      <w:tr w:rsidTr="00FF47F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p>
        </w:tc>
      </w:tr>
    </w:tbl>
    <w:p w:rsidR="00FF47F4" w:rsidP="00BE0EDF">
      <w:pPr>
        <w:pStyle w:val="BodyText"/>
      </w:pPr>
    </w:p>
    <w:p w:rsidR="00FF47F4" w:rsidP="00BE0EDF">
      <w:pPr>
        <w:pStyle w:val="BodyText"/>
      </w:pPr>
    </w:p>
    <w:p w:rsidR="00000000" w:rsidRPr="00BE0EDF" w:rsidP="00BE0EDF">
      <w:pPr>
        <w:pStyle w:val="Heading1"/>
      </w:pPr>
      <w:bookmarkStart w:id="13" w:name="O_211050"/>
      <w:bookmarkEnd w:id="13"/>
      <w:r w:rsidRPr="00BE0EDF">
        <w:t>Co-requisite units</w:t>
      </w:r>
    </w:p>
    <w:tbl>
      <w:tblPr>
        <w:tblW w:w="0" w:type="auto"/>
        <w:tblLayout w:type="fixed"/>
        <w:tblCellMar>
          <w:left w:w="62" w:type="dxa"/>
          <w:right w:w="62" w:type="dxa"/>
        </w:tblCellMar>
        <w:tblLook w:val="0000"/>
      </w:tblPr>
      <w:tblGrid>
        <w:gridCol w:w="2641"/>
        <w:gridCol w:w="1322"/>
        <w:gridCol w:w="4559"/>
      </w:tblGrid>
      <w:tr w:rsidTr="00FF47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p>
        </w:tc>
      </w:tr>
      <w:tr w:rsidTr="00FF47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p>
        </w:tc>
      </w:tr>
      <w:tr w:rsidTr="00FF47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p>
        </w:tc>
      </w:tr>
    </w:tbl>
    <w:p w:rsidR="00FF47F4" w:rsidP="00BE0EDF">
      <w:pPr>
        <w:pStyle w:val="BodyText"/>
      </w:pPr>
    </w:p>
    <w:p w:rsidR="00FF47F4" w:rsidP="00BE0EDF">
      <w:pPr>
        <w:pStyle w:val="BodyText"/>
      </w:pPr>
    </w:p>
    <w:p w:rsidR="00000000" w:rsidRPr="00BE0EDF" w:rsidP="00BE0EDF">
      <w:pPr>
        <w:pStyle w:val="Heading1"/>
      </w:pPr>
      <w:bookmarkStart w:id="14" w:name="O_211052"/>
      <w:bookmarkEnd w:id="14"/>
      <w:r w:rsidRPr="00BE0EDF">
        <w:t>Competency field</w:t>
      </w:r>
    </w:p>
    <w:tbl>
      <w:tblPr>
        <w:tblW w:w="0" w:type="auto"/>
        <w:tblLayout w:type="fixed"/>
        <w:tblCellMar>
          <w:left w:w="62" w:type="dxa"/>
          <w:right w:w="62" w:type="dxa"/>
        </w:tblCellMar>
        <w:tblLook w:val="0000"/>
      </w:tblPr>
      <w:tblGrid>
        <w:gridCol w:w="2778"/>
        <w:gridCol w:w="5744"/>
      </w:tblGrid>
      <w:tr w:rsidTr="00FF47F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EDF">
            <w:pPr>
              <w:pStyle w:val="BodyText"/>
              <w:rPr>
                <w:lang w:val="en-NZ"/>
              </w:rPr>
            </w:pPr>
            <w:r w:rsidRPr="00BE0ED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EDF" w:rsidP="00BE0EDF">
            <w:pPr>
              <w:pStyle w:val="BodyText"/>
            </w:pPr>
            <w:r w:rsidRPr="00BE0EDF">
              <w:t>Surface finishing</w:t>
            </w:r>
          </w:p>
        </w:tc>
      </w:tr>
    </w:tbl>
    <w:p w:rsidR="00FF47F4" w:rsidP="00BE0EDF">
      <w:pPr>
        <w:pStyle w:val="BodyText"/>
      </w:pPr>
    </w:p>
    <w:p w:rsidR="00FF47F4" w:rsidP="00BE0EDF">
      <w:pPr>
        <w:pStyle w:val="BodyText"/>
      </w:pPr>
    </w:p>
    <w:p w:rsidR="00000000" w:rsidRPr="00BE0EDF" w:rsidP="00BE0EDF"/>
    <w:sectPr w:rsidSect="00BE0E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7F4" w:rsidP="00FF47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F4" w:rsidP="00BE0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47F4" w:rsidP="00BE0E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47F4" w:rsidP="00BE0E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7F4" w:rsidP="00FF47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F4" w:rsidP="00BE0EDF">
    <w:pPr>
      <w:pStyle w:val="Header"/>
      <w:framePr w:wrap="around"/>
    </w:pPr>
    <w:r>
      <w:fldChar w:fldCharType="begin"/>
    </w:r>
    <w:r>
      <w:instrText xml:space="preserve"> TITLE   \* MERGEFORMAT </w:instrText>
    </w:r>
    <w:r>
      <w:fldChar w:fldCharType="separate"/>
    </w:r>
    <w:r>
      <w:t>MEM08005B Prepare and produce specialised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47F4" w:rsidP="00BE0E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D2D6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7661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E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0EDF"/>
    <w:pPr>
      <w:spacing w:before="360" w:after="60"/>
      <w:outlineLvl w:val="0"/>
    </w:pPr>
    <w:rPr>
      <w:sz w:val="32"/>
    </w:rPr>
  </w:style>
  <w:style w:type="paragraph" w:styleId="Heading2">
    <w:name w:val="heading 2"/>
    <w:basedOn w:val="HeadingBase"/>
    <w:next w:val="BodyText"/>
    <w:link w:val="Heading2Char"/>
    <w:qFormat/>
    <w:rsid w:val="00BE0EDF"/>
    <w:pPr>
      <w:keepLines/>
      <w:spacing w:before="240" w:after="120"/>
      <w:outlineLvl w:val="1"/>
    </w:pPr>
    <w:rPr>
      <w:sz w:val="28"/>
      <w:szCs w:val="40"/>
    </w:rPr>
  </w:style>
  <w:style w:type="paragraph" w:styleId="Heading3">
    <w:name w:val="heading 3"/>
    <w:basedOn w:val="HeadingBase"/>
    <w:next w:val="BodyText"/>
    <w:link w:val="Heading3Char"/>
    <w:qFormat/>
    <w:rsid w:val="00BE0EDF"/>
    <w:pPr>
      <w:spacing w:before="180" w:after="120"/>
      <w:outlineLvl w:val="2"/>
    </w:pPr>
    <w:rPr>
      <w:spacing w:val="-10"/>
      <w:kern w:val="32"/>
    </w:rPr>
  </w:style>
  <w:style w:type="paragraph" w:styleId="Heading4">
    <w:name w:val="heading 4"/>
    <w:basedOn w:val="HeadingBase"/>
    <w:next w:val="BodyText"/>
    <w:link w:val="Heading4Char"/>
    <w:qFormat/>
    <w:rsid w:val="00BE0EDF"/>
    <w:pPr>
      <w:spacing w:before="160" w:after="120"/>
      <w:outlineLvl w:val="3"/>
    </w:pPr>
    <w:rPr>
      <w:sz w:val="22"/>
    </w:rPr>
  </w:style>
  <w:style w:type="paragraph" w:styleId="Heading5">
    <w:name w:val="heading 5"/>
    <w:basedOn w:val="HeadingBase"/>
    <w:next w:val="Normal"/>
    <w:link w:val="Heading5Char"/>
    <w:qFormat/>
    <w:rsid w:val="00BE0EDF"/>
    <w:pPr>
      <w:spacing w:before="80"/>
      <w:outlineLvl w:val="4"/>
    </w:pPr>
    <w:rPr>
      <w:color w:val="918585"/>
      <w:sz w:val="20"/>
    </w:rPr>
  </w:style>
  <w:style w:type="paragraph" w:styleId="Heading6">
    <w:name w:val="heading 6"/>
    <w:basedOn w:val="HeadingBase"/>
    <w:next w:val="Normal"/>
    <w:link w:val="Heading6Char"/>
    <w:qFormat/>
    <w:rsid w:val="00BE0EDF"/>
    <w:pPr>
      <w:spacing w:before="60"/>
      <w:outlineLvl w:val="5"/>
    </w:pPr>
    <w:rPr>
      <w:color w:val="918585"/>
      <w:sz w:val="20"/>
    </w:rPr>
  </w:style>
  <w:style w:type="paragraph" w:styleId="Heading7">
    <w:name w:val="heading 7"/>
    <w:basedOn w:val="Normal"/>
    <w:next w:val="Normal"/>
    <w:link w:val="Heading7Char"/>
    <w:qFormat/>
    <w:rsid w:val="00BE0EDF"/>
    <w:pPr>
      <w:ind w:left="720"/>
      <w:outlineLvl w:val="6"/>
    </w:pPr>
    <w:rPr>
      <w:i/>
    </w:rPr>
  </w:style>
  <w:style w:type="paragraph" w:styleId="Heading8">
    <w:name w:val="heading 8"/>
    <w:basedOn w:val="Normal"/>
    <w:next w:val="Normal"/>
    <w:link w:val="Heading8Char"/>
    <w:qFormat/>
    <w:rsid w:val="00BE0EDF"/>
    <w:pPr>
      <w:ind w:left="720"/>
      <w:outlineLvl w:val="7"/>
    </w:pPr>
    <w:rPr>
      <w:i/>
    </w:rPr>
  </w:style>
  <w:style w:type="paragraph" w:styleId="Heading9">
    <w:name w:val="heading 9"/>
    <w:basedOn w:val="Normal"/>
    <w:next w:val="Normal"/>
    <w:link w:val="Heading9Char"/>
    <w:qFormat/>
    <w:rsid w:val="00BE0EDF"/>
    <w:pPr>
      <w:ind w:left="720"/>
      <w:outlineLvl w:val="8"/>
    </w:pPr>
    <w:rPr>
      <w:i/>
    </w:rPr>
  </w:style>
  <w:style w:type="character" w:default="1" w:styleId="DefaultParagraphFont">
    <w:name w:val="Default Paragraph Font"/>
    <w:uiPriority w:val="1"/>
    <w:unhideWhenUsed/>
    <w:rsid w:val="00BE0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EDF"/>
  </w:style>
  <w:style w:type="character" w:customStyle="1" w:styleId="Heading1Char">
    <w:name w:val="Heading 1 Char"/>
    <w:basedOn w:val="DefaultParagraphFont"/>
    <w:link w:val="Heading1"/>
    <w:rsid w:val="00BE0EDF"/>
    <w:rPr>
      <w:rFonts w:ascii="Times New Roman" w:eastAsia="Times New Roman" w:hAnsi="Times New Roman" w:cs="Times New Roman"/>
      <w:b/>
      <w:sz w:val="32"/>
      <w:szCs w:val="20"/>
      <w:lang w:eastAsia="en-US"/>
    </w:rPr>
  </w:style>
  <w:style w:type="paragraph" w:styleId="BodyText">
    <w:name w:val="Body Text"/>
    <w:basedOn w:val="Normal"/>
    <w:link w:val="BodyTextChar"/>
    <w:rsid w:val="00BE0E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EDF"/>
    <w:rPr>
      <w:rFonts w:ascii="Times New Roman" w:eastAsia="Times New Roman" w:hAnsi="Times New Roman" w:cs="Times New Roman"/>
      <w:sz w:val="24"/>
      <w:lang w:val="en-US" w:eastAsia="en-US"/>
    </w:rPr>
  </w:style>
  <w:style w:type="paragraph" w:styleId="Footer">
    <w:name w:val="footer"/>
    <w:basedOn w:val="Normal"/>
    <w:link w:val="FooterChar"/>
    <w:rsid w:val="00BE0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EDF"/>
    <w:rPr>
      <w:rFonts w:ascii="Times New Roman" w:eastAsia="Times New Roman" w:hAnsi="Times New Roman" w:cs="Times New Roman"/>
      <w:sz w:val="16"/>
      <w:lang w:val="en-US" w:eastAsia="en-US"/>
    </w:rPr>
  </w:style>
  <w:style w:type="paragraph" w:styleId="List">
    <w:name w:val="List"/>
    <w:basedOn w:val="BodyText"/>
    <w:next w:val="BodyText"/>
    <w:rsid w:val="00BE0EDF"/>
    <w:pPr>
      <w:tabs>
        <w:tab w:val="left" w:pos="340"/>
      </w:tabs>
      <w:spacing w:before="60" w:after="60"/>
      <w:ind w:left="340" w:hanging="340"/>
    </w:pPr>
  </w:style>
  <w:style w:type="paragraph" w:styleId="ListBullet">
    <w:name w:val="List Bullet"/>
    <w:basedOn w:val="List"/>
    <w:rsid w:val="00BE0EDF"/>
    <w:pPr>
      <w:numPr>
        <w:numId w:val="12"/>
      </w:numPr>
      <w:tabs>
        <w:tab w:val="clear" w:pos="340"/>
      </w:tabs>
      <w:spacing w:before="40" w:after="40"/>
    </w:pPr>
  </w:style>
  <w:style w:type="character" w:customStyle="1" w:styleId="SpecialBold">
    <w:name w:val="Special Bold"/>
    <w:basedOn w:val="DefaultParagraphFont"/>
    <w:rsid w:val="00BE0EDF"/>
    <w:rPr>
      <w:b/>
      <w:spacing w:val="0"/>
    </w:rPr>
  </w:style>
  <w:style w:type="paragraph" w:styleId="Header">
    <w:name w:val="header"/>
    <w:basedOn w:val="Normal"/>
    <w:link w:val="HeaderChar"/>
    <w:rsid w:val="00BE0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E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0EDF"/>
    <w:pPr>
      <w:spacing w:before="240" w:after="120"/>
      <w:outlineLvl w:val="0"/>
    </w:pPr>
    <w:rPr>
      <w:rFonts w:ascii="Times New Roman" w:hAnsi="Times New Roman"/>
      <w:b/>
      <w:sz w:val="28"/>
    </w:rPr>
  </w:style>
  <w:style w:type="paragraph" w:customStyle="1" w:styleId="AllowPageBreak">
    <w:name w:val="AllowPageBreak"/>
    <w:rsid w:val="00BE0E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0EDF"/>
    <w:pPr>
      <w:tabs>
        <w:tab w:val="left" w:pos="680"/>
      </w:tabs>
      <w:spacing w:before="60" w:after="60"/>
      <w:ind w:left="680" w:hanging="340"/>
    </w:pPr>
  </w:style>
  <w:style w:type="character" w:customStyle="1" w:styleId="Heading2Char">
    <w:name w:val="Heading 2 Char"/>
    <w:basedOn w:val="DefaultParagraphFont"/>
    <w:link w:val="Heading2"/>
    <w:rsid w:val="00BE0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E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0E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0EDF"/>
    <w:rPr>
      <w:rFonts w:ascii="Courier New" w:eastAsia="Times New Roman" w:hAnsi="Courier New" w:cs="Times New Roman"/>
      <w:i/>
      <w:szCs w:val="20"/>
      <w:lang w:val="en-US" w:eastAsia="en-US"/>
    </w:rPr>
  </w:style>
  <w:style w:type="paragraph" w:customStyle="1" w:styleId="HeadingBase">
    <w:name w:val="Heading Base"/>
    <w:rsid w:val="00BE0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EDF"/>
    <w:pPr>
      <w:tabs>
        <w:tab w:val="right" w:leader="dot" w:pos="9072"/>
      </w:tabs>
      <w:ind w:left="567"/>
    </w:pPr>
    <w:rPr>
      <w:szCs w:val="22"/>
    </w:rPr>
  </w:style>
  <w:style w:type="paragraph" w:customStyle="1" w:styleId="TOCBase">
    <w:name w:val="TOC Base"/>
    <w:rsid w:val="00BE0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EDF"/>
    <w:pPr>
      <w:tabs>
        <w:tab w:val="right" w:leader="dot" w:pos="9072"/>
      </w:tabs>
      <w:spacing w:before="40" w:after="40"/>
      <w:ind w:left="284"/>
    </w:pPr>
    <w:rPr>
      <w:rFonts w:ascii="Times New Roman" w:hAnsi="Times New Roman"/>
    </w:rPr>
  </w:style>
  <w:style w:type="paragraph" w:styleId="TOC1">
    <w:name w:val="toc 1"/>
    <w:basedOn w:val="TOCBase"/>
    <w:next w:val="Normal"/>
    <w:rsid w:val="00BE0E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0EDF"/>
    <w:pPr>
      <w:spacing w:before="5040"/>
      <w:jc w:val="center"/>
    </w:pPr>
    <w:rPr>
      <w:sz w:val="48"/>
      <w:szCs w:val="72"/>
      <w:lang w:val="en-US"/>
    </w:rPr>
  </w:style>
  <w:style w:type="character" w:customStyle="1" w:styleId="TitleChar">
    <w:name w:val="Title Char"/>
    <w:basedOn w:val="DefaultParagraphFont"/>
    <w:link w:val="Title"/>
    <w:rsid w:val="00BE0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EDF"/>
    <w:pPr>
      <w:tabs>
        <w:tab w:val="left" w:pos="3600"/>
        <w:tab w:val="left" w:pos="3958"/>
      </w:tabs>
    </w:pPr>
  </w:style>
  <w:style w:type="paragraph" w:customStyle="1" w:styleId="Note">
    <w:name w:val="Note"/>
    <w:basedOn w:val="BodyText"/>
    <w:rsid w:val="00BE0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EDF"/>
    <w:pPr>
      <w:framePr w:wrap="auto" w:hAnchor="text" w:y="6049"/>
    </w:pPr>
    <w:rPr>
      <w:color w:val="000000"/>
      <w:sz w:val="40"/>
    </w:rPr>
  </w:style>
  <w:style w:type="paragraph" w:customStyle="1" w:styleId="TOCTitle">
    <w:name w:val="TOCTitle"/>
    <w:basedOn w:val="Heading1"/>
    <w:rsid w:val="00BE0EDF"/>
    <w:pPr>
      <w:spacing w:after="240"/>
      <w:jc w:val="center"/>
      <w:outlineLvl w:val="9"/>
    </w:pPr>
    <w:rPr>
      <w:caps/>
    </w:rPr>
  </w:style>
  <w:style w:type="paragraph" w:customStyle="1" w:styleId="Version">
    <w:name w:val="Version"/>
    <w:rsid w:val="00BE0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EDF"/>
    <w:pPr>
      <w:numPr>
        <w:numId w:val="13"/>
      </w:numPr>
      <w:tabs>
        <w:tab w:val="clear" w:pos="680"/>
      </w:tabs>
    </w:pPr>
  </w:style>
  <w:style w:type="paragraph" w:styleId="Index1">
    <w:name w:val="index 1"/>
    <w:basedOn w:val="Normal"/>
    <w:next w:val="Normal"/>
    <w:semiHidden/>
    <w:rsid w:val="00BE0EDF"/>
    <w:pPr>
      <w:keepNext w:val="0"/>
      <w:tabs>
        <w:tab w:val="right" w:pos="4176"/>
      </w:tabs>
      <w:ind w:left="198" w:hanging="198"/>
    </w:pPr>
    <w:rPr>
      <w:rFonts w:ascii="Garamond" w:hAnsi="Garamond"/>
    </w:rPr>
  </w:style>
  <w:style w:type="paragraph" w:styleId="IndexHeading">
    <w:name w:val="index heading"/>
    <w:basedOn w:val="Normal"/>
    <w:next w:val="Index1"/>
    <w:semiHidden/>
    <w:rsid w:val="00BE0EDF"/>
    <w:pPr>
      <w:spacing w:before="120" w:after="120"/>
    </w:pPr>
    <w:rPr>
      <w:rFonts w:ascii="Arial" w:hAnsi="Arial"/>
      <w:b/>
      <w:color w:val="918585"/>
      <w:sz w:val="24"/>
    </w:rPr>
  </w:style>
  <w:style w:type="paragraph" w:customStyle="1" w:styleId="Chapter">
    <w:name w:val="Chapter"/>
    <w:basedOn w:val="Normal"/>
    <w:rsid w:val="00BE0EDF"/>
    <w:pPr>
      <w:spacing w:before="240"/>
    </w:pPr>
    <w:rPr>
      <w:rFonts w:ascii="Times New Roman" w:hAnsi="Times New Roman"/>
      <w:smallCaps/>
      <w:spacing w:val="80"/>
      <w:sz w:val="28"/>
    </w:rPr>
  </w:style>
  <w:style w:type="paragraph" w:customStyle="1" w:styleId="InChapter">
    <w:name w:val="InChapter"/>
    <w:basedOn w:val="Heading3"/>
    <w:rsid w:val="00BE0EDF"/>
    <w:pPr>
      <w:spacing w:after="240"/>
      <w:outlineLvl w:val="9"/>
    </w:pPr>
    <w:rPr>
      <w:noProof/>
    </w:rPr>
  </w:style>
  <w:style w:type="paragraph" w:styleId="Index2">
    <w:name w:val="index 2"/>
    <w:basedOn w:val="Normal"/>
    <w:next w:val="Normal"/>
    <w:semiHidden/>
    <w:rsid w:val="00BE0EDF"/>
    <w:pPr>
      <w:tabs>
        <w:tab w:val="right" w:pos="4176"/>
      </w:tabs>
      <w:ind w:left="568" w:hanging="284"/>
    </w:pPr>
    <w:rPr>
      <w:rFonts w:ascii="Garamond" w:hAnsi="Garamond"/>
    </w:rPr>
  </w:style>
  <w:style w:type="paragraph" w:customStyle="1" w:styleId="Byline">
    <w:name w:val="Byline"/>
    <w:rsid w:val="00BE0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EDF"/>
    <w:pPr>
      <w:tabs>
        <w:tab w:val="clear" w:pos="3600"/>
        <w:tab w:val="clear" w:pos="3958"/>
      </w:tabs>
      <w:jc w:val="right"/>
    </w:pPr>
  </w:style>
  <w:style w:type="character" w:styleId="Emphasis">
    <w:name w:val="Emphasis"/>
    <w:basedOn w:val="DefaultParagraphFont"/>
    <w:qFormat/>
    <w:rsid w:val="00BE0EDF"/>
    <w:rPr>
      <w:i/>
    </w:rPr>
  </w:style>
  <w:style w:type="paragraph" w:styleId="Caption">
    <w:name w:val="caption"/>
    <w:basedOn w:val="BodyText"/>
    <w:next w:val="Normal"/>
    <w:qFormat/>
    <w:rsid w:val="00BE0EDF"/>
    <w:pPr>
      <w:framePr w:w="2268" w:hSpace="181" w:vSpace="181" w:wrap="around" w:vAnchor="text" w:hAnchor="page" w:x="1135" w:y="285" w:anchorLock="1"/>
    </w:pPr>
    <w:rPr>
      <w:i/>
    </w:rPr>
  </w:style>
  <w:style w:type="paragraph" w:customStyle="1" w:styleId="MiniTOCTitle">
    <w:name w:val="MiniTOCTitle"/>
    <w:basedOn w:val="Heading4"/>
    <w:rsid w:val="00BE0EDF"/>
    <w:pPr>
      <w:spacing w:before="240"/>
      <w:outlineLvl w:val="9"/>
    </w:pPr>
    <w:rPr>
      <w:noProof/>
      <w:sz w:val="24"/>
    </w:rPr>
  </w:style>
  <w:style w:type="paragraph" w:customStyle="1" w:styleId="MiniTOCItem">
    <w:name w:val="MiniTOCItem"/>
    <w:basedOn w:val="ListBullet"/>
    <w:rsid w:val="00BE0EDF"/>
    <w:pPr>
      <w:numPr>
        <w:numId w:val="0"/>
      </w:numPr>
      <w:tabs>
        <w:tab w:val="right" w:leader="dot" w:pos="6521"/>
      </w:tabs>
      <w:spacing w:before="0" w:after="0"/>
    </w:pPr>
  </w:style>
  <w:style w:type="paragraph" w:customStyle="1" w:styleId="TOFTitle">
    <w:name w:val="TOFTitle"/>
    <w:basedOn w:val="TOCTitle"/>
    <w:rsid w:val="00BE0EDF"/>
  </w:style>
  <w:style w:type="paragraph" w:styleId="TableofFigures">
    <w:name w:val="table of figures"/>
    <w:basedOn w:val="Normal"/>
    <w:next w:val="Normal"/>
    <w:semiHidden/>
    <w:rsid w:val="00BE0EDF"/>
    <w:pPr>
      <w:tabs>
        <w:tab w:val="right" w:leader="dot" w:pos="9072"/>
      </w:tabs>
      <w:ind w:left="970" w:hanging="403"/>
    </w:pPr>
    <w:rPr>
      <w:rFonts w:ascii="Times New Roman" w:hAnsi="Times New Roman"/>
      <w:b/>
    </w:rPr>
  </w:style>
  <w:style w:type="paragraph" w:styleId="ListNumber">
    <w:name w:val="List Number"/>
    <w:basedOn w:val="List"/>
    <w:rsid w:val="00BE0EDF"/>
    <w:pPr>
      <w:numPr>
        <w:numId w:val="10"/>
      </w:numPr>
    </w:pPr>
  </w:style>
  <w:style w:type="character" w:customStyle="1" w:styleId="WingdingSymbols">
    <w:name w:val="Wingding Symbols"/>
    <w:rsid w:val="00BE0EDF"/>
    <w:rPr>
      <w:rFonts w:ascii="Wingdings" w:hAnsi="Wingdings"/>
    </w:rPr>
  </w:style>
  <w:style w:type="paragraph" w:customStyle="1" w:styleId="TableHeading">
    <w:name w:val="Table Heading"/>
    <w:basedOn w:val="HeadingBase"/>
    <w:rsid w:val="00BE0EDF"/>
    <w:pPr>
      <w:keepLines/>
      <w:pBdr>
        <w:bottom w:val="single" w:sz="6" w:space="1" w:color="918585"/>
      </w:pBdr>
      <w:spacing w:before="240"/>
    </w:pPr>
  </w:style>
  <w:style w:type="character" w:customStyle="1" w:styleId="HotSpot">
    <w:name w:val="HotSpot"/>
    <w:rsid w:val="00BE0EDF"/>
    <w:rPr>
      <w:color w:val="0033CC"/>
      <w:u w:val="none"/>
    </w:rPr>
  </w:style>
  <w:style w:type="paragraph" w:customStyle="1" w:styleId="BodyTextRight">
    <w:name w:val="Body Text Right"/>
    <w:basedOn w:val="BodyText"/>
    <w:rsid w:val="00BE0EDF"/>
    <w:pPr>
      <w:spacing w:before="0" w:after="0"/>
      <w:jc w:val="right"/>
    </w:pPr>
  </w:style>
  <w:style w:type="paragraph" w:styleId="Index3">
    <w:name w:val="index 3"/>
    <w:basedOn w:val="ListNumber2"/>
    <w:next w:val="Normal"/>
    <w:semiHidden/>
    <w:rsid w:val="00BE0EDF"/>
    <w:pPr>
      <w:numPr>
        <w:numId w:val="0"/>
      </w:numPr>
      <w:tabs>
        <w:tab w:val="right" w:leader="dot" w:pos="4176"/>
      </w:tabs>
    </w:pPr>
  </w:style>
  <w:style w:type="paragraph" w:styleId="ListNumber2">
    <w:name w:val="List Number 2"/>
    <w:basedOn w:val="List2"/>
    <w:rsid w:val="00BE0EDF"/>
    <w:pPr>
      <w:numPr>
        <w:numId w:val="9"/>
      </w:numPr>
      <w:tabs>
        <w:tab w:val="clear" w:pos="1060"/>
      </w:tabs>
    </w:pPr>
  </w:style>
  <w:style w:type="paragraph" w:customStyle="1" w:styleId="MarginNote">
    <w:name w:val="Margin Note"/>
    <w:basedOn w:val="BodyText"/>
    <w:rsid w:val="00BE0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E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0EDF"/>
    <w:rPr>
      <w:sz w:val="32"/>
    </w:rPr>
  </w:style>
  <w:style w:type="paragraph" w:customStyle="1" w:styleId="HeadingProcedure">
    <w:name w:val="Heading Procedure"/>
    <w:basedOn w:val="HeadingBase"/>
    <w:next w:val="Normal"/>
    <w:rsid w:val="00BE0EDF"/>
    <w:pPr>
      <w:tabs>
        <w:tab w:val="left" w:pos="0"/>
      </w:tabs>
      <w:spacing w:before="120" w:after="60"/>
    </w:pPr>
    <w:rPr>
      <w:i/>
      <w:color w:val="918585"/>
      <w:sz w:val="22"/>
    </w:rPr>
  </w:style>
  <w:style w:type="paragraph" w:customStyle="1" w:styleId="TableBodyText">
    <w:name w:val="Table Body Text"/>
    <w:basedOn w:val="BodyText"/>
    <w:rsid w:val="00BE0EDF"/>
    <w:pPr>
      <w:spacing w:before="60" w:after="60"/>
    </w:pPr>
  </w:style>
  <w:style w:type="paragraph" w:styleId="ListContinue">
    <w:name w:val="List Continue"/>
    <w:basedOn w:val="List"/>
    <w:rsid w:val="00BE0EDF"/>
    <w:pPr>
      <w:ind w:firstLine="0"/>
    </w:pPr>
  </w:style>
  <w:style w:type="paragraph" w:customStyle="1" w:styleId="ListNote">
    <w:name w:val="List Note"/>
    <w:basedOn w:val="List"/>
    <w:rsid w:val="00BE0EDF"/>
    <w:pPr>
      <w:pBdr>
        <w:top w:val="single" w:sz="6" w:space="2" w:color="918585"/>
        <w:bottom w:val="single" w:sz="6" w:space="2" w:color="918585"/>
      </w:pBdr>
      <w:tabs>
        <w:tab w:val="left" w:pos="1021"/>
      </w:tabs>
      <w:ind w:firstLine="0"/>
    </w:pPr>
  </w:style>
  <w:style w:type="paragraph" w:customStyle="1" w:styleId="Warning">
    <w:name w:val="Warning"/>
    <w:basedOn w:val="BodyText"/>
    <w:rsid w:val="00BE0EDF"/>
    <w:pPr>
      <w:shd w:val="clear" w:color="auto" w:fill="D9D9D9"/>
      <w:tabs>
        <w:tab w:val="left" w:pos="992"/>
      </w:tabs>
      <w:ind w:left="119" w:right="119"/>
    </w:pPr>
    <w:rPr>
      <w:sz w:val="20"/>
    </w:rPr>
  </w:style>
  <w:style w:type="paragraph" w:customStyle="1" w:styleId="MarginIcons">
    <w:name w:val="Margin Icons"/>
    <w:basedOn w:val="BodyText"/>
    <w:rsid w:val="00BE0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EDF"/>
    <w:rPr>
      <w:rFonts w:ascii="Courier New" w:hAnsi="Courier New"/>
    </w:rPr>
  </w:style>
  <w:style w:type="paragraph" w:customStyle="1" w:styleId="NoteBullet">
    <w:name w:val="Note Bullet"/>
    <w:basedOn w:val="Note"/>
    <w:rsid w:val="00BE0EDF"/>
    <w:pPr>
      <w:tabs>
        <w:tab w:val="clear" w:pos="680"/>
      </w:tabs>
      <w:spacing w:before="60" w:after="60"/>
    </w:pPr>
  </w:style>
  <w:style w:type="paragraph" w:customStyle="1" w:styleId="SubHeading2">
    <w:name w:val="SubHeading2"/>
    <w:basedOn w:val="HeadingBase"/>
    <w:rsid w:val="00BE0EDF"/>
    <w:pPr>
      <w:spacing w:before="240" w:after="60"/>
    </w:pPr>
    <w:rPr>
      <w:sz w:val="20"/>
    </w:rPr>
  </w:style>
  <w:style w:type="paragraph" w:customStyle="1" w:styleId="SubHeading1">
    <w:name w:val="SubHeading1"/>
    <w:basedOn w:val="HeadingBase"/>
    <w:rsid w:val="00BE0EDF"/>
    <w:pPr>
      <w:spacing w:before="240" w:after="60"/>
    </w:pPr>
    <w:rPr>
      <w:color w:val="918585"/>
      <w:sz w:val="22"/>
    </w:rPr>
  </w:style>
  <w:style w:type="paragraph" w:customStyle="1" w:styleId="SideHeading">
    <w:name w:val="Side Heading"/>
    <w:basedOn w:val="HeadingBase"/>
    <w:rsid w:val="00BE0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EDF"/>
    <w:pPr>
      <w:tabs>
        <w:tab w:val="num" w:pos="360"/>
      </w:tabs>
    </w:pPr>
  </w:style>
  <w:style w:type="paragraph" w:styleId="PlainText">
    <w:name w:val="Plain Text"/>
    <w:basedOn w:val="Normal"/>
    <w:link w:val="PlainTextChar"/>
    <w:rsid w:val="00BE0EDF"/>
    <w:rPr>
      <w:sz w:val="20"/>
    </w:rPr>
  </w:style>
  <w:style w:type="character" w:customStyle="1" w:styleId="PlainTextChar">
    <w:name w:val="Plain Text Char"/>
    <w:basedOn w:val="DefaultParagraphFont"/>
    <w:link w:val="PlainText"/>
    <w:rsid w:val="00BE0E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0EDF"/>
    <w:rPr>
      <w:b/>
      <w:smallCaps/>
    </w:rPr>
  </w:style>
  <w:style w:type="paragraph" w:customStyle="1" w:styleId="TableListNumber">
    <w:name w:val="Table List Number"/>
    <w:basedOn w:val="ListNumber"/>
    <w:rsid w:val="00BE0EDF"/>
    <w:pPr>
      <w:numPr>
        <w:numId w:val="0"/>
      </w:numPr>
    </w:pPr>
  </w:style>
  <w:style w:type="paragraph" w:styleId="TOC4">
    <w:name w:val="toc 4"/>
    <w:basedOn w:val="TOCBase"/>
    <w:next w:val="Normal"/>
    <w:semiHidden/>
    <w:rsid w:val="00BE0EDF"/>
    <w:pPr>
      <w:tabs>
        <w:tab w:val="right" w:leader="dot" w:pos="9071"/>
      </w:tabs>
      <w:ind w:left="1701"/>
    </w:pPr>
  </w:style>
  <w:style w:type="paragraph" w:customStyle="1" w:styleId="ListAlpha">
    <w:name w:val="List Alpha"/>
    <w:basedOn w:val="List"/>
    <w:rsid w:val="00BE0EDF"/>
    <w:pPr>
      <w:numPr>
        <w:numId w:val="8"/>
      </w:numPr>
    </w:pPr>
  </w:style>
  <w:style w:type="paragraph" w:customStyle="1" w:styleId="ListAlpha2">
    <w:name w:val="List Alpha 2"/>
    <w:basedOn w:val="List2"/>
    <w:rsid w:val="00BE0EDF"/>
    <w:pPr>
      <w:numPr>
        <w:numId w:val="7"/>
      </w:numPr>
    </w:pPr>
  </w:style>
  <w:style w:type="paragraph" w:styleId="List3">
    <w:name w:val="List 3"/>
    <w:basedOn w:val="BodyText"/>
    <w:rsid w:val="00BE0EDF"/>
    <w:pPr>
      <w:tabs>
        <w:tab w:val="left" w:pos="1021"/>
      </w:tabs>
      <w:spacing w:before="60" w:after="60"/>
      <w:ind w:left="1020" w:hanging="340"/>
    </w:pPr>
  </w:style>
  <w:style w:type="paragraph" w:styleId="List4">
    <w:name w:val="List 4"/>
    <w:basedOn w:val="BodyText"/>
    <w:rsid w:val="00BE0EDF"/>
    <w:pPr>
      <w:tabs>
        <w:tab w:val="left" w:pos="1361"/>
      </w:tabs>
      <w:spacing w:before="60" w:after="60"/>
      <w:ind w:left="1361" w:hanging="340"/>
    </w:pPr>
  </w:style>
  <w:style w:type="paragraph" w:styleId="List5">
    <w:name w:val="List 5"/>
    <w:basedOn w:val="BodyText"/>
    <w:rsid w:val="00BE0EDF"/>
    <w:pPr>
      <w:tabs>
        <w:tab w:val="left" w:pos="1701"/>
      </w:tabs>
      <w:spacing w:before="60" w:after="60"/>
      <w:ind w:left="1701" w:hanging="340"/>
    </w:pPr>
  </w:style>
  <w:style w:type="paragraph" w:styleId="ListBullet3">
    <w:name w:val="List Bullet 3"/>
    <w:basedOn w:val="List3"/>
    <w:rsid w:val="00BE0EDF"/>
    <w:pPr>
      <w:numPr>
        <w:numId w:val="14"/>
      </w:numPr>
      <w:tabs>
        <w:tab w:val="clear" w:pos="1021"/>
      </w:tabs>
      <w:ind w:left="1037" w:hanging="357"/>
    </w:pPr>
  </w:style>
  <w:style w:type="paragraph" w:styleId="ListBullet4">
    <w:name w:val="List Bullet 4"/>
    <w:basedOn w:val="List4"/>
    <w:rsid w:val="00BE0EDF"/>
    <w:pPr>
      <w:numPr>
        <w:numId w:val="2"/>
      </w:numPr>
    </w:pPr>
  </w:style>
  <w:style w:type="paragraph" w:styleId="ListBullet5">
    <w:name w:val="List Bullet 5"/>
    <w:basedOn w:val="List5"/>
    <w:rsid w:val="00BE0EDF"/>
    <w:pPr>
      <w:numPr>
        <w:numId w:val="3"/>
      </w:numPr>
    </w:pPr>
  </w:style>
  <w:style w:type="paragraph" w:styleId="ListContinue2">
    <w:name w:val="List Continue 2"/>
    <w:basedOn w:val="List2"/>
    <w:rsid w:val="00BE0EDF"/>
    <w:pPr>
      <w:ind w:firstLine="0"/>
    </w:pPr>
  </w:style>
  <w:style w:type="paragraph" w:styleId="ListContinue3">
    <w:name w:val="List Continue 3"/>
    <w:basedOn w:val="List3"/>
    <w:rsid w:val="00BE0EDF"/>
    <w:pPr>
      <w:ind w:left="1021" w:firstLine="0"/>
    </w:pPr>
  </w:style>
  <w:style w:type="paragraph" w:styleId="ListContinue4">
    <w:name w:val="List Continue 4"/>
    <w:basedOn w:val="List4"/>
    <w:rsid w:val="00BE0EDF"/>
    <w:pPr>
      <w:ind w:firstLine="0"/>
    </w:pPr>
  </w:style>
  <w:style w:type="paragraph" w:styleId="ListContinue5">
    <w:name w:val="List Continue 5"/>
    <w:basedOn w:val="List5"/>
    <w:rsid w:val="00BE0EDF"/>
    <w:pPr>
      <w:ind w:firstLine="0"/>
    </w:pPr>
  </w:style>
  <w:style w:type="paragraph" w:styleId="ListNumber3">
    <w:name w:val="List Number 3"/>
    <w:basedOn w:val="List3"/>
    <w:rsid w:val="00BE0EDF"/>
    <w:pPr>
      <w:numPr>
        <w:numId w:val="4"/>
      </w:numPr>
    </w:pPr>
  </w:style>
  <w:style w:type="paragraph" w:styleId="ListNumber4">
    <w:name w:val="List Number 4"/>
    <w:basedOn w:val="List4"/>
    <w:rsid w:val="00BE0EDF"/>
    <w:pPr>
      <w:numPr>
        <w:numId w:val="5"/>
      </w:numPr>
    </w:pPr>
  </w:style>
  <w:style w:type="paragraph" w:styleId="ListNumber5">
    <w:name w:val="List Number 5"/>
    <w:basedOn w:val="List5"/>
    <w:rsid w:val="00BE0EDF"/>
    <w:pPr>
      <w:numPr>
        <w:numId w:val="6"/>
      </w:numPr>
    </w:pPr>
  </w:style>
  <w:style w:type="paragraph" w:styleId="BlockText">
    <w:name w:val="Block Text"/>
    <w:basedOn w:val="Normal"/>
    <w:rsid w:val="00BE0EDF"/>
    <w:pPr>
      <w:spacing w:after="120"/>
      <w:ind w:left="1440" w:right="1440"/>
    </w:pPr>
  </w:style>
  <w:style w:type="character" w:customStyle="1" w:styleId="Subscript">
    <w:name w:val="Subscript"/>
    <w:basedOn w:val="DefaultParagraphFont"/>
    <w:rsid w:val="00BE0EDF"/>
    <w:rPr>
      <w:sz w:val="16"/>
      <w:vertAlign w:val="subscript"/>
    </w:rPr>
  </w:style>
  <w:style w:type="character" w:customStyle="1" w:styleId="Superscript">
    <w:name w:val="Superscript"/>
    <w:basedOn w:val="DefaultParagraphFont"/>
    <w:rsid w:val="00BE0EDF"/>
    <w:rPr>
      <w:sz w:val="16"/>
      <w:vertAlign w:val="superscript"/>
    </w:rPr>
  </w:style>
  <w:style w:type="character" w:customStyle="1" w:styleId="Symbols">
    <w:name w:val="Symbols"/>
    <w:basedOn w:val="DefaultParagraphFont"/>
    <w:rsid w:val="00BE0EDF"/>
    <w:rPr>
      <w:rFonts w:ascii="Symbol" w:hAnsi="Symbol"/>
    </w:rPr>
  </w:style>
  <w:style w:type="character" w:customStyle="1" w:styleId="MenuOptions">
    <w:name w:val="Menu Options"/>
    <w:basedOn w:val="DefaultParagraphFont"/>
    <w:rsid w:val="00BE0EDF"/>
    <w:rPr>
      <w:rFonts w:ascii="Arial Narrow" w:hAnsi="Arial Narrow"/>
      <w:smallCaps/>
    </w:rPr>
  </w:style>
  <w:style w:type="character" w:customStyle="1" w:styleId="Buttons">
    <w:name w:val="Buttons"/>
    <w:basedOn w:val="DefaultParagraphFont"/>
    <w:rsid w:val="00BE0EDF"/>
    <w:rPr>
      <w:b/>
    </w:rPr>
  </w:style>
  <w:style w:type="character" w:customStyle="1" w:styleId="Underlined">
    <w:name w:val="Underlined"/>
    <w:basedOn w:val="DefaultParagraphFont"/>
    <w:rsid w:val="00BE0EDF"/>
    <w:rPr>
      <w:u w:val="single"/>
    </w:rPr>
  </w:style>
  <w:style w:type="paragraph" w:customStyle="1" w:styleId="TableBodyTextRight">
    <w:name w:val="Table Body Text Right"/>
    <w:basedOn w:val="TableBodyText"/>
    <w:rsid w:val="00BE0EDF"/>
    <w:pPr>
      <w:widowControl w:val="0"/>
      <w:autoSpaceDE w:val="0"/>
      <w:autoSpaceDN w:val="0"/>
      <w:adjustRightInd w:val="0"/>
      <w:jc w:val="right"/>
    </w:pPr>
    <w:rPr>
      <w:rFonts w:cs="Arial"/>
      <w:szCs w:val="18"/>
    </w:rPr>
  </w:style>
  <w:style w:type="paragraph" w:customStyle="1" w:styleId="CopyrightText">
    <w:name w:val="Copyright Text"/>
    <w:basedOn w:val="BodyText"/>
    <w:rsid w:val="00BE0EDF"/>
    <w:rPr>
      <w:sz w:val="18"/>
    </w:rPr>
  </w:style>
  <w:style w:type="paragraph" w:customStyle="1" w:styleId="BodySmallRight">
    <w:name w:val="Body Small Right"/>
    <w:basedOn w:val="BodyTextRight"/>
    <w:rsid w:val="00BE0EDF"/>
    <w:rPr>
      <w:sz w:val="18"/>
      <w:szCs w:val="18"/>
    </w:rPr>
  </w:style>
  <w:style w:type="paragraph" w:customStyle="1" w:styleId="MarginEdition">
    <w:name w:val="Margin Edition"/>
    <w:basedOn w:val="MarginNote"/>
    <w:rsid w:val="00BE0EDF"/>
    <w:pPr>
      <w:spacing w:before="0" w:after="0"/>
    </w:pPr>
    <w:rPr>
      <w:rFonts w:ascii="Times New Roman" w:hAnsi="Times New Roman"/>
      <w:color w:val="999999"/>
    </w:rPr>
  </w:style>
  <w:style w:type="paragraph" w:customStyle="1" w:styleId="Spacer">
    <w:name w:val="Spacer"/>
    <w:basedOn w:val="Normal"/>
    <w:rsid w:val="00BE0EDF"/>
    <w:rPr>
      <w:sz w:val="2"/>
      <w:szCs w:val="2"/>
    </w:rPr>
  </w:style>
  <w:style w:type="character" w:customStyle="1" w:styleId="Small">
    <w:name w:val="Small"/>
    <w:basedOn w:val="DefaultParagraphFont"/>
    <w:rsid w:val="00BE0EDF"/>
    <w:rPr>
      <w:sz w:val="16"/>
    </w:rPr>
  </w:style>
  <w:style w:type="paragraph" w:customStyle="1" w:styleId="WideTable">
    <w:name w:val="Wide Table"/>
    <w:basedOn w:val="Normal"/>
    <w:rsid w:val="00BE0EDF"/>
    <w:pPr>
      <w:ind w:left="-1418"/>
    </w:pPr>
    <w:rPr>
      <w:sz w:val="2"/>
      <w:szCs w:val="2"/>
    </w:rPr>
  </w:style>
  <w:style w:type="character" w:styleId="PageNumber">
    <w:name w:val="page number"/>
    <w:basedOn w:val="DefaultParagraphFont"/>
    <w:rsid w:val="00BE0EDF"/>
  </w:style>
  <w:style w:type="paragraph" w:styleId="Quote">
    <w:name w:val="Quote"/>
    <w:basedOn w:val="Heading1"/>
    <w:link w:val="QuoteChar"/>
    <w:qFormat/>
    <w:rsid w:val="00BE0EDF"/>
    <w:rPr>
      <w:b w:val="0"/>
      <w:sz w:val="72"/>
      <w:szCs w:val="72"/>
      <w:lang w:val="en-NZ"/>
    </w:rPr>
  </w:style>
  <w:style w:type="character" w:customStyle="1" w:styleId="QuoteChar">
    <w:name w:val="Quote Char"/>
    <w:basedOn w:val="DefaultParagraphFont"/>
    <w:link w:val="Quote"/>
    <w:rsid w:val="00BE0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EDF"/>
    <w:pPr>
      <w:pageBreakBefore/>
    </w:pPr>
  </w:style>
  <w:style w:type="paragraph" w:customStyle="1" w:styleId="Border">
    <w:name w:val="Border"/>
    <w:basedOn w:val="Normal"/>
    <w:qFormat/>
    <w:rsid w:val="00BE0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EDF"/>
    <w:rPr>
      <w:b/>
      <w:bCs/>
      <w:i/>
      <w:iCs/>
      <w:color w:val="auto"/>
    </w:rPr>
  </w:style>
  <w:style w:type="paragraph" w:styleId="IntenseQuote">
    <w:name w:val="Intense Quote"/>
    <w:basedOn w:val="Normal"/>
    <w:next w:val="Normal"/>
    <w:link w:val="IntenseQuoteChar"/>
    <w:uiPriority w:val="30"/>
    <w:qFormat/>
    <w:rsid w:val="00BE0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E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0EDF"/>
    <w:rPr>
      <w:smallCaps/>
      <w:color w:val="auto"/>
      <w:u w:val="single"/>
    </w:rPr>
  </w:style>
  <w:style w:type="character" w:styleId="IntenseReference">
    <w:name w:val="Intense Reference"/>
    <w:basedOn w:val="DefaultParagraphFont"/>
    <w:uiPriority w:val="32"/>
    <w:qFormat/>
    <w:rsid w:val="00BE0EDF"/>
    <w:rPr>
      <w:b/>
      <w:bCs/>
      <w:smallCaps/>
      <w:color w:val="auto"/>
      <w:spacing w:val="5"/>
      <w:u w:val="single"/>
    </w:rPr>
  </w:style>
  <w:style w:type="paragraph" w:customStyle="1" w:styleId="2ColumnHeading">
    <w:name w:val="2Column Heading"/>
    <w:basedOn w:val="BodyText"/>
    <w:qFormat/>
    <w:rsid w:val="00BE0EDF"/>
    <w:pPr>
      <w:spacing w:after="60"/>
      <w:ind w:left="-2268"/>
    </w:pPr>
    <w:rPr>
      <w:b/>
    </w:rPr>
  </w:style>
  <w:style w:type="paragraph" w:customStyle="1" w:styleId="Heading1TOC">
    <w:name w:val="Heading1 TOC"/>
    <w:basedOn w:val="Normal"/>
    <w:qFormat/>
    <w:rsid w:val="00BE0EDF"/>
    <w:pPr>
      <w:spacing w:before="240" w:after="120"/>
    </w:pPr>
    <w:rPr>
      <w:rFonts w:ascii="Times New Roman" w:hAnsi="Times New Roman"/>
      <w:b/>
      <w:sz w:val="32"/>
    </w:rPr>
  </w:style>
  <w:style w:type="paragraph" w:customStyle="1" w:styleId="Heading2TOC">
    <w:name w:val="Heading2 TOC"/>
    <w:basedOn w:val="Normal"/>
    <w:qFormat/>
    <w:rsid w:val="00BE0EDF"/>
    <w:pPr>
      <w:spacing w:before="240" w:after="60"/>
    </w:pPr>
    <w:rPr>
      <w:rFonts w:ascii="Times New Roman" w:hAnsi="Times New Roman"/>
      <w:b/>
      <w:sz w:val="28"/>
    </w:rPr>
  </w:style>
  <w:style w:type="character" w:customStyle="1" w:styleId="Underline">
    <w:name w:val="Underline"/>
    <w:basedOn w:val="DefaultParagraphFont"/>
    <w:qFormat/>
    <w:rsid w:val="00BE0EDF"/>
    <w:rPr>
      <w:u w:val="single"/>
    </w:rPr>
  </w:style>
  <w:style w:type="character" w:customStyle="1" w:styleId="BoldandItalics">
    <w:name w:val="Bold and Italics"/>
    <w:qFormat/>
    <w:rsid w:val="00BE0EDF"/>
    <w:rPr>
      <w:b/>
      <w:i/>
      <w:u w:val="none"/>
    </w:rPr>
  </w:style>
  <w:style w:type="paragraph" w:styleId="BalloonText">
    <w:name w:val="Balloon Text"/>
    <w:basedOn w:val="Normal"/>
    <w:link w:val="BalloonTextChar"/>
    <w:rsid w:val="00BE0EDF"/>
    <w:rPr>
      <w:rFonts w:ascii="Tahoma" w:hAnsi="Tahoma" w:cs="Tahoma"/>
      <w:sz w:val="16"/>
      <w:szCs w:val="16"/>
    </w:rPr>
  </w:style>
  <w:style w:type="character" w:customStyle="1" w:styleId="BalloonTextChar">
    <w:name w:val="Balloon Text Char"/>
    <w:basedOn w:val="DefaultParagraphFont"/>
    <w:link w:val="BalloonText"/>
    <w:rsid w:val="00BE0E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0E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E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956</Words>
  <Characters>5879</Characters>
  <Application>Microsoft Office Word</Application>
  <DocSecurity>0</DocSecurity>
  <Lines>210</Lines>
  <Paragraphs>99</Paragraphs>
  <ScaleCrop>false</ScaleCrop>
  <Company>Author-it Software Corporation Ltd.</Company>
  <LinksUpToDate>false</LinksUpToDate>
  <CharactersWithSpaces>6766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MEM08005B Prepare and produce specialised coatings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2012-05-27T01:37:00Z</dcterms:created>
  <dcterms:modified xsi:type="dcterms:W3CDTF">2012-05-27T01:37:00Z</dcterms:modified>
</cp:coreProperties>
</file>