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1AF" w:rsidP="006351AF">
      <w:pPr>
        <w:pStyle w:val="Title"/>
      </w:pPr>
      <w:r>
        <w:fldChar w:fldCharType="begin"/>
      </w:r>
      <w:r>
        <w:instrText xml:space="preserve"> TITLE   \* MERGEFORMAT </w:instrText>
      </w:r>
      <w:r>
        <w:fldChar w:fldCharType="separate"/>
      </w:r>
      <w:r>
        <w:t>MEM08004B Finish work using wet, dry and vapour deposition methods</w:t>
      </w:r>
      <w:r>
        <w:fldChar w:fldCharType="end"/>
      </w:r>
    </w:p>
    <w:p w:rsidR="006351AF" w:rsidP="006351AF">
      <w:pPr>
        <w:pStyle w:val="Version"/>
        <w:sectPr w:rsidSect="00E12A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ABD" w:rsidP="00E12ABD">
      <w:pPr>
        <w:pStyle w:val="SuperHeading"/>
      </w:pPr>
      <w:r w:rsidRPr="00E12ABD">
        <w:t>MEM08004B Finish work using wet, dry and vapour deposition methods</w:t>
      </w:r>
    </w:p>
    <w:p w:rsidR="00000000" w:rsidRPr="00E12ABD" w:rsidP="00E12ABD">
      <w:pPr>
        <w:pStyle w:val="Heading1"/>
      </w:pPr>
      <w:bookmarkStart w:id="1" w:name="O_272086"/>
      <w:bookmarkEnd w:id="1"/>
      <w:r w:rsidRPr="00E12ABD">
        <w:t>Modification History</w:t>
      </w:r>
    </w:p>
    <w:p w:rsidR="00000000" w:rsidRPr="00E12ABD" w:rsidP="00E12ABD">
      <w:pPr>
        <w:pStyle w:val="BodyText"/>
      </w:pPr>
      <w:r w:rsidRPr="00E12ABD">
        <w:t>Not Applicable</w:t>
      </w:r>
    </w:p>
    <w:p w:rsidR="00000000" w:rsidRPr="00E12ABD" w:rsidP="00E12ABD">
      <w:pPr>
        <w:pStyle w:val="AllowPageBreak"/>
      </w:pPr>
    </w:p>
    <w:p w:rsidR="00000000" w:rsidRPr="00E12ABD" w:rsidP="00E12ABD">
      <w:pPr>
        <w:pStyle w:val="Heading1"/>
      </w:pPr>
      <w:bookmarkStart w:id="2" w:name="O_211040"/>
      <w:bookmarkEnd w:id="2"/>
      <w:r w:rsidRPr="00E12ABD">
        <w:t>Unit Descriptor</w:t>
      </w:r>
    </w:p>
    <w:tbl>
      <w:tblPr>
        <w:tblW w:w="0" w:type="auto"/>
        <w:tblLayout w:type="fixed"/>
        <w:tblCellMar>
          <w:left w:w="62" w:type="dxa"/>
          <w:right w:w="62" w:type="dxa"/>
        </w:tblCellMar>
        <w:tblLook w:val="0000"/>
      </w:tblPr>
      <w:tblGrid>
        <w:gridCol w:w="2673"/>
        <w:gridCol w:w="5849"/>
      </w:tblGrid>
      <w:tr w:rsidTr="006351A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t>This unit applies to finishing work using a range of wet and dry organic</w:t>
            </w:r>
            <w:r w:rsidRPr="00E12ABD">
              <w:t xml:space="preserve"> coatings.</w:t>
            </w:r>
          </w:p>
        </w:tc>
      </w:tr>
    </w:tbl>
    <w:p w:rsidR="006351AF" w:rsidP="00E12ABD">
      <w:pPr>
        <w:pStyle w:val="BodyText"/>
      </w:pPr>
    </w:p>
    <w:p w:rsidR="006351AF" w:rsidP="00E12ABD">
      <w:pPr>
        <w:pStyle w:val="BodyText"/>
      </w:pPr>
    </w:p>
    <w:p w:rsidR="00000000" w:rsidRPr="00E12ABD" w:rsidP="00E12ABD">
      <w:pPr>
        <w:pStyle w:val="Heading1"/>
      </w:pPr>
      <w:bookmarkStart w:id="3" w:name="O_211044"/>
      <w:bookmarkEnd w:id="3"/>
      <w:r w:rsidRPr="00E12ABD">
        <w:t>Application of the Unit</w:t>
      </w:r>
    </w:p>
    <w:tbl>
      <w:tblPr>
        <w:tblW w:w="0" w:type="auto"/>
        <w:tblLayout w:type="fixed"/>
        <w:tblCellMar>
          <w:left w:w="62" w:type="dxa"/>
          <w:right w:w="62" w:type="dxa"/>
        </w:tblCellMar>
        <w:tblLook w:val="0000"/>
      </w:tblPr>
      <w:tblGrid>
        <w:gridCol w:w="2745"/>
        <w:gridCol w:w="5777"/>
      </w:tblGrid>
      <w:tr w:rsidTr="006351A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t xml:space="preserve">Processing may be carried out in manual, semi or fully automatic plant. Applications may be by hand or utilising a wide range of machines or plant. </w:t>
            </w:r>
          </w:p>
          <w:p w:rsidR="00000000" w:rsidRPr="00E12ABD" w:rsidP="00E12ABD">
            <w:pPr>
              <w:pStyle w:val="BodyText"/>
            </w:pPr>
            <w:r w:rsidRPr="00E12ABD">
              <w:t>Work is conducted under supervision.</w:t>
            </w:r>
          </w:p>
          <w:p w:rsidR="00000000" w:rsidRPr="00E12ABD" w:rsidP="00E12ABD">
            <w:pPr>
              <w:pStyle w:val="BodyText"/>
            </w:pPr>
            <w:r w:rsidRPr="00E12ABD">
              <w:t>Where straightforward monitoring of semi or automatic machine or process is undertaken, then Unit MEM07024B (Operate and monitor machine/process) should be considered.</w:t>
            </w:r>
          </w:p>
          <w:p w:rsidR="00000000" w:rsidRPr="00E12ABD" w:rsidP="00E12ABD">
            <w:pPr>
              <w:pStyle w:val="BodyText"/>
            </w:pPr>
          </w:p>
          <w:p w:rsidR="00000000" w:rsidRPr="00E12ABD" w:rsidP="00E12ABD">
            <w:pPr>
              <w:pStyle w:val="BodyText"/>
            </w:pPr>
            <w:r w:rsidRPr="00E12ABD">
              <w:rPr>
                <w:rStyle w:val="SpecialBold"/>
              </w:rPr>
              <w:t>Band</w:t>
            </w:r>
            <w:r w:rsidRPr="00E12ABD">
              <w:t>:</w:t>
            </w:r>
            <w:r w:rsidRPr="00E12ABD">
              <w:tab/>
            </w:r>
            <w:r w:rsidRPr="00E12ABD">
              <w:rPr>
                <w:rStyle w:val="SpecialBold"/>
              </w:rPr>
              <w:t>A</w:t>
            </w:r>
          </w:p>
          <w:p w:rsidR="00000000" w:rsidRPr="00E12ABD" w:rsidP="00E12ABD">
            <w:pPr>
              <w:pStyle w:val="BodyText"/>
            </w:pPr>
            <w:r w:rsidRPr="00E12ABD">
              <w:rPr>
                <w:rStyle w:val="SpecialBold"/>
              </w:rPr>
              <w:t>Unit Weight</w:t>
            </w:r>
            <w:r w:rsidRPr="00E12ABD">
              <w:t>:</w:t>
            </w:r>
            <w:r w:rsidRPr="00E12ABD">
              <w:tab/>
            </w:r>
            <w:r w:rsidRPr="00E12ABD">
              <w:rPr>
                <w:rStyle w:val="SpecialBold"/>
              </w:rPr>
              <w:t>4</w:t>
            </w:r>
          </w:p>
        </w:tc>
      </w:tr>
    </w:tbl>
    <w:p w:rsidR="006351AF" w:rsidP="00E12ABD">
      <w:pPr>
        <w:pStyle w:val="BodyText"/>
      </w:pPr>
    </w:p>
    <w:p w:rsidR="006351AF" w:rsidP="00E12ABD">
      <w:pPr>
        <w:pStyle w:val="BodyText"/>
      </w:pPr>
    </w:p>
    <w:p w:rsidR="00000000" w:rsidRPr="00E12ABD" w:rsidP="00E12ABD">
      <w:pPr>
        <w:pStyle w:val="Heading1"/>
      </w:pPr>
      <w:bookmarkStart w:id="4" w:name="O_280346"/>
      <w:bookmarkEnd w:id="4"/>
      <w:r w:rsidRPr="00E12ABD">
        <w:t>Licensing/Regulatory Information</w:t>
      </w:r>
    </w:p>
    <w:p w:rsidR="00000000" w:rsidRPr="00E12ABD" w:rsidP="00E12ABD">
      <w:pPr>
        <w:pStyle w:val="BodyText"/>
      </w:pPr>
      <w:r w:rsidRPr="00E12ABD">
        <w:t>Not Applicable</w:t>
      </w:r>
    </w:p>
    <w:p w:rsidR="00000000" w:rsidRPr="00E12ABD" w:rsidP="00E12ABD">
      <w:pPr>
        <w:pStyle w:val="AllowPageBreak"/>
      </w:pPr>
    </w:p>
    <w:p w:rsidR="00000000" w:rsidRPr="00E12ABD" w:rsidP="00E12ABD">
      <w:pPr>
        <w:pStyle w:val="Heading1"/>
      </w:pPr>
      <w:bookmarkStart w:id="5" w:name="O_211042"/>
      <w:bookmarkEnd w:id="5"/>
      <w:r w:rsidRPr="00E12ABD">
        <w:t>Pre-Requisites</w:t>
      </w:r>
    </w:p>
    <w:tbl>
      <w:tblPr>
        <w:tblW w:w="0" w:type="auto"/>
        <w:tblLayout w:type="fixed"/>
        <w:tblCellMar>
          <w:left w:w="62" w:type="dxa"/>
          <w:right w:w="62" w:type="dxa"/>
        </w:tblCellMar>
        <w:tblLook w:val="0000"/>
      </w:tblPr>
      <w:tblGrid>
        <w:gridCol w:w="2719"/>
        <w:gridCol w:w="2207"/>
        <w:gridCol w:w="3596"/>
      </w:tblGrid>
      <w:tr w:rsidTr="006351AF">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p>
        </w:tc>
      </w:tr>
      <w:tr w:rsidTr="006351AF">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MEM08002C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Pre-treat work for subsequent surface coating</w:t>
            </w:r>
          </w:p>
        </w:tc>
      </w:tr>
      <w:tr w:rsidTr="006351AF">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MEM13003B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t xml:space="preserve">Work safely with industrial </w:t>
            </w:r>
            <w:r w:rsidRPr="00E12ABD">
              <w:t>chemicals and materials</w:t>
            </w:r>
          </w:p>
        </w:tc>
      </w:tr>
    </w:tbl>
    <w:p w:rsidR="006351AF" w:rsidP="00E12ABD">
      <w:pPr>
        <w:pStyle w:val="BodyText"/>
      </w:pPr>
    </w:p>
    <w:p w:rsidR="006351AF" w:rsidP="00E12ABD">
      <w:pPr>
        <w:pStyle w:val="BodyText"/>
      </w:pPr>
    </w:p>
    <w:p w:rsidR="00000000" w:rsidRPr="00E12ABD" w:rsidP="00E12ABD">
      <w:pPr>
        <w:pStyle w:val="Heading1"/>
      </w:pPr>
      <w:bookmarkStart w:id="6" w:name="O_211041"/>
      <w:bookmarkEnd w:id="6"/>
      <w:r w:rsidRPr="00E12ABD">
        <w:t>Employability Skills Information</w:t>
      </w:r>
    </w:p>
    <w:tbl>
      <w:tblPr>
        <w:tblW w:w="0" w:type="auto"/>
        <w:tblLayout w:type="fixed"/>
        <w:tblCellMar>
          <w:left w:w="62" w:type="dxa"/>
          <w:right w:w="62" w:type="dxa"/>
        </w:tblCellMar>
        <w:tblLook w:val="0000"/>
      </w:tblPr>
      <w:tblGrid>
        <w:gridCol w:w="2802"/>
        <w:gridCol w:w="5720"/>
      </w:tblGrid>
      <w:tr w:rsidTr="006351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t>This unit contains employability skills.</w:t>
            </w:r>
          </w:p>
        </w:tc>
      </w:tr>
    </w:tbl>
    <w:p w:rsidR="006351AF" w:rsidP="00E12ABD">
      <w:pPr>
        <w:pStyle w:val="BodyText"/>
      </w:pPr>
    </w:p>
    <w:p w:rsidR="006351AF" w:rsidP="00E12ABD">
      <w:pPr>
        <w:pStyle w:val="BodyText"/>
      </w:pPr>
    </w:p>
    <w:p w:rsidR="00000000" w:rsidRPr="00E12ABD" w:rsidP="00E12ABD">
      <w:pPr>
        <w:pStyle w:val="Heading1"/>
      </w:pPr>
      <w:bookmarkStart w:id="7" w:name="O_290132"/>
      <w:bookmarkEnd w:id="7"/>
      <w:r w:rsidRPr="00E12ABD">
        <w:t>Elements and Performance Criteria Pre-Content</w:t>
      </w:r>
    </w:p>
    <w:tbl>
      <w:tblPr>
        <w:tblW w:w="0" w:type="auto"/>
        <w:tblLayout w:type="fixed"/>
        <w:tblCellMar>
          <w:left w:w="62" w:type="dxa"/>
          <w:right w:w="62" w:type="dxa"/>
        </w:tblCellMar>
        <w:tblLook w:val="0000"/>
      </w:tblPr>
      <w:tblGrid>
        <w:gridCol w:w="2544"/>
        <w:gridCol w:w="5978"/>
      </w:tblGrid>
      <w:tr w:rsidTr="006351A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t>Performance criteria describe</w:t>
            </w:r>
            <w:r w:rsidRPr="00E12AB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E12ABD">
              <w:t>the evidence guide.</w:t>
            </w:r>
          </w:p>
        </w:tc>
      </w:tr>
    </w:tbl>
    <w:p w:rsidR="00000000" w:rsidRPr="00E12ABD" w:rsidP="00E12ABD">
      <w:pPr>
        <w:pStyle w:val="BodyText"/>
      </w:pPr>
    </w:p>
    <w:p w:rsidR="00000000" w:rsidRPr="00E12ABD" w:rsidP="00E12ABD">
      <w:pPr>
        <w:pStyle w:val="AllowPageBreak"/>
      </w:pPr>
    </w:p>
    <w:p w:rsidR="00000000" w:rsidRPr="00E12ABD" w:rsidP="00E12ABD">
      <w:pPr>
        <w:pStyle w:val="Heading1"/>
      </w:pPr>
      <w:bookmarkStart w:id="8" w:name="O_236799"/>
      <w:bookmarkEnd w:id="8"/>
      <w:r w:rsidRPr="00E12ABD">
        <w:t>Elements and Performance Criteria</w:t>
      </w:r>
    </w:p>
    <w:tbl>
      <w:tblPr>
        <w:tblW w:w="0" w:type="auto"/>
        <w:tblLayout w:type="fixed"/>
        <w:tblCellMar>
          <w:left w:w="62" w:type="dxa"/>
          <w:right w:w="62" w:type="dxa"/>
        </w:tblCellMar>
        <w:tblLook w:val="0000"/>
      </w:tblPr>
      <w:tblGrid>
        <w:gridCol w:w="2544"/>
        <w:gridCol w:w="5978"/>
      </w:tblGrid>
      <w:tr w:rsidTr="006351AF">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PERFORMANCE CRITERIA</w:t>
            </w:r>
          </w:p>
        </w:tc>
      </w:tr>
      <w:tr w:rsidTr="006351A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List"/>
              <w:rPr>
                <w:lang w:val="en-NZ"/>
              </w:rPr>
            </w:pPr>
            <w:r w:rsidRPr="00E12ABD">
              <w:t>1.</w:t>
            </w:r>
            <w:r w:rsidRPr="00E12ABD">
              <w:tab/>
              <w:t>Assess and prepare components for required coating process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List2"/>
            </w:pPr>
            <w:r w:rsidRPr="00E12ABD">
              <w:t>1.1.</w:t>
            </w:r>
            <w:r w:rsidRPr="00E12ABD">
              <w:tab/>
              <w:t>Coating specifications are identified from operation sheets/work procedures.</w:t>
            </w:r>
          </w:p>
          <w:p w:rsidR="00000000" w:rsidRPr="00E12ABD" w:rsidP="00E12ABD">
            <w:pPr>
              <w:pStyle w:val="List2"/>
            </w:pPr>
            <w:r w:rsidRPr="00E12ABD">
              <w:t>1.2.</w:t>
            </w:r>
            <w:r w:rsidRPr="00E12ABD">
              <w:tab/>
            </w:r>
            <w:r w:rsidRPr="00E12ABD">
              <w:t>Suitability of pre-treated components for finishing process is checked according to enterprise procedures.</w:t>
            </w:r>
          </w:p>
          <w:p w:rsidR="00000000" w:rsidRPr="00E12ABD" w:rsidP="00E12ABD">
            <w:pPr>
              <w:pStyle w:val="List2"/>
            </w:pPr>
            <w:r w:rsidRPr="00E12ABD">
              <w:t>1.3.</w:t>
            </w:r>
            <w:r w:rsidRPr="00E12ABD">
              <w:tab/>
              <w:t>Components are prepared as required for finishing application.</w:t>
            </w:r>
          </w:p>
          <w:p w:rsidR="00000000" w:rsidP="00E12ABD">
            <w:pPr>
              <w:pStyle w:val="List2"/>
              <w:rPr>
                <w:lang w:val="en-NZ"/>
              </w:rPr>
            </w:pPr>
            <w:r w:rsidRPr="00E12ABD">
              <w:t>1.4.</w:t>
            </w:r>
            <w:r w:rsidRPr="00E12ABD">
              <w:tab/>
            </w:r>
            <w:r w:rsidRPr="00E12ABD">
              <w:t>Components are positioned/located for finishing according to enterprise procedures.</w:t>
            </w:r>
          </w:p>
        </w:tc>
      </w:tr>
      <w:tr w:rsidTr="006351A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List"/>
              <w:rPr>
                <w:lang w:val="en-NZ"/>
              </w:rPr>
            </w:pPr>
            <w:r w:rsidRPr="00E12ABD">
              <w:t>2.</w:t>
            </w:r>
            <w:r w:rsidRPr="00E12ABD">
              <w:tab/>
              <w:t>Perform simple mixing and estimating operations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List2"/>
            </w:pPr>
            <w:r w:rsidRPr="00E12ABD">
              <w:t>2.1.</w:t>
            </w:r>
            <w:r w:rsidRPr="00E12ABD">
              <w:tab/>
              <w:t>Mixing ratios are calculated and a range of wet coatings are mixed and thinned as required to standard operating pr</w:t>
            </w:r>
            <w:r w:rsidRPr="00E12ABD">
              <w:t>ocedures.</w:t>
            </w:r>
          </w:p>
          <w:p w:rsidR="00000000" w:rsidP="00E12ABD">
            <w:pPr>
              <w:pStyle w:val="List2"/>
              <w:rPr>
                <w:lang w:val="en-NZ"/>
              </w:rPr>
            </w:pPr>
            <w:r w:rsidRPr="00E12ABD">
              <w:t>2.2.</w:t>
            </w:r>
            <w:r w:rsidRPr="00E12ABD">
              <w:tab/>
              <w:t>Required coating quantities are estimated using simple surface area calculations.</w:t>
            </w:r>
          </w:p>
        </w:tc>
      </w:tr>
      <w:tr w:rsidTr="006351A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List"/>
              <w:rPr>
                <w:lang w:val="en-NZ"/>
              </w:rPr>
            </w:pPr>
            <w:r w:rsidRPr="00E12ABD">
              <w:t>3.</w:t>
            </w:r>
            <w:r w:rsidRPr="00E12ABD">
              <w:tab/>
              <w:t>Perform coating operation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List2"/>
            </w:pPr>
            <w:r w:rsidRPr="00E12ABD">
              <w:t>3.1.</w:t>
            </w:r>
            <w:r w:rsidRPr="00E12ABD">
              <w:tab/>
              <w:t>Equipment is set up to specification using standard operating procedures.</w:t>
            </w:r>
          </w:p>
          <w:p w:rsidR="00000000" w:rsidRPr="00E12ABD" w:rsidP="00E12ABD">
            <w:pPr>
              <w:pStyle w:val="List2"/>
            </w:pPr>
            <w:r w:rsidRPr="00E12ABD">
              <w:t>3.2.</w:t>
            </w:r>
            <w:r w:rsidRPr="00E12ABD">
              <w:tab/>
              <w:t>Coating and applied curing technique are moni</w:t>
            </w:r>
            <w:r w:rsidRPr="00E12ABD">
              <w:t>tored to standard operating procedures.</w:t>
            </w:r>
          </w:p>
          <w:p w:rsidR="00000000" w:rsidRPr="00E12ABD" w:rsidP="00E12ABD">
            <w:pPr>
              <w:pStyle w:val="List2"/>
            </w:pPr>
            <w:r w:rsidRPr="00E12ABD">
              <w:t>3.3.</w:t>
            </w:r>
            <w:r w:rsidRPr="00E12ABD">
              <w:tab/>
              <w:t>Coating application, thickness and colour are checked and maintained for compliance with specifications.</w:t>
            </w:r>
          </w:p>
        </w:tc>
      </w:tr>
    </w:tbl>
    <w:p w:rsidR="006351AF" w:rsidP="00E12ABD">
      <w:pPr>
        <w:pStyle w:val="BodyText"/>
      </w:pPr>
    </w:p>
    <w:p w:rsidR="006351AF" w:rsidP="00E12ABD">
      <w:pPr>
        <w:pStyle w:val="BodyText"/>
      </w:pPr>
    </w:p>
    <w:p w:rsidR="00000000" w:rsidRPr="00E12ABD" w:rsidP="00E12ABD">
      <w:pPr>
        <w:pStyle w:val="Heading1"/>
      </w:pPr>
      <w:bookmarkStart w:id="9" w:name="O_260749"/>
      <w:bookmarkEnd w:id="9"/>
      <w:r w:rsidRPr="00E12ABD">
        <w:t>Required Skills and Knowledge</w:t>
      </w:r>
    </w:p>
    <w:tbl>
      <w:tblPr>
        <w:tblW w:w="0" w:type="auto"/>
        <w:tblLayout w:type="fixed"/>
        <w:tblCellMar>
          <w:left w:w="62" w:type="dxa"/>
          <w:right w:w="62" w:type="dxa"/>
        </w:tblCellMar>
        <w:tblLook w:val="0000"/>
      </w:tblPr>
      <w:tblGrid>
        <w:gridCol w:w="8522"/>
      </w:tblGrid>
      <w:tr w:rsidTr="006351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REQUIRED SKILLS AND KNOWLEDGE</w:t>
            </w:r>
          </w:p>
        </w:tc>
      </w:tr>
      <w:tr w:rsidTr="006351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This section describes the skills and knowledge required for this unit.</w:t>
            </w:r>
          </w:p>
        </w:tc>
      </w:tr>
      <w:tr w:rsidTr="006351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Required skills</w:t>
            </w:r>
          </w:p>
        </w:tc>
      </w:tr>
      <w:tr w:rsidTr="006351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t>Look for evidence that confirms skills in:</w:t>
            </w:r>
          </w:p>
          <w:p w:rsidR="00000000" w:rsidRPr="00E12ABD" w:rsidP="00E12ABD">
            <w:pPr>
              <w:pStyle w:val="ListBullet"/>
            </w:pPr>
            <w:r w:rsidRPr="00E12ABD">
              <w:t>obtaining all relevant drawings, specifications and/or instructions in accordance with work place procedures</w:t>
            </w:r>
          </w:p>
          <w:p w:rsidR="00000000" w:rsidRPr="00E12ABD" w:rsidP="00E12ABD">
            <w:pPr>
              <w:pStyle w:val="ListBullet"/>
            </w:pPr>
            <w:r w:rsidRPr="00E12ABD">
              <w:t>racking the components to be coated correctly in accordance with standard operating procedures</w:t>
            </w:r>
          </w:p>
          <w:p w:rsidR="00000000" w:rsidRPr="00E12ABD" w:rsidP="00E12ABD">
            <w:pPr>
              <w:pStyle w:val="ListBullet"/>
            </w:pPr>
            <w:r w:rsidRPr="00E12ABD">
              <w:t>calculating the correct mixing ratios for given wet coatings accurately</w:t>
            </w:r>
          </w:p>
          <w:p w:rsidR="00000000" w:rsidRPr="00E12ABD" w:rsidP="00E12ABD">
            <w:pPr>
              <w:pStyle w:val="ListBullet"/>
            </w:pPr>
            <w:r w:rsidRPr="00E12ABD">
              <w:t xml:space="preserve">where appropriate, mixing and thinning the given wet coatings </w:t>
            </w:r>
          </w:p>
          <w:p w:rsidR="00000000" w:rsidRPr="00E12ABD" w:rsidP="00E12ABD">
            <w:pPr>
              <w:pStyle w:val="ListBullet"/>
            </w:pPr>
            <w:r w:rsidRPr="00E12ABD">
              <w:t>calculating the surface ar</w:t>
            </w:r>
            <w:r w:rsidRPr="00E12ABD">
              <w:t>ea to be coated correctly</w:t>
            </w:r>
          </w:p>
          <w:p w:rsidR="00000000" w:rsidRPr="00E12ABD" w:rsidP="00E12ABD">
            <w:pPr>
              <w:pStyle w:val="ListBullet"/>
            </w:pPr>
            <w:r w:rsidRPr="00E12ABD">
              <w:t xml:space="preserve">where appropriate, estimating the quantities of wet coating materials correctly </w:t>
            </w:r>
          </w:p>
          <w:p w:rsidR="00000000" w:rsidRPr="00E12ABD" w:rsidP="00E12ABD">
            <w:pPr>
              <w:pStyle w:val="ListBullet"/>
            </w:pPr>
            <w:r w:rsidRPr="00E12ABD">
              <w:t xml:space="preserve">setting up the appropriate coating equipment </w:t>
            </w:r>
          </w:p>
          <w:p w:rsidR="00000000" w:rsidRPr="00E12ABD" w:rsidP="00E12ABD">
            <w:pPr>
              <w:pStyle w:val="ListBullet"/>
            </w:pPr>
            <w:r w:rsidRPr="00E12ABD">
              <w:t>applying the coating correctly using the appropriate technique</w:t>
            </w:r>
          </w:p>
          <w:p w:rsidR="00000000" w:rsidRPr="00E12ABD" w:rsidP="00E12ABD">
            <w:pPr>
              <w:pStyle w:val="ListBullet"/>
            </w:pPr>
            <w:r w:rsidRPr="00E12ABD">
              <w:t>curing the coating correctly using the appropriate technique</w:t>
            </w:r>
          </w:p>
          <w:p w:rsidR="00000000" w:rsidRPr="00E12ABD" w:rsidP="00E12ABD">
            <w:pPr>
              <w:pStyle w:val="ListBullet"/>
            </w:pPr>
            <w:r w:rsidRPr="00E12ABD">
              <w:t>maintaining the coating thickness and colour in accordance with specifications throughout the coating operation</w:t>
            </w:r>
          </w:p>
          <w:p w:rsidR="00000000" w:rsidRPr="00E12ABD" w:rsidP="00E12ABD">
            <w:pPr>
              <w:pStyle w:val="ListBullet"/>
            </w:pPr>
            <w:r w:rsidRPr="00E12ABD">
              <w:t xml:space="preserve">checking the coating thickness and colour </w:t>
            </w:r>
          </w:p>
          <w:p w:rsidR="00000000" w:rsidRPr="00E12ABD" w:rsidP="00E12ABD">
            <w:pPr>
              <w:pStyle w:val="ListBullet"/>
            </w:pPr>
            <w:r w:rsidRPr="00E12ABD">
              <w:t>reading, interpreting and following info</w:t>
            </w:r>
            <w:r w:rsidRPr="00E12ABD">
              <w:t>rmation on written job instructions, specifications, standard operating procedures, charts, lists, drawings and other applicable reference documents</w:t>
            </w:r>
          </w:p>
          <w:p w:rsidR="00000000" w:rsidRPr="00E12ABD" w:rsidP="00E12ABD">
            <w:pPr>
              <w:pStyle w:val="ListBullet"/>
            </w:pPr>
            <w:r w:rsidRPr="00E12ABD">
              <w:t>planning and sequencing operations</w:t>
            </w:r>
          </w:p>
          <w:p w:rsidR="00000000" w:rsidRPr="00E12ABD" w:rsidP="00E12ABD">
            <w:pPr>
              <w:pStyle w:val="ListBullet"/>
            </w:pPr>
            <w:r w:rsidRPr="00E12ABD">
              <w:t>checking and clarifying task-related information</w:t>
            </w:r>
          </w:p>
          <w:p w:rsidR="00000000" w:rsidRPr="00E12ABD" w:rsidP="00E12ABD">
            <w:pPr>
              <w:pStyle w:val="ListBullet"/>
            </w:pPr>
            <w:r w:rsidRPr="00E12ABD">
              <w:t>checking for conformanc</w:t>
            </w:r>
            <w:r w:rsidRPr="00E12ABD">
              <w:t>e to specifications</w:t>
            </w:r>
          </w:p>
          <w:p w:rsidR="00000000" w:rsidP="00E12ABD">
            <w:pPr>
              <w:pStyle w:val="ListBullet"/>
              <w:rPr>
                <w:lang w:val="en-NZ"/>
              </w:rPr>
            </w:pPr>
            <w:r w:rsidRPr="00E12ABD">
              <w:t>performing numerical operations, geometry and calculations/formulae within the scope of this unit</w:t>
            </w:r>
          </w:p>
        </w:tc>
      </w:tr>
      <w:tr w:rsidTr="006351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Required knowledge</w:t>
            </w:r>
          </w:p>
        </w:tc>
      </w:tr>
      <w:tr w:rsidTr="006351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t>Look for evidence that confirms knowledge of:</w:t>
            </w:r>
          </w:p>
          <w:p w:rsidR="00000000" w:rsidRPr="00E12ABD" w:rsidP="00E12ABD">
            <w:pPr>
              <w:pStyle w:val="ListBullet"/>
            </w:pPr>
            <w:r w:rsidRPr="00E12ABD">
              <w:t>work to be undertaken</w:t>
            </w:r>
          </w:p>
          <w:p w:rsidR="00000000" w:rsidRPr="00E12ABD" w:rsidP="00E12ABD">
            <w:pPr>
              <w:pStyle w:val="ListBullet"/>
            </w:pPr>
            <w:r w:rsidRPr="00E12ABD">
              <w:t>coating process to be used</w:t>
            </w:r>
          </w:p>
          <w:p w:rsidR="00000000" w:rsidRPr="00E12ABD" w:rsidP="00E12ABD">
            <w:pPr>
              <w:pStyle w:val="ListBullet"/>
            </w:pPr>
            <w:r w:rsidRPr="00E12ABD">
              <w:t>coating specifications</w:t>
            </w:r>
          </w:p>
          <w:p w:rsidR="00000000" w:rsidRPr="00E12ABD" w:rsidP="00E12ABD">
            <w:pPr>
              <w:pStyle w:val="ListBullet"/>
            </w:pPr>
            <w:r w:rsidRPr="00E12ABD">
              <w:t>appropriate type of racking for the coating process</w:t>
            </w:r>
          </w:p>
          <w:p w:rsidR="00000000" w:rsidRPr="00E12ABD" w:rsidP="00E12ABD">
            <w:pPr>
              <w:pStyle w:val="ListBullet"/>
            </w:pPr>
            <w:r w:rsidRPr="00E12ABD">
              <w:t>reasons for selecting the chosen rack type</w:t>
            </w:r>
          </w:p>
          <w:p w:rsidR="00000000" w:rsidRPr="00E12ABD" w:rsidP="00E12ABD">
            <w:pPr>
              <w:pStyle w:val="ListBullet"/>
            </w:pPr>
            <w:r w:rsidRPr="00E12ABD">
              <w:t>procedures for racking components to be coated</w:t>
            </w:r>
          </w:p>
          <w:p w:rsidR="00000000" w:rsidRPr="00E12ABD" w:rsidP="00E12ABD">
            <w:pPr>
              <w:pStyle w:val="ListBullet"/>
            </w:pPr>
            <w:r w:rsidRPr="00E12ABD">
              <w:t>source of data on mixing ratios for wet coatings</w:t>
            </w:r>
          </w:p>
          <w:p w:rsidR="00000000" w:rsidRPr="00E12ABD" w:rsidP="00E12ABD">
            <w:pPr>
              <w:pStyle w:val="ListBullet"/>
            </w:pPr>
            <w:r w:rsidRPr="00E12ABD">
              <w:t>mixing ratio for the given task(s)</w:t>
            </w:r>
          </w:p>
          <w:p w:rsidR="00000000" w:rsidRPr="00E12ABD" w:rsidP="00E12ABD">
            <w:pPr>
              <w:pStyle w:val="ListBullet"/>
            </w:pPr>
            <w:r w:rsidRPr="00E12ABD">
              <w:t>functio</w:t>
            </w:r>
            <w:r w:rsidRPr="00E12ABD">
              <w:t>n of thinners as applied to the application of wet coatings</w:t>
            </w:r>
          </w:p>
          <w:p w:rsidR="00000000" w:rsidRPr="00E12ABD" w:rsidP="00E12ABD">
            <w:pPr>
              <w:pStyle w:val="ListBullet"/>
            </w:pPr>
            <w:r w:rsidRPr="00E12ABD">
              <w:t>procedures to be followed when mixing wet coatings</w:t>
            </w:r>
          </w:p>
          <w:p w:rsidR="00000000" w:rsidRPr="00E12ABD" w:rsidP="00E12ABD">
            <w:pPr>
              <w:pStyle w:val="ListBullet"/>
            </w:pPr>
            <w:r w:rsidRPr="00E12ABD">
              <w:t>surface area to be coated</w:t>
            </w:r>
          </w:p>
          <w:p w:rsidR="00000000" w:rsidRPr="00E12ABD" w:rsidP="00E12ABD">
            <w:pPr>
              <w:pStyle w:val="ListBullet"/>
            </w:pPr>
            <w:r w:rsidRPr="00E12ABD">
              <w:t>coverage rate of the coating material to be applied</w:t>
            </w:r>
          </w:p>
          <w:p w:rsidR="00000000" w:rsidRPr="00E12ABD" w:rsidP="00E12ABD">
            <w:pPr>
              <w:pStyle w:val="ListBullet"/>
            </w:pPr>
            <w:r w:rsidRPr="00E12ABD">
              <w:t>procedures for estimating quantities of coating materials</w:t>
            </w:r>
          </w:p>
          <w:p w:rsidR="00000000" w:rsidRPr="00E12ABD" w:rsidP="00E12ABD">
            <w:pPr>
              <w:pStyle w:val="ListBullet"/>
            </w:pPr>
            <w:r w:rsidRPr="00E12ABD">
              <w:t xml:space="preserve">types of </w:t>
            </w:r>
            <w:r w:rsidRPr="00E12ABD">
              <w:t>equipment used for a variety of coating processes</w:t>
            </w:r>
          </w:p>
          <w:p w:rsidR="00000000" w:rsidRPr="00E12ABD" w:rsidP="00E12ABD">
            <w:pPr>
              <w:pStyle w:val="ListBullet"/>
            </w:pPr>
            <w:r w:rsidRPr="00E12ABD">
              <w:t>appropriate coating equipment for the given task(s)</w:t>
            </w:r>
          </w:p>
          <w:p w:rsidR="00000000" w:rsidRPr="00E12ABD" w:rsidP="00E12ABD">
            <w:pPr>
              <w:pStyle w:val="ListBullet"/>
            </w:pPr>
            <w:r w:rsidRPr="00E12ABD">
              <w:t>reasons for selecting the chosen equipment</w:t>
            </w:r>
          </w:p>
          <w:p w:rsidR="00000000" w:rsidRPr="00E12ABD" w:rsidP="00E12ABD">
            <w:pPr>
              <w:pStyle w:val="ListBullet"/>
            </w:pPr>
            <w:r w:rsidRPr="00E12ABD">
              <w:t>operating procedures applicable to the selected coating equipment</w:t>
            </w:r>
          </w:p>
          <w:p w:rsidR="00000000" w:rsidRPr="00E12ABD" w:rsidP="00E12ABD">
            <w:pPr>
              <w:pStyle w:val="ListBullet"/>
            </w:pPr>
            <w:r w:rsidRPr="00E12ABD">
              <w:t>a range of coating techniques</w:t>
            </w:r>
          </w:p>
          <w:p w:rsidR="00000000" w:rsidRPr="00E12ABD" w:rsidP="00E12ABD">
            <w:pPr>
              <w:pStyle w:val="ListBullet"/>
            </w:pPr>
            <w:r w:rsidRPr="00E12ABD">
              <w:t>a range of curi</w:t>
            </w:r>
            <w:r w:rsidRPr="00E12ABD">
              <w:t>ng techniques</w:t>
            </w:r>
          </w:p>
          <w:p w:rsidR="00000000" w:rsidRPr="00E12ABD" w:rsidP="00E12ABD">
            <w:pPr>
              <w:pStyle w:val="ListBullet"/>
            </w:pPr>
            <w:r w:rsidRPr="00E12ABD">
              <w:t>appropriate coating and curing technique for the given task(s)</w:t>
            </w:r>
          </w:p>
          <w:p w:rsidR="00000000" w:rsidRPr="00E12ABD" w:rsidP="00E12ABD">
            <w:pPr>
              <w:pStyle w:val="ListBullet"/>
            </w:pPr>
            <w:r w:rsidRPr="00E12ABD">
              <w:t>reasons for selecting the chosen coating and curing techniques</w:t>
            </w:r>
          </w:p>
          <w:p w:rsidR="00000000" w:rsidRPr="00E12ABD" w:rsidP="00E12ABD">
            <w:pPr>
              <w:pStyle w:val="ListBullet"/>
            </w:pPr>
            <w:r w:rsidRPr="00E12ABD">
              <w:t>monitoring procedures to be followed</w:t>
            </w:r>
          </w:p>
          <w:p w:rsidR="00000000" w:rsidRPr="00E12ABD" w:rsidP="00E12ABD">
            <w:pPr>
              <w:pStyle w:val="ListBullet"/>
            </w:pPr>
            <w:r w:rsidRPr="00E12ABD">
              <w:t>examples of coating defects</w:t>
            </w:r>
          </w:p>
          <w:p w:rsidR="00000000" w:rsidRPr="00E12ABD" w:rsidP="00E12ABD">
            <w:pPr>
              <w:pStyle w:val="ListBullet"/>
            </w:pPr>
            <w:r w:rsidRPr="00E12ABD">
              <w:t>the causes of coating defects</w:t>
            </w:r>
          </w:p>
          <w:p w:rsidR="00000000" w:rsidRPr="00E12ABD" w:rsidP="00E12ABD">
            <w:pPr>
              <w:pStyle w:val="ListBullet"/>
            </w:pPr>
            <w:r w:rsidRPr="00E12ABD">
              <w:t>where appropriate, p</w:t>
            </w:r>
            <w:r w:rsidRPr="00E12ABD">
              <w:t>rocedures for rectifying coating defects</w:t>
            </w:r>
          </w:p>
          <w:p w:rsidR="00000000" w:rsidRPr="00E12ABD" w:rsidP="00E12ABD">
            <w:pPr>
              <w:pStyle w:val="ListBullet"/>
            </w:pPr>
            <w:r w:rsidRPr="00E12ABD">
              <w:t>where appropriate, procedures for reporting coating defects</w:t>
            </w:r>
          </w:p>
          <w:p w:rsidR="00000000" w:rsidRPr="00E12ABD" w:rsidP="00E12ABD">
            <w:pPr>
              <w:pStyle w:val="ListBullet"/>
            </w:pPr>
            <w:r w:rsidRPr="00E12ABD">
              <w:t>coating thickness and colour to be achieved</w:t>
            </w:r>
          </w:p>
          <w:p w:rsidR="00000000" w:rsidRPr="00E12ABD" w:rsidP="00E12ABD">
            <w:pPr>
              <w:pStyle w:val="ListBullet"/>
            </w:pPr>
            <w:r w:rsidRPr="00E12ABD">
              <w:t>the means of checking coating thickness and colour</w:t>
            </w:r>
          </w:p>
          <w:p w:rsidR="00000000" w:rsidRPr="00E12ABD" w:rsidP="00E12ABD">
            <w:pPr>
              <w:pStyle w:val="ListBullet"/>
            </w:pPr>
            <w:r w:rsidRPr="00E12ABD">
              <w:t>frequency at which checks are undertaken</w:t>
            </w:r>
          </w:p>
          <w:p w:rsidR="00000000" w:rsidRPr="00E12ABD" w:rsidP="00E12ABD">
            <w:pPr>
              <w:pStyle w:val="ListBullet"/>
            </w:pPr>
            <w:r w:rsidRPr="00E12ABD">
              <w:t>hazards and control</w:t>
            </w:r>
            <w:r w:rsidRPr="00E12ABD">
              <w:t xml:space="preserve"> measures associated with finishing work using wet, dry and vapour deposition methods, including housekeeping</w:t>
            </w:r>
          </w:p>
          <w:p w:rsidR="00000000" w:rsidRPr="00E12ABD" w:rsidP="00E12ABD">
            <w:pPr>
              <w:pStyle w:val="ListBullet"/>
            </w:pPr>
            <w:r w:rsidRPr="00E12ABD">
              <w:t>safe work practices and procedures</w:t>
            </w:r>
          </w:p>
          <w:p w:rsidR="00000000" w:rsidRPr="00E12ABD" w:rsidP="00E12ABD">
            <w:pPr>
              <w:pStyle w:val="ListBullet"/>
            </w:pPr>
            <w:r w:rsidRPr="00E12ABD">
              <w:t>use of personal protective equipment</w:t>
            </w:r>
          </w:p>
        </w:tc>
      </w:tr>
    </w:tbl>
    <w:p w:rsidR="006351AF" w:rsidP="00E12ABD">
      <w:pPr>
        <w:pStyle w:val="BodyText"/>
      </w:pPr>
    </w:p>
    <w:p w:rsidR="006351AF" w:rsidP="00E12ABD">
      <w:pPr>
        <w:pStyle w:val="BodyText"/>
      </w:pPr>
    </w:p>
    <w:p w:rsidR="00000000" w:rsidRPr="00E12ABD" w:rsidP="00E12ABD">
      <w:pPr>
        <w:pStyle w:val="AllowPageBreak"/>
      </w:pPr>
    </w:p>
    <w:p w:rsidR="00000000" w:rsidRPr="00E12ABD" w:rsidP="00E12ABD">
      <w:pPr>
        <w:pStyle w:val="Heading1"/>
      </w:pPr>
      <w:bookmarkStart w:id="10" w:name="O_244783"/>
      <w:bookmarkEnd w:id="10"/>
      <w:r w:rsidRPr="00E12ABD">
        <w:t>Evidence Guide</w:t>
      </w:r>
    </w:p>
    <w:tbl>
      <w:tblPr>
        <w:tblW w:w="9570" w:type="dxa"/>
        <w:tblLayout w:type="fixed"/>
        <w:tblCellMar>
          <w:left w:w="62" w:type="dxa"/>
          <w:right w:w="62" w:type="dxa"/>
        </w:tblCellMar>
        <w:tblLook w:val="0000"/>
      </w:tblPr>
      <w:tblGrid>
        <w:gridCol w:w="3908"/>
        <w:gridCol w:w="5662"/>
      </w:tblGrid>
      <w:tr w:rsidTr="006351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EVIDENCE GUIDE</w:t>
            </w:r>
          </w:p>
        </w:tc>
      </w:tr>
      <w:tr w:rsidTr="006351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The evidence guide provides advice on assessment and must be read in conjunction with the performance criteria, required skills and knowledge, range statement and the Assessment Guidelines for the Training Package.</w:t>
            </w:r>
          </w:p>
        </w:tc>
      </w:tr>
      <w:tr w:rsidTr="006351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A person who demonstrates competency in this unit must be able to finish work using wet, dry and vapour deposition methods. Competency in this unit cannot be claimed until all prerequisites have been satisfied.</w:t>
            </w:r>
          </w:p>
        </w:tc>
      </w:tr>
      <w:tr w:rsidTr="006351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Critical aspects for assessment and evidence</w:t>
            </w:r>
            <w:r w:rsidRPr="00E12ABD">
              <w:rPr>
                <w:rStyle w:val="SpecialBold"/>
              </w:rPr>
              <w:t xml:space="preserv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Assessors must be satisfied that the candidate can competently and consistently perform all elements of the unit as specified by the criteria, including required knowledge, and be capable of applying the com</w:t>
            </w:r>
            <w:r w:rsidRPr="00E12ABD">
              <w:t>petency in new and different situations and contexts.</w:t>
            </w:r>
          </w:p>
        </w:tc>
      </w:tr>
      <w:tr w:rsidTr="006351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t>This unit may be assessed on the job, off the job or a combination of both on and off the job. Where assessment occurs off the job, that is the candidat</w:t>
            </w:r>
            <w:r w:rsidRPr="00E12ABD">
              <w:t>e is not in productive work, then an appropriate simulation must be used where the range of conditions reflects realistic workplace situations. The competencies covered by this unit would be demonstrated by an individual working alone or as part of a team.</w:t>
            </w:r>
            <w:r w:rsidRPr="00E12ABD">
              <w:t xml:space="preserve"> The assessment environment should not disadvantage the candidate.</w:t>
            </w:r>
          </w:p>
          <w:p w:rsidR="00000000" w:rsidP="00E12ABD">
            <w:pPr>
              <w:pStyle w:val="BodyText"/>
              <w:rPr>
                <w:lang w:val="en-NZ"/>
              </w:rPr>
            </w:pPr>
            <w:r w:rsidRPr="00E12ABD">
              <w:t>This unit could be assessed in conjunction with any other units addressing the safety, quality, communication, materials handling, recording and reporting associated with finishing work usi</w:t>
            </w:r>
            <w:r w:rsidRPr="00E12ABD">
              <w:t>ng wet, dry and vapour deposition methods or other units requiring the exercise of the skills and knowledge covered by this unit.</w:t>
            </w:r>
          </w:p>
        </w:tc>
      </w:tr>
      <w:tr w:rsidTr="006351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Assessors should gather a range of evidence that is valid, sufficient, current and authentic. Evidence c</w:t>
            </w:r>
            <w:r w:rsidRPr="00E12ABD">
              <w:t>an be gathered through a variety of ways including direct observation, supervisor's reports, project work, samples and questioning. Questioning techniques should not require language, literacy and numeracy skills beyond those required in this unit of compe</w:t>
            </w:r>
            <w:r w:rsidRPr="00E12ABD">
              <w:t>tency. The candidate must have access to all tools, equipment, materials and documentation required. The candidate must be permitted to refer to any relevant workplace procedures, product and manufacturing specifications, codes, standards, manuals and refe</w:t>
            </w:r>
            <w:r w:rsidRPr="00E12ABD">
              <w:t>rence materials.</w:t>
            </w:r>
          </w:p>
        </w:tc>
      </w:tr>
      <w:tr w:rsidTr="006351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p>
        </w:tc>
      </w:tr>
    </w:tbl>
    <w:p w:rsidR="006351AF" w:rsidP="00E12ABD">
      <w:pPr>
        <w:pStyle w:val="BodyText"/>
      </w:pPr>
    </w:p>
    <w:p w:rsidR="006351AF" w:rsidP="00E12ABD">
      <w:pPr>
        <w:pStyle w:val="BodyText"/>
      </w:pPr>
    </w:p>
    <w:p w:rsidR="00000000" w:rsidRPr="00E12ABD" w:rsidP="00E12ABD">
      <w:pPr>
        <w:pStyle w:val="Heading1"/>
      </w:pPr>
      <w:bookmarkStart w:id="11" w:name="O_252766"/>
      <w:bookmarkEnd w:id="11"/>
      <w:r w:rsidRPr="00E12ABD">
        <w:t>Range Statement</w:t>
      </w:r>
    </w:p>
    <w:tbl>
      <w:tblPr>
        <w:tblW w:w="0" w:type="auto"/>
        <w:tblLayout w:type="fixed"/>
        <w:tblCellMar>
          <w:left w:w="62" w:type="dxa"/>
          <w:right w:w="62" w:type="dxa"/>
        </w:tblCellMar>
        <w:tblLook w:val="0000"/>
      </w:tblPr>
      <w:tblGrid>
        <w:gridCol w:w="3485"/>
        <w:gridCol w:w="5037"/>
      </w:tblGrid>
      <w:tr w:rsidTr="006351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RANGE STATEMENT</w:t>
            </w:r>
          </w:p>
        </w:tc>
      </w:tr>
      <w:tr w:rsidTr="006351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 xml:space="preserve">The range statement relates to the unit of competency as a whole. It allows for different work environments and situations that may affect </w:t>
            </w:r>
            <w:r w:rsidRPr="00E12ABD">
              <w:t>performance. Bold italicised wording, if used in the performance criteria, is detailed below. Essential operating conditions that may be present with training and assessment (depending on the work situation, needs of the candidate, accessibility of the ite</w:t>
            </w:r>
            <w:r w:rsidRPr="00E12ABD">
              <w:t>m, and local industry and regional contexts) may also be included.</w:t>
            </w:r>
          </w:p>
        </w:tc>
      </w:tr>
      <w:tr w:rsidTr="006351A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Coating</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Electrostatic powder coating, electrophoretic coating, industrial spray coating and lacquering, electroless (auto catalytic) nickel or copper plating, phosphating, chromating, gal</w:t>
            </w:r>
            <w:r w:rsidRPr="00E12ABD">
              <w:t>vanising, hot tinning, sputter deposition, vacuum evaporation, ion plating, paints, stains and other liquid finishes</w:t>
            </w:r>
          </w:p>
        </w:tc>
      </w:tr>
      <w:tr w:rsidTr="006351A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Prepared</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t xml:space="preserve">Visual inspection for contamination, masking out, racking, identification of correct materials to be used, ensuring cleanliness of work area and equipment, operational testing of equipment </w:t>
            </w:r>
          </w:p>
        </w:tc>
      </w:tr>
      <w:tr w:rsidTr="006351A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Coating operation</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t xml:space="preserve">Spray application, dip coating </w:t>
            </w:r>
          </w:p>
        </w:tc>
      </w:tr>
    </w:tbl>
    <w:p w:rsidR="006351AF" w:rsidP="00E12ABD">
      <w:pPr>
        <w:pStyle w:val="BodyText"/>
      </w:pPr>
    </w:p>
    <w:p w:rsidR="006351AF" w:rsidP="00E12ABD">
      <w:pPr>
        <w:pStyle w:val="BodyText"/>
      </w:pPr>
    </w:p>
    <w:p w:rsidR="00000000" w:rsidRPr="00E12ABD" w:rsidP="00E12ABD">
      <w:pPr>
        <w:pStyle w:val="Heading1"/>
      </w:pPr>
      <w:bookmarkStart w:id="12" w:name="O_211046"/>
      <w:bookmarkEnd w:id="12"/>
      <w:r w:rsidRPr="00E12ABD">
        <w:t>Unit Sector(s)</w:t>
      </w:r>
    </w:p>
    <w:tbl>
      <w:tblPr>
        <w:tblW w:w="0" w:type="auto"/>
        <w:tblLayout w:type="fixed"/>
        <w:tblCellMar>
          <w:left w:w="62" w:type="dxa"/>
          <w:right w:w="62" w:type="dxa"/>
        </w:tblCellMar>
        <w:tblLook w:val="0000"/>
      </w:tblPr>
      <w:tblGrid>
        <w:gridCol w:w="2654"/>
        <w:gridCol w:w="5868"/>
      </w:tblGrid>
      <w:tr w:rsidTr="006351A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p>
        </w:tc>
      </w:tr>
    </w:tbl>
    <w:p w:rsidR="006351AF" w:rsidP="00E12ABD">
      <w:pPr>
        <w:pStyle w:val="BodyText"/>
      </w:pPr>
    </w:p>
    <w:p w:rsidR="006351AF" w:rsidP="00E12ABD">
      <w:pPr>
        <w:pStyle w:val="BodyText"/>
      </w:pPr>
    </w:p>
    <w:p w:rsidR="00000000" w:rsidRPr="00E12ABD" w:rsidP="00E12ABD">
      <w:pPr>
        <w:pStyle w:val="Heading1"/>
      </w:pPr>
      <w:bookmarkStart w:id="13" w:name="O_211043"/>
      <w:bookmarkEnd w:id="13"/>
      <w:r w:rsidRPr="00E12ABD">
        <w:t>Co-requisite units</w:t>
      </w:r>
    </w:p>
    <w:tbl>
      <w:tblPr>
        <w:tblW w:w="0" w:type="auto"/>
        <w:tblLayout w:type="fixed"/>
        <w:tblCellMar>
          <w:left w:w="62" w:type="dxa"/>
          <w:right w:w="62" w:type="dxa"/>
        </w:tblCellMar>
        <w:tblLook w:val="0000"/>
      </w:tblPr>
      <w:tblGrid>
        <w:gridCol w:w="2641"/>
        <w:gridCol w:w="1322"/>
        <w:gridCol w:w="4559"/>
      </w:tblGrid>
      <w:tr w:rsidTr="006351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p>
        </w:tc>
      </w:tr>
      <w:tr w:rsidTr="006351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p>
        </w:tc>
      </w:tr>
      <w:tr w:rsidTr="006351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p>
        </w:tc>
      </w:tr>
    </w:tbl>
    <w:p w:rsidR="006351AF" w:rsidP="00E12ABD">
      <w:pPr>
        <w:pStyle w:val="BodyText"/>
      </w:pPr>
    </w:p>
    <w:p w:rsidR="006351AF" w:rsidP="00E12ABD">
      <w:pPr>
        <w:pStyle w:val="BodyText"/>
      </w:pPr>
    </w:p>
    <w:p w:rsidR="00000000" w:rsidRPr="00E12ABD" w:rsidP="00E12ABD">
      <w:pPr>
        <w:pStyle w:val="Heading1"/>
      </w:pPr>
      <w:bookmarkStart w:id="14" w:name="O_211045"/>
      <w:bookmarkEnd w:id="14"/>
      <w:r w:rsidRPr="00E12ABD">
        <w:t>Competency field</w:t>
      </w:r>
    </w:p>
    <w:tbl>
      <w:tblPr>
        <w:tblW w:w="0" w:type="auto"/>
        <w:tblLayout w:type="fixed"/>
        <w:tblCellMar>
          <w:left w:w="62" w:type="dxa"/>
          <w:right w:w="62" w:type="dxa"/>
        </w:tblCellMar>
        <w:tblLook w:val="0000"/>
      </w:tblPr>
      <w:tblGrid>
        <w:gridCol w:w="2778"/>
        <w:gridCol w:w="5744"/>
      </w:tblGrid>
      <w:tr w:rsidTr="006351A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BD">
            <w:pPr>
              <w:pStyle w:val="BodyText"/>
              <w:rPr>
                <w:lang w:val="en-NZ"/>
              </w:rPr>
            </w:pPr>
            <w:r w:rsidRPr="00E12AB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BD" w:rsidP="00E12ABD">
            <w:pPr>
              <w:pStyle w:val="BodyText"/>
            </w:pPr>
            <w:r w:rsidRPr="00E12ABD">
              <w:t>Surface finishing</w:t>
            </w:r>
          </w:p>
        </w:tc>
      </w:tr>
    </w:tbl>
    <w:p w:rsidR="006351AF" w:rsidP="00E12ABD">
      <w:pPr>
        <w:pStyle w:val="BodyText"/>
      </w:pPr>
    </w:p>
    <w:p w:rsidR="006351AF" w:rsidP="00E12ABD">
      <w:pPr>
        <w:pStyle w:val="BodyText"/>
      </w:pPr>
    </w:p>
    <w:p w:rsidR="00000000" w:rsidRPr="00E12ABD" w:rsidP="00E12ABD"/>
    <w:sectPr w:rsidSect="00E12A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1AF" w:rsidP="006351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AF" w:rsidP="00E12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51AF" w:rsidP="00E12A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51AF" w:rsidP="00E12A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1AF" w:rsidP="006351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AF" w:rsidP="00E12ABD">
    <w:pPr>
      <w:pStyle w:val="Header"/>
      <w:framePr w:wrap="around"/>
    </w:pPr>
    <w:r>
      <w:fldChar w:fldCharType="begin"/>
    </w:r>
    <w:r>
      <w:instrText xml:space="preserve"> TITLE   \* MERGEFORMAT </w:instrText>
    </w:r>
    <w:r>
      <w:fldChar w:fldCharType="separate"/>
    </w:r>
    <w:r>
      <w:t>MEM08004B Finish work using wet, dry and vapour deposition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51AF" w:rsidP="00E12A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D28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C43D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A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ABD"/>
    <w:pPr>
      <w:spacing w:before="360" w:after="60"/>
      <w:outlineLvl w:val="0"/>
    </w:pPr>
    <w:rPr>
      <w:sz w:val="32"/>
    </w:rPr>
  </w:style>
  <w:style w:type="paragraph" w:styleId="Heading2">
    <w:name w:val="heading 2"/>
    <w:basedOn w:val="HeadingBase"/>
    <w:next w:val="BodyText"/>
    <w:link w:val="Heading2Char"/>
    <w:qFormat/>
    <w:rsid w:val="00E12ABD"/>
    <w:pPr>
      <w:keepLines/>
      <w:spacing w:before="240" w:after="120"/>
      <w:outlineLvl w:val="1"/>
    </w:pPr>
    <w:rPr>
      <w:sz w:val="28"/>
      <w:szCs w:val="40"/>
    </w:rPr>
  </w:style>
  <w:style w:type="paragraph" w:styleId="Heading3">
    <w:name w:val="heading 3"/>
    <w:basedOn w:val="HeadingBase"/>
    <w:next w:val="BodyText"/>
    <w:link w:val="Heading3Char"/>
    <w:qFormat/>
    <w:rsid w:val="00E12ABD"/>
    <w:pPr>
      <w:spacing w:before="180" w:after="120"/>
      <w:outlineLvl w:val="2"/>
    </w:pPr>
    <w:rPr>
      <w:spacing w:val="-10"/>
      <w:kern w:val="32"/>
    </w:rPr>
  </w:style>
  <w:style w:type="paragraph" w:styleId="Heading4">
    <w:name w:val="heading 4"/>
    <w:basedOn w:val="HeadingBase"/>
    <w:next w:val="BodyText"/>
    <w:link w:val="Heading4Char"/>
    <w:qFormat/>
    <w:rsid w:val="00E12ABD"/>
    <w:pPr>
      <w:spacing w:before="160" w:after="120"/>
      <w:outlineLvl w:val="3"/>
    </w:pPr>
    <w:rPr>
      <w:sz w:val="22"/>
    </w:rPr>
  </w:style>
  <w:style w:type="paragraph" w:styleId="Heading5">
    <w:name w:val="heading 5"/>
    <w:basedOn w:val="HeadingBase"/>
    <w:next w:val="Normal"/>
    <w:link w:val="Heading5Char"/>
    <w:qFormat/>
    <w:rsid w:val="00E12ABD"/>
    <w:pPr>
      <w:spacing w:before="80"/>
      <w:outlineLvl w:val="4"/>
    </w:pPr>
    <w:rPr>
      <w:color w:val="918585"/>
      <w:sz w:val="20"/>
    </w:rPr>
  </w:style>
  <w:style w:type="paragraph" w:styleId="Heading6">
    <w:name w:val="heading 6"/>
    <w:basedOn w:val="HeadingBase"/>
    <w:next w:val="Normal"/>
    <w:link w:val="Heading6Char"/>
    <w:qFormat/>
    <w:rsid w:val="00E12ABD"/>
    <w:pPr>
      <w:spacing w:before="60"/>
      <w:outlineLvl w:val="5"/>
    </w:pPr>
    <w:rPr>
      <w:color w:val="918585"/>
      <w:sz w:val="20"/>
    </w:rPr>
  </w:style>
  <w:style w:type="paragraph" w:styleId="Heading7">
    <w:name w:val="heading 7"/>
    <w:basedOn w:val="Normal"/>
    <w:next w:val="Normal"/>
    <w:link w:val="Heading7Char"/>
    <w:qFormat/>
    <w:rsid w:val="00E12ABD"/>
    <w:pPr>
      <w:ind w:left="720"/>
      <w:outlineLvl w:val="6"/>
    </w:pPr>
    <w:rPr>
      <w:i/>
    </w:rPr>
  </w:style>
  <w:style w:type="paragraph" w:styleId="Heading8">
    <w:name w:val="heading 8"/>
    <w:basedOn w:val="Normal"/>
    <w:next w:val="Normal"/>
    <w:link w:val="Heading8Char"/>
    <w:qFormat/>
    <w:rsid w:val="00E12ABD"/>
    <w:pPr>
      <w:ind w:left="720"/>
      <w:outlineLvl w:val="7"/>
    </w:pPr>
    <w:rPr>
      <w:i/>
    </w:rPr>
  </w:style>
  <w:style w:type="paragraph" w:styleId="Heading9">
    <w:name w:val="heading 9"/>
    <w:basedOn w:val="Normal"/>
    <w:next w:val="Normal"/>
    <w:link w:val="Heading9Char"/>
    <w:qFormat/>
    <w:rsid w:val="00E12ABD"/>
    <w:pPr>
      <w:ind w:left="720"/>
      <w:outlineLvl w:val="8"/>
    </w:pPr>
    <w:rPr>
      <w:i/>
    </w:rPr>
  </w:style>
  <w:style w:type="character" w:default="1" w:styleId="DefaultParagraphFont">
    <w:name w:val="Default Paragraph Font"/>
    <w:uiPriority w:val="1"/>
    <w:unhideWhenUsed/>
    <w:rsid w:val="00E12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ABD"/>
  </w:style>
  <w:style w:type="character" w:customStyle="1" w:styleId="Heading1Char">
    <w:name w:val="Heading 1 Char"/>
    <w:link w:val="Heading1"/>
    <w:rsid w:val="00E12ABD"/>
    <w:rPr>
      <w:rFonts w:ascii="Times New Roman" w:eastAsia="Times New Roman" w:hAnsi="Times New Roman" w:cs="Times New Roman"/>
      <w:b/>
      <w:sz w:val="32"/>
      <w:szCs w:val="20"/>
      <w:lang w:eastAsia="en-US"/>
    </w:rPr>
  </w:style>
  <w:style w:type="paragraph" w:styleId="BodyText">
    <w:name w:val="Body Text"/>
    <w:basedOn w:val="Normal"/>
    <w:link w:val="BodyTextChar"/>
    <w:rsid w:val="00E12ABD"/>
    <w:pPr>
      <w:spacing w:before="120" w:after="120"/>
      <w:contextualSpacing/>
    </w:pPr>
    <w:rPr>
      <w:rFonts w:ascii="Times New Roman" w:hAnsi="Times New Roman"/>
      <w:sz w:val="24"/>
      <w:szCs w:val="22"/>
    </w:rPr>
  </w:style>
  <w:style w:type="character" w:customStyle="1" w:styleId="BodyTextChar">
    <w:name w:val="Body Text Char"/>
    <w:link w:val="BodyText"/>
    <w:rsid w:val="00E12ABD"/>
    <w:rPr>
      <w:rFonts w:ascii="Times New Roman" w:eastAsia="Times New Roman" w:hAnsi="Times New Roman" w:cs="Times New Roman"/>
      <w:sz w:val="24"/>
      <w:lang w:val="en-US" w:eastAsia="en-US"/>
    </w:rPr>
  </w:style>
  <w:style w:type="paragraph" w:styleId="Footer">
    <w:name w:val="footer"/>
    <w:basedOn w:val="Normal"/>
    <w:link w:val="FooterChar"/>
    <w:rsid w:val="00E12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2ABD"/>
    <w:rPr>
      <w:rFonts w:ascii="Times New Roman" w:eastAsia="Times New Roman" w:hAnsi="Times New Roman" w:cs="Times New Roman"/>
      <w:sz w:val="16"/>
      <w:lang w:val="en-US" w:eastAsia="en-US"/>
    </w:rPr>
  </w:style>
  <w:style w:type="paragraph" w:styleId="List">
    <w:name w:val="List"/>
    <w:basedOn w:val="BodyText"/>
    <w:next w:val="BodyText"/>
    <w:rsid w:val="00E12ABD"/>
    <w:pPr>
      <w:tabs>
        <w:tab w:val="left" w:pos="340"/>
      </w:tabs>
      <w:spacing w:before="60" w:after="60"/>
      <w:ind w:left="340" w:hanging="340"/>
    </w:pPr>
  </w:style>
  <w:style w:type="paragraph" w:styleId="ListBullet">
    <w:name w:val="List Bullet"/>
    <w:basedOn w:val="List"/>
    <w:rsid w:val="00E12ABD"/>
    <w:pPr>
      <w:numPr>
        <w:numId w:val="12"/>
      </w:numPr>
      <w:tabs>
        <w:tab w:val="clear" w:pos="340"/>
      </w:tabs>
      <w:spacing w:before="40" w:after="40"/>
    </w:pPr>
  </w:style>
  <w:style w:type="character" w:customStyle="1" w:styleId="SpecialBold">
    <w:name w:val="Special Bold"/>
    <w:rsid w:val="00E12ABD"/>
    <w:rPr>
      <w:b/>
      <w:spacing w:val="0"/>
    </w:rPr>
  </w:style>
  <w:style w:type="paragraph" w:styleId="Header">
    <w:name w:val="header"/>
    <w:basedOn w:val="Normal"/>
    <w:link w:val="HeaderChar"/>
    <w:rsid w:val="00E12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2A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2ABD"/>
    <w:pPr>
      <w:spacing w:before="240" w:after="120"/>
      <w:outlineLvl w:val="0"/>
    </w:pPr>
    <w:rPr>
      <w:rFonts w:ascii="Times New Roman" w:hAnsi="Times New Roman"/>
      <w:b/>
      <w:sz w:val="28"/>
    </w:rPr>
  </w:style>
  <w:style w:type="paragraph" w:customStyle="1" w:styleId="AllowPageBreak">
    <w:name w:val="AllowPageBreak"/>
    <w:rsid w:val="00E12A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2ABD"/>
    <w:pPr>
      <w:tabs>
        <w:tab w:val="left" w:pos="680"/>
      </w:tabs>
      <w:spacing w:before="60" w:after="60"/>
      <w:ind w:left="680" w:hanging="340"/>
    </w:pPr>
  </w:style>
  <w:style w:type="character" w:customStyle="1" w:styleId="Heading2Char">
    <w:name w:val="Heading 2 Char"/>
    <w:link w:val="Heading2"/>
    <w:rsid w:val="00E12ABD"/>
    <w:rPr>
      <w:rFonts w:ascii="Times New Roman" w:eastAsia="Times New Roman" w:hAnsi="Times New Roman" w:cs="Times New Roman"/>
      <w:b/>
      <w:sz w:val="28"/>
      <w:szCs w:val="40"/>
      <w:lang w:eastAsia="en-US"/>
    </w:rPr>
  </w:style>
  <w:style w:type="character" w:customStyle="1" w:styleId="Heading3Char">
    <w:name w:val="Heading 3 Char"/>
    <w:link w:val="Heading3"/>
    <w:rsid w:val="00E12A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2ABD"/>
    <w:rPr>
      <w:rFonts w:ascii="Times New Roman" w:eastAsia="Times New Roman" w:hAnsi="Times New Roman" w:cs="Times New Roman"/>
      <w:b/>
      <w:szCs w:val="20"/>
      <w:lang w:eastAsia="en-US"/>
    </w:rPr>
  </w:style>
  <w:style w:type="character" w:customStyle="1" w:styleId="Heading5Char">
    <w:name w:val="Heading 5 Char"/>
    <w:link w:val="Heading5"/>
    <w:rsid w:val="00E12A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2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A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A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ABD"/>
    <w:rPr>
      <w:rFonts w:ascii="Courier New" w:eastAsia="Times New Roman" w:hAnsi="Courier New" w:cs="Times New Roman"/>
      <w:i/>
      <w:szCs w:val="20"/>
      <w:lang w:val="en-US" w:eastAsia="en-US"/>
    </w:rPr>
  </w:style>
  <w:style w:type="paragraph" w:customStyle="1" w:styleId="HeadingBase">
    <w:name w:val="Heading Base"/>
    <w:rsid w:val="00E12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ABD"/>
    <w:pPr>
      <w:tabs>
        <w:tab w:val="right" w:leader="dot" w:pos="9072"/>
      </w:tabs>
      <w:ind w:left="567"/>
    </w:pPr>
    <w:rPr>
      <w:szCs w:val="22"/>
    </w:rPr>
  </w:style>
  <w:style w:type="paragraph" w:customStyle="1" w:styleId="TOCBase">
    <w:name w:val="TOC Base"/>
    <w:rsid w:val="00E12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ABD"/>
    <w:pPr>
      <w:tabs>
        <w:tab w:val="right" w:leader="dot" w:pos="9072"/>
      </w:tabs>
      <w:spacing w:before="40" w:after="40"/>
      <w:ind w:left="284"/>
    </w:pPr>
    <w:rPr>
      <w:rFonts w:ascii="Times New Roman" w:hAnsi="Times New Roman"/>
    </w:rPr>
  </w:style>
  <w:style w:type="paragraph" w:styleId="TOC1">
    <w:name w:val="toc 1"/>
    <w:basedOn w:val="TOCBase"/>
    <w:next w:val="Normal"/>
    <w:rsid w:val="00E12A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ABD"/>
    <w:pPr>
      <w:spacing w:before="5040"/>
      <w:jc w:val="center"/>
    </w:pPr>
    <w:rPr>
      <w:sz w:val="48"/>
      <w:szCs w:val="72"/>
      <w:lang w:val="en-US"/>
    </w:rPr>
  </w:style>
  <w:style w:type="character" w:customStyle="1" w:styleId="TitleChar">
    <w:name w:val="Title Char"/>
    <w:link w:val="Title"/>
    <w:rsid w:val="00E12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ABD"/>
    <w:pPr>
      <w:tabs>
        <w:tab w:val="left" w:pos="3600"/>
        <w:tab w:val="left" w:pos="3958"/>
      </w:tabs>
    </w:pPr>
  </w:style>
  <w:style w:type="paragraph" w:customStyle="1" w:styleId="Note">
    <w:name w:val="Note"/>
    <w:basedOn w:val="BodyText"/>
    <w:rsid w:val="00E12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ABD"/>
    <w:pPr>
      <w:framePr w:wrap="auto" w:hAnchor="text" w:y="6049"/>
    </w:pPr>
    <w:rPr>
      <w:color w:val="000000"/>
      <w:sz w:val="40"/>
    </w:rPr>
  </w:style>
  <w:style w:type="paragraph" w:customStyle="1" w:styleId="TOCTitle">
    <w:name w:val="TOCTitle"/>
    <w:basedOn w:val="Heading1"/>
    <w:rsid w:val="00E12ABD"/>
    <w:pPr>
      <w:spacing w:after="240"/>
      <w:jc w:val="center"/>
      <w:outlineLvl w:val="9"/>
    </w:pPr>
    <w:rPr>
      <w:caps/>
    </w:rPr>
  </w:style>
  <w:style w:type="paragraph" w:customStyle="1" w:styleId="Version">
    <w:name w:val="Version"/>
    <w:rsid w:val="00E12A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2ABD"/>
    <w:pPr>
      <w:numPr>
        <w:numId w:val="13"/>
      </w:numPr>
      <w:tabs>
        <w:tab w:val="clear" w:pos="680"/>
      </w:tabs>
    </w:pPr>
  </w:style>
  <w:style w:type="paragraph" w:styleId="Index1">
    <w:name w:val="index 1"/>
    <w:basedOn w:val="Normal"/>
    <w:next w:val="Normal"/>
    <w:semiHidden/>
    <w:rsid w:val="00E12ABD"/>
    <w:pPr>
      <w:keepNext w:val="0"/>
      <w:tabs>
        <w:tab w:val="right" w:pos="4176"/>
      </w:tabs>
      <w:ind w:left="198" w:hanging="198"/>
    </w:pPr>
    <w:rPr>
      <w:rFonts w:ascii="Garamond" w:hAnsi="Garamond"/>
    </w:rPr>
  </w:style>
  <w:style w:type="paragraph" w:styleId="IndexHeading">
    <w:name w:val="index heading"/>
    <w:basedOn w:val="Normal"/>
    <w:next w:val="Index1"/>
    <w:semiHidden/>
    <w:rsid w:val="00E12ABD"/>
    <w:pPr>
      <w:spacing w:before="120" w:after="120"/>
    </w:pPr>
    <w:rPr>
      <w:rFonts w:ascii="Arial" w:hAnsi="Arial"/>
      <w:b/>
      <w:color w:val="918585"/>
      <w:sz w:val="24"/>
    </w:rPr>
  </w:style>
  <w:style w:type="paragraph" w:customStyle="1" w:styleId="Chapter">
    <w:name w:val="Chapter"/>
    <w:basedOn w:val="Normal"/>
    <w:rsid w:val="00E12ABD"/>
    <w:pPr>
      <w:spacing w:before="240"/>
    </w:pPr>
    <w:rPr>
      <w:rFonts w:ascii="Times New Roman" w:hAnsi="Times New Roman"/>
      <w:smallCaps/>
      <w:spacing w:val="80"/>
      <w:sz w:val="28"/>
    </w:rPr>
  </w:style>
  <w:style w:type="paragraph" w:customStyle="1" w:styleId="InChapter">
    <w:name w:val="InChapter"/>
    <w:basedOn w:val="Heading3"/>
    <w:rsid w:val="00E12ABD"/>
    <w:pPr>
      <w:spacing w:after="240"/>
      <w:outlineLvl w:val="9"/>
    </w:pPr>
    <w:rPr>
      <w:noProof/>
    </w:rPr>
  </w:style>
  <w:style w:type="paragraph" w:styleId="Index2">
    <w:name w:val="index 2"/>
    <w:basedOn w:val="Normal"/>
    <w:next w:val="Normal"/>
    <w:semiHidden/>
    <w:rsid w:val="00E12ABD"/>
    <w:pPr>
      <w:tabs>
        <w:tab w:val="right" w:pos="4176"/>
      </w:tabs>
      <w:ind w:left="568" w:hanging="284"/>
    </w:pPr>
    <w:rPr>
      <w:rFonts w:ascii="Garamond" w:hAnsi="Garamond"/>
    </w:rPr>
  </w:style>
  <w:style w:type="paragraph" w:customStyle="1" w:styleId="Byline">
    <w:name w:val="Byline"/>
    <w:rsid w:val="00E12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ABD"/>
    <w:pPr>
      <w:tabs>
        <w:tab w:val="clear" w:pos="3600"/>
        <w:tab w:val="clear" w:pos="3958"/>
      </w:tabs>
      <w:jc w:val="right"/>
    </w:pPr>
  </w:style>
  <w:style w:type="character" w:styleId="Emphasis">
    <w:name w:val="Emphasis"/>
    <w:qFormat/>
    <w:rsid w:val="00E12ABD"/>
    <w:rPr>
      <w:i/>
    </w:rPr>
  </w:style>
  <w:style w:type="paragraph" w:styleId="Caption">
    <w:name w:val="caption"/>
    <w:basedOn w:val="BodyText"/>
    <w:next w:val="Normal"/>
    <w:qFormat/>
    <w:rsid w:val="00E12ABD"/>
    <w:pPr>
      <w:framePr w:w="2268" w:hSpace="181" w:vSpace="181" w:wrap="around" w:vAnchor="text" w:hAnchor="page" w:x="1135" w:y="285" w:anchorLock="1"/>
    </w:pPr>
    <w:rPr>
      <w:i/>
    </w:rPr>
  </w:style>
  <w:style w:type="paragraph" w:customStyle="1" w:styleId="MiniTOCTitle">
    <w:name w:val="MiniTOCTitle"/>
    <w:basedOn w:val="Heading4"/>
    <w:rsid w:val="00E12ABD"/>
    <w:pPr>
      <w:spacing w:before="240"/>
      <w:outlineLvl w:val="9"/>
    </w:pPr>
    <w:rPr>
      <w:noProof/>
      <w:sz w:val="24"/>
    </w:rPr>
  </w:style>
  <w:style w:type="paragraph" w:customStyle="1" w:styleId="MiniTOCItem">
    <w:name w:val="MiniTOCItem"/>
    <w:basedOn w:val="ListBullet"/>
    <w:rsid w:val="00E12ABD"/>
    <w:pPr>
      <w:numPr>
        <w:numId w:val="0"/>
      </w:numPr>
      <w:tabs>
        <w:tab w:val="right" w:leader="dot" w:pos="6521"/>
      </w:tabs>
      <w:spacing w:before="0" w:after="0"/>
    </w:pPr>
  </w:style>
  <w:style w:type="paragraph" w:customStyle="1" w:styleId="TOFTitle">
    <w:name w:val="TOFTitle"/>
    <w:basedOn w:val="TOCTitle"/>
    <w:rsid w:val="00E12ABD"/>
  </w:style>
  <w:style w:type="paragraph" w:styleId="TableofFigures">
    <w:name w:val="table of figures"/>
    <w:basedOn w:val="Normal"/>
    <w:next w:val="Normal"/>
    <w:semiHidden/>
    <w:rsid w:val="00E12ABD"/>
    <w:pPr>
      <w:tabs>
        <w:tab w:val="right" w:leader="dot" w:pos="9072"/>
      </w:tabs>
      <w:ind w:left="970" w:hanging="403"/>
    </w:pPr>
    <w:rPr>
      <w:rFonts w:ascii="Times New Roman" w:hAnsi="Times New Roman"/>
      <w:b/>
    </w:rPr>
  </w:style>
  <w:style w:type="paragraph" w:styleId="ListNumber">
    <w:name w:val="List Number"/>
    <w:basedOn w:val="List"/>
    <w:rsid w:val="00E12ABD"/>
    <w:pPr>
      <w:numPr>
        <w:numId w:val="10"/>
      </w:numPr>
    </w:pPr>
  </w:style>
  <w:style w:type="character" w:customStyle="1" w:styleId="WingdingSymbols">
    <w:name w:val="Wingding Symbols"/>
    <w:rsid w:val="00E12ABD"/>
    <w:rPr>
      <w:rFonts w:ascii="Wingdings" w:hAnsi="Wingdings"/>
    </w:rPr>
  </w:style>
  <w:style w:type="paragraph" w:customStyle="1" w:styleId="TableHeading">
    <w:name w:val="Table Heading"/>
    <w:basedOn w:val="HeadingBase"/>
    <w:rsid w:val="00E12ABD"/>
    <w:pPr>
      <w:keepLines/>
      <w:pBdr>
        <w:bottom w:val="single" w:sz="6" w:space="1" w:color="918585"/>
      </w:pBdr>
      <w:spacing w:before="240"/>
    </w:pPr>
  </w:style>
  <w:style w:type="character" w:customStyle="1" w:styleId="HotSpot">
    <w:name w:val="HotSpot"/>
    <w:rsid w:val="00E12ABD"/>
    <w:rPr>
      <w:color w:val="0033CC"/>
      <w:u w:val="none"/>
    </w:rPr>
  </w:style>
  <w:style w:type="paragraph" w:customStyle="1" w:styleId="BodyTextRight">
    <w:name w:val="Body Text Right"/>
    <w:basedOn w:val="BodyText"/>
    <w:rsid w:val="00E12ABD"/>
    <w:pPr>
      <w:spacing w:before="0" w:after="0"/>
      <w:jc w:val="right"/>
    </w:pPr>
  </w:style>
  <w:style w:type="paragraph" w:styleId="Index3">
    <w:name w:val="index 3"/>
    <w:basedOn w:val="ListNumber2"/>
    <w:next w:val="Normal"/>
    <w:semiHidden/>
    <w:rsid w:val="00E12ABD"/>
    <w:pPr>
      <w:numPr>
        <w:numId w:val="0"/>
      </w:numPr>
      <w:tabs>
        <w:tab w:val="right" w:leader="dot" w:pos="4176"/>
      </w:tabs>
    </w:pPr>
  </w:style>
  <w:style w:type="paragraph" w:styleId="ListNumber2">
    <w:name w:val="List Number 2"/>
    <w:basedOn w:val="List2"/>
    <w:rsid w:val="00E12ABD"/>
    <w:pPr>
      <w:numPr>
        <w:numId w:val="9"/>
      </w:numPr>
      <w:tabs>
        <w:tab w:val="clear" w:pos="1060"/>
      </w:tabs>
    </w:pPr>
  </w:style>
  <w:style w:type="paragraph" w:customStyle="1" w:styleId="MarginNote">
    <w:name w:val="Margin Note"/>
    <w:basedOn w:val="BodyText"/>
    <w:rsid w:val="00E12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2A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ABD"/>
    <w:rPr>
      <w:sz w:val="32"/>
    </w:rPr>
  </w:style>
  <w:style w:type="paragraph" w:customStyle="1" w:styleId="HeadingProcedure">
    <w:name w:val="Heading Procedure"/>
    <w:basedOn w:val="HeadingBase"/>
    <w:next w:val="Normal"/>
    <w:rsid w:val="00E12ABD"/>
    <w:pPr>
      <w:tabs>
        <w:tab w:val="left" w:pos="0"/>
      </w:tabs>
      <w:spacing w:before="120" w:after="60"/>
    </w:pPr>
    <w:rPr>
      <w:i/>
      <w:color w:val="918585"/>
      <w:sz w:val="22"/>
    </w:rPr>
  </w:style>
  <w:style w:type="paragraph" w:customStyle="1" w:styleId="TableBodyText">
    <w:name w:val="Table Body Text"/>
    <w:basedOn w:val="BodyText"/>
    <w:rsid w:val="00E12ABD"/>
    <w:pPr>
      <w:spacing w:before="60" w:after="60"/>
    </w:pPr>
  </w:style>
  <w:style w:type="paragraph" w:styleId="ListContinue">
    <w:name w:val="List Continue"/>
    <w:basedOn w:val="List"/>
    <w:rsid w:val="00E12ABD"/>
    <w:pPr>
      <w:ind w:firstLine="0"/>
    </w:pPr>
  </w:style>
  <w:style w:type="paragraph" w:customStyle="1" w:styleId="ListNote">
    <w:name w:val="List Note"/>
    <w:basedOn w:val="List"/>
    <w:rsid w:val="00E12ABD"/>
    <w:pPr>
      <w:pBdr>
        <w:top w:val="single" w:sz="6" w:space="2" w:color="918585"/>
        <w:bottom w:val="single" w:sz="6" w:space="2" w:color="918585"/>
      </w:pBdr>
      <w:tabs>
        <w:tab w:val="left" w:pos="1021"/>
      </w:tabs>
      <w:ind w:firstLine="0"/>
    </w:pPr>
  </w:style>
  <w:style w:type="paragraph" w:customStyle="1" w:styleId="Warning">
    <w:name w:val="Warning"/>
    <w:basedOn w:val="BodyText"/>
    <w:rsid w:val="00E12ABD"/>
    <w:pPr>
      <w:shd w:val="clear" w:color="auto" w:fill="D9D9D9"/>
      <w:tabs>
        <w:tab w:val="left" w:pos="992"/>
      </w:tabs>
      <w:ind w:left="119" w:right="119"/>
    </w:pPr>
    <w:rPr>
      <w:sz w:val="20"/>
    </w:rPr>
  </w:style>
  <w:style w:type="paragraph" w:customStyle="1" w:styleId="MarginIcons">
    <w:name w:val="Margin Icons"/>
    <w:basedOn w:val="BodyText"/>
    <w:rsid w:val="00E12A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2ABD"/>
    <w:rPr>
      <w:rFonts w:ascii="Courier New" w:hAnsi="Courier New"/>
    </w:rPr>
  </w:style>
  <w:style w:type="paragraph" w:customStyle="1" w:styleId="NoteBullet">
    <w:name w:val="Note Bullet"/>
    <w:basedOn w:val="Note"/>
    <w:rsid w:val="00E12ABD"/>
    <w:pPr>
      <w:tabs>
        <w:tab w:val="clear" w:pos="680"/>
      </w:tabs>
      <w:spacing w:before="60" w:after="60"/>
    </w:pPr>
  </w:style>
  <w:style w:type="paragraph" w:customStyle="1" w:styleId="SubHeading2">
    <w:name w:val="SubHeading2"/>
    <w:basedOn w:val="HeadingBase"/>
    <w:rsid w:val="00E12ABD"/>
    <w:pPr>
      <w:spacing w:before="240" w:after="60"/>
    </w:pPr>
    <w:rPr>
      <w:sz w:val="20"/>
    </w:rPr>
  </w:style>
  <w:style w:type="paragraph" w:customStyle="1" w:styleId="SubHeading1">
    <w:name w:val="SubHeading1"/>
    <w:basedOn w:val="HeadingBase"/>
    <w:rsid w:val="00E12ABD"/>
    <w:pPr>
      <w:spacing w:before="240" w:after="60"/>
    </w:pPr>
    <w:rPr>
      <w:color w:val="918585"/>
      <w:sz w:val="22"/>
    </w:rPr>
  </w:style>
  <w:style w:type="paragraph" w:customStyle="1" w:styleId="SideHeading">
    <w:name w:val="Side Heading"/>
    <w:basedOn w:val="HeadingBase"/>
    <w:rsid w:val="00E12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ABD"/>
    <w:pPr>
      <w:tabs>
        <w:tab w:val="num" w:pos="360"/>
      </w:tabs>
    </w:pPr>
  </w:style>
  <w:style w:type="paragraph" w:styleId="PlainText">
    <w:name w:val="Plain Text"/>
    <w:basedOn w:val="Normal"/>
    <w:link w:val="PlainTextChar"/>
    <w:rsid w:val="00E12ABD"/>
    <w:rPr>
      <w:sz w:val="20"/>
    </w:rPr>
  </w:style>
  <w:style w:type="character" w:customStyle="1" w:styleId="PlainTextChar">
    <w:name w:val="Plain Text Char"/>
    <w:basedOn w:val="DefaultParagraphFont"/>
    <w:link w:val="PlainText"/>
    <w:rsid w:val="00E12ABD"/>
    <w:rPr>
      <w:rFonts w:ascii="Courier New" w:eastAsia="Times New Roman" w:hAnsi="Courier New" w:cs="Times New Roman"/>
      <w:sz w:val="20"/>
      <w:szCs w:val="20"/>
      <w:lang w:val="en-US" w:eastAsia="en-US"/>
    </w:rPr>
  </w:style>
  <w:style w:type="character" w:customStyle="1" w:styleId="MenuOption">
    <w:name w:val="Menu Option"/>
    <w:rsid w:val="00E12ABD"/>
    <w:rPr>
      <w:b/>
      <w:smallCaps/>
    </w:rPr>
  </w:style>
  <w:style w:type="paragraph" w:customStyle="1" w:styleId="TableListNumber">
    <w:name w:val="Table List Number"/>
    <w:basedOn w:val="ListNumber"/>
    <w:rsid w:val="00E12ABD"/>
    <w:pPr>
      <w:numPr>
        <w:numId w:val="0"/>
      </w:numPr>
    </w:pPr>
  </w:style>
  <w:style w:type="paragraph" w:styleId="TOC4">
    <w:name w:val="toc 4"/>
    <w:basedOn w:val="TOCBase"/>
    <w:next w:val="Normal"/>
    <w:semiHidden/>
    <w:rsid w:val="00E12ABD"/>
    <w:pPr>
      <w:tabs>
        <w:tab w:val="right" w:leader="dot" w:pos="9071"/>
      </w:tabs>
      <w:ind w:left="1701"/>
    </w:pPr>
  </w:style>
  <w:style w:type="paragraph" w:customStyle="1" w:styleId="ListAlpha">
    <w:name w:val="List Alpha"/>
    <w:basedOn w:val="List"/>
    <w:rsid w:val="00E12ABD"/>
    <w:pPr>
      <w:numPr>
        <w:numId w:val="8"/>
      </w:numPr>
    </w:pPr>
  </w:style>
  <w:style w:type="paragraph" w:customStyle="1" w:styleId="ListAlpha2">
    <w:name w:val="List Alpha 2"/>
    <w:basedOn w:val="List2"/>
    <w:rsid w:val="00E12ABD"/>
    <w:pPr>
      <w:numPr>
        <w:numId w:val="7"/>
      </w:numPr>
    </w:pPr>
  </w:style>
  <w:style w:type="paragraph" w:styleId="List3">
    <w:name w:val="List 3"/>
    <w:basedOn w:val="BodyText"/>
    <w:rsid w:val="00E12ABD"/>
    <w:pPr>
      <w:tabs>
        <w:tab w:val="left" w:pos="1021"/>
      </w:tabs>
      <w:spacing w:before="60" w:after="60"/>
      <w:ind w:left="1020" w:hanging="340"/>
    </w:pPr>
  </w:style>
  <w:style w:type="paragraph" w:styleId="List4">
    <w:name w:val="List 4"/>
    <w:basedOn w:val="BodyText"/>
    <w:rsid w:val="00E12ABD"/>
    <w:pPr>
      <w:tabs>
        <w:tab w:val="left" w:pos="1361"/>
      </w:tabs>
      <w:spacing w:before="60" w:after="60"/>
      <w:ind w:left="1361" w:hanging="340"/>
    </w:pPr>
  </w:style>
  <w:style w:type="paragraph" w:styleId="List5">
    <w:name w:val="List 5"/>
    <w:basedOn w:val="BodyText"/>
    <w:rsid w:val="00E12ABD"/>
    <w:pPr>
      <w:tabs>
        <w:tab w:val="left" w:pos="1701"/>
      </w:tabs>
      <w:spacing w:before="60" w:after="60"/>
      <w:ind w:left="1701" w:hanging="340"/>
    </w:pPr>
  </w:style>
  <w:style w:type="paragraph" w:styleId="ListBullet3">
    <w:name w:val="List Bullet 3"/>
    <w:basedOn w:val="List3"/>
    <w:rsid w:val="00E12ABD"/>
    <w:pPr>
      <w:numPr>
        <w:numId w:val="14"/>
      </w:numPr>
      <w:tabs>
        <w:tab w:val="clear" w:pos="1021"/>
      </w:tabs>
      <w:ind w:left="1037" w:hanging="357"/>
    </w:pPr>
  </w:style>
  <w:style w:type="paragraph" w:styleId="ListBullet4">
    <w:name w:val="List Bullet 4"/>
    <w:basedOn w:val="List4"/>
    <w:rsid w:val="00E12ABD"/>
    <w:pPr>
      <w:numPr>
        <w:numId w:val="2"/>
      </w:numPr>
    </w:pPr>
  </w:style>
  <w:style w:type="paragraph" w:styleId="ListBullet5">
    <w:name w:val="List Bullet 5"/>
    <w:basedOn w:val="List5"/>
    <w:rsid w:val="00E12ABD"/>
    <w:pPr>
      <w:numPr>
        <w:numId w:val="3"/>
      </w:numPr>
    </w:pPr>
  </w:style>
  <w:style w:type="paragraph" w:styleId="ListContinue2">
    <w:name w:val="List Continue 2"/>
    <w:basedOn w:val="List2"/>
    <w:rsid w:val="00E12ABD"/>
    <w:pPr>
      <w:ind w:firstLine="0"/>
    </w:pPr>
  </w:style>
  <w:style w:type="paragraph" w:styleId="ListContinue3">
    <w:name w:val="List Continue 3"/>
    <w:basedOn w:val="List3"/>
    <w:rsid w:val="00E12ABD"/>
    <w:pPr>
      <w:ind w:left="1021" w:firstLine="0"/>
    </w:pPr>
  </w:style>
  <w:style w:type="paragraph" w:styleId="ListContinue4">
    <w:name w:val="List Continue 4"/>
    <w:basedOn w:val="List4"/>
    <w:rsid w:val="00E12ABD"/>
    <w:pPr>
      <w:ind w:firstLine="0"/>
    </w:pPr>
  </w:style>
  <w:style w:type="paragraph" w:styleId="ListContinue5">
    <w:name w:val="List Continue 5"/>
    <w:basedOn w:val="List5"/>
    <w:rsid w:val="00E12ABD"/>
    <w:pPr>
      <w:ind w:firstLine="0"/>
    </w:pPr>
  </w:style>
  <w:style w:type="paragraph" w:styleId="ListNumber3">
    <w:name w:val="List Number 3"/>
    <w:basedOn w:val="List3"/>
    <w:rsid w:val="00E12ABD"/>
    <w:pPr>
      <w:numPr>
        <w:numId w:val="4"/>
      </w:numPr>
    </w:pPr>
  </w:style>
  <w:style w:type="paragraph" w:styleId="ListNumber4">
    <w:name w:val="List Number 4"/>
    <w:basedOn w:val="List4"/>
    <w:rsid w:val="00E12ABD"/>
    <w:pPr>
      <w:numPr>
        <w:numId w:val="5"/>
      </w:numPr>
    </w:pPr>
  </w:style>
  <w:style w:type="paragraph" w:styleId="ListNumber5">
    <w:name w:val="List Number 5"/>
    <w:basedOn w:val="List5"/>
    <w:rsid w:val="00E12ABD"/>
    <w:pPr>
      <w:numPr>
        <w:numId w:val="6"/>
      </w:numPr>
    </w:pPr>
  </w:style>
  <w:style w:type="paragraph" w:styleId="BlockText">
    <w:name w:val="Block Text"/>
    <w:basedOn w:val="Normal"/>
    <w:rsid w:val="00E12ABD"/>
    <w:pPr>
      <w:spacing w:after="120"/>
      <w:ind w:left="1440" w:right="1440"/>
    </w:pPr>
  </w:style>
  <w:style w:type="character" w:customStyle="1" w:styleId="Subscript">
    <w:name w:val="Subscript"/>
    <w:rsid w:val="00E12ABD"/>
    <w:rPr>
      <w:sz w:val="16"/>
      <w:vertAlign w:val="subscript"/>
    </w:rPr>
  </w:style>
  <w:style w:type="character" w:customStyle="1" w:styleId="Superscript">
    <w:name w:val="Superscript"/>
    <w:rsid w:val="00E12ABD"/>
    <w:rPr>
      <w:sz w:val="16"/>
      <w:vertAlign w:val="superscript"/>
    </w:rPr>
  </w:style>
  <w:style w:type="character" w:customStyle="1" w:styleId="Symbols">
    <w:name w:val="Symbols"/>
    <w:rsid w:val="00E12ABD"/>
    <w:rPr>
      <w:rFonts w:ascii="Symbol" w:hAnsi="Symbol"/>
    </w:rPr>
  </w:style>
  <w:style w:type="character" w:customStyle="1" w:styleId="MenuOptions">
    <w:name w:val="Menu Options"/>
    <w:rsid w:val="00E12ABD"/>
    <w:rPr>
      <w:rFonts w:ascii="Arial Narrow" w:hAnsi="Arial Narrow"/>
      <w:smallCaps/>
    </w:rPr>
  </w:style>
  <w:style w:type="character" w:customStyle="1" w:styleId="Buttons">
    <w:name w:val="Buttons"/>
    <w:rsid w:val="00E12ABD"/>
    <w:rPr>
      <w:b/>
    </w:rPr>
  </w:style>
  <w:style w:type="character" w:customStyle="1" w:styleId="Underlined">
    <w:name w:val="Underlined"/>
    <w:rsid w:val="00E12ABD"/>
    <w:rPr>
      <w:u w:val="single"/>
    </w:rPr>
  </w:style>
  <w:style w:type="paragraph" w:customStyle="1" w:styleId="TableBodyTextRight">
    <w:name w:val="Table Body Text Right"/>
    <w:basedOn w:val="TableBodyText"/>
    <w:rsid w:val="00E12ABD"/>
    <w:pPr>
      <w:widowControl w:val="0"/>
      <w:autoSpaceDE w:val="0"/>
      <w:autoSpaceDN w:val="0"/>
      <w:adjustRightInd w:val="0"/>
      <w:jc w:val="right"/>
    </w:pPr>
    <w:rPr>
      <w:rFonts w:cs="Arial"/>
      <w:szCs w:val="18"/>
    </w:rPr>
  </w:style>
  <w:style w:type="paragraph" w:customStyle="1" w:styleId="CopyrightText">
    <w:name w:val="Copyright Text"/>
    <w:basedOn w:val="BodyText"/>
    <w:rsid w:val="00E12ABD"/>
    <w:rPr>
      <w:sz w:val="18"/>
    </w:rPr>
  </w:style>
  <w:style w:type="paragraph" w:customStyle="1" w:styleId="BodySmallRight">
    <w:name w:val="Body Small Right"/>
    <w:basedOn w:val="BodyTextRight"/>
    <w:rsid w:val="00E12ABD"/>
    <w:rPr>
      <w:sz w:val="18"/>
      <w:szCs w:val="18"/>
    </w:rPr>
  </w:style>
  <w:style w:type="paragraph" w:customStyle="1" w:styleId="MarginEdition">
    <w:name w:val="Margin Edition"/>
    <w:basedOn w:val="MarginNote"/>
    <w:rsid w:val="00E12ABD"/>
    <w:pPr>
      <w:spacing w:before="0" w:after="0"/>
    </w:pPr>
    <w:rPr>
      <w:rFonts w:ascii="Times New Roman" w:hAnsi="Times New Roman"/>
      <w:color w:val="999999"/>
    </w:rPr>
  </w:style>
  <w:style w:type="paragraph" w:customStyle="1" w:styleId="Spacer">
    <w:name w:val="Spacer"/>
    <w:basedOn w:val="Normal"/>
    <w:rsid w:val="00E12ABD"/>
    <w:rPr>
      <w:sz w:val="2"/>
      <w:szCs w:val="2"/>
    </w:rPr>
  </w:style>
  <w:style w:type="character" w:customStyle="1" w:styleId="Small">
    <w:name w:val="Small"/>
    <w:rsid w:val="00E12ABD"/>
    <w:rPr>
      <w:sz w:val="16"/>
    </w:rPr>
  </w:style>
  <w:style w:type="paragraph" w:customStyle="1" w:styleId="WideTable">
    <w:name w:val="Wide Table"/>
    <w:basedOn w:val="Normal"/>
    <w:rsid w:val="00E12ABD"/>
    <w:pPr>
      <w:ind w:left="-1418"/>
    </w:pPr>
    <w:rPr>
      <w:sz w:val="2"/>
      <w:szCs w:val="2"/>
    </w:rPr>
  </w:style>
  <w:style w:type="character" w:styleId="PageNumber">
    <w:name w:val="page number"/>
    <w:rsid w:val="00E12ABD"/>
  </w:style>
  <w:style w:type="paragraph" w:styleId="Quote">
    <w:name w:val="Quote"/>
    <w:basedOn w:val="Heading1"/>
    <w:link w:val="QuoteChar"/>
    <w:qFormat/>
    <w:rsid w:val="00E12ABD"/>
    <w:rPr>
      <w:b w:val="0"/>
      <w:sz w:val="72"/>
      <w:szCs w:val="72"/>
      <w:lang w:val="en-NZ"/>
    </w:rPr>
  </w:style>
  <w:style w:type="character" w:customStyle="1" w:styleId="QuoteChar">
    <w:name w:val="Quote Char"/>
    <w:link w:val="Quote"/>
    <w:rsid w:val="00E12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ABD"/>
    <w:pPr>
      <w:pageBreakBefore/>
    </w:pPr>
  </w:style>
  <w:style w:type="paragraph" w:customStyle="1" w:styleId="Border">
    <w:name w:val="Border"/>
    <w:basedOn w:val="Normal"/>
    <w:qFormat/>
    <w:rsid w:val="00E12ABD"/>
    <w:pPr>
      <w:pBdr>
        <w:top w:val="single" w:sz="18" w:space="1" w:color="auto"/>
      </w:pBdr>
    </w:pPr>
    <w:rPr>
      <w:rFonts w:ascii="Times New Roman" w:hAnsi="Times New Roman"/>
      <w:color w:val="FFFFFF"/>
      <w:sz w:val="2"/>
    </w:rPr>
  </w:style>
  <w:style w:type="character" w:styleId="IntenseEmphasis">
    <w:name w:val="Intense Emphasis"/>
    <w:uiPriority w:val="21"/>
    <w:qFormat/>
    <w:rsid w:val="00E12ABD"/>
    <w:rPr>
      <w:b/>
      <w:bCs/>
      <w:i/>
      <w:iCs/>
      <w:color w:val="auto"/>
    </w:rPr>
  </w:style>
  <w:style w:type="paragraph" w:styleId="IntenseQuote">
    <w:name w:val="Intense Quote"/>
    <w:basedOn w:val="Normal"/>
    <w:next w:val="Normal"/>
    <w:link w:val="IntenseQuoteChar"/>
    <w:uiPriority w:val="30"/>
    <w:qFormat/>
    <w:rsid w:val="00E12A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2ABD"/>
    <w:rPr>
      <w:rFonts w:ascii="Courier New" w:eastAsia="Times New Roman" w:hAnsi="Courier New" w:cs="Times New Roman"/>
      <w:b/>
      <w:bCs/>
      <w:i/>
      <w:iCs/>
      <w:szCs w:val="20"/>
      <w:lang w:val="en-US" w:eastAsia="en-US"/>
    </w:rPr>
  </w:style>
  <w:style w:type="character" w:styleId="SubtleReference">
    <w:name w:val="Subtle Reference"/>
    <w:uiPriority w:val="31"/>
    <w:qFormat/>
    <w:rsid w:val="00E12ABD"/>
    <w:rPr>
      <w:smallCaps/>
      <w:color w:val="auto"/>
      <w:u w:val="single"/>
    </w:rPr>
  </w:style>
  <w:style w:type="character" w:styleId="IntenseReference">
    <w:name w:val="Intense Reference"/>
    <w:uiPriority w:val="32"/>
    <w:qFormat/>
    <w:rsid w:val="00E12ABD"/>
    <w:rPr>
      <w:b/>
      <w:bCs/>
      <w:smallCaps/>
      <w:color w:val="auto"/>
      <w:spacing w:val="5"/>
      <w:u w:val="single"/>
    </w:rPr>
  </w:style>
  <w:style w:type="paragraph" w:customStyle="1" w:styleId="2ColumnHeading">
    <w:name w:val="2Column Heading"/>
    <w:basedOn w:val="BodyText"/>
    <w:qFormat/>
    <w:rsid w:val="00E12ABD"/>
    <w:pPr>
      <w:spacing w:after="60"/>
      <w:ind w:left="-2268"/>
    </w:pPr>
    <w:rPr>
      <w:b/>
    </w:rPr>
  </w:style>
  <w:style w:type="paragraph" w:customStyle="1" w:styleId="Heading1TOC">
    <w:name w:val="Heading1 TOC"/>
    <w:basedOn w:val="Normal"/>
    <w:qFormat/>
    <w:rsid w:val="00E12ABD"/>
    <w:pPr>
      <w:spacing w:before="240" w:after="120"/>
    </w:pPr>
    <w:rPr>
      <w:rFonts w:ascii="Times New Roman" w:hAnsi="Times New Roman"/>
      <w:b/>
      <w:sz w:val="32"/>
    </w:rPr>
  </w:style>
  <w:style w:type="paragraph" w:customStyle="1" w:styleId="Heading2TOC">
    <w:name w:val="Heading2 TOC"/>
    <w:basedOn w:val="Normal"/>
    <w:qFormat/>
    <w:rsid w:val="00E12ABD"/>
    <w:pPr>
      <w:spacing w:before="240" w:after="60"/>
    </w:pPr>
    <w:rPr>
      <w:rFonts w:ascii="Times New Roman" w:hAnsi="Times New Roman"/>
      <w:b/>
      <w:sz w:val="28"/>
    </w:rPr>
  </w:style>
  <w:style w:type="character" w:customStyle="1" w:styleId="Underline">
    <w:name w:val="Underline"/>
    <w:qFormat/>
    <w:rsid w:val="00E12ABD"/>
    <w:rPr>
      <w:u w:val="single"/>
    </w:rPr>
  </w:style>
  <w:style w:type="character" w:customStyle="1" w:styleId="BoldandItalics">
    <w:name w:val="Bold and Italics"/>
    <w:qFormat/>
    <w:rsid w:val="00E12ABD"/>
    <w:rPr>
      <w:b/>
      <w:i/>
      <w:u w:val="none"/>
    </w:rPr>
  </w:style>
  <w:style w:type="paragraph" w:styleId="BalloonText">
    <w:name w:val="Balloon Text"/>
    <w:basedOn w:val="Normal"/>
    <w:link w:val="BalloonTextChar"/>
    <w:rsid w:val="00E12ABD"/>
    <w:rPr>
      <w:rFonts w:ascii="Tahoma" w:hAnsi="Tahoma" w:cs="Tahoma"/>
      <w:sz w:val="16"/>
      <w:szCs w:val="16"/>
    </w:rPr>
  </w:style>
  <w:style w:type="character" w:customStyle="1" w:styleId="BalloonTextChar">
    <w:name w:val="Balloon Text Char"/>
    <w:link w:val="BalloonText"/>
    <w:rsid w:val="00E12A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A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2A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1260</Words>
  <Characters>7780</Characters>
  <Application>Microsoft Office Word</Application>
  <DocSecurity>0</DocSecurity>
  <Lines>260</Lines>
  <Paragraphs>129</Paragraphs>
  <ScaleCrop>false</ScaleCrop>
  <Company>Author-it Software Corporation Ltd.</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MEM08004B Finish work using wet, dry and vapour deposition methods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2012-05-27T01:37:00Z</dcterms:created>
  <dcterms:modified xsi:type="dcterms:W3CDTF">2012-05-27T01:37:00Z</dcterms:modified>
</cp:coreProperties>
</file>