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676D" w:rsidP="0058676D">
      <w:pPr>
        <w:pStyle w:val="Title"/>
      </w:pPr>
      <w:r>
        <w:fldChar w:fldCharType="begin"/>
      </w:r>
      <w:r>
        <w:instrText xml:space="preserve"> TITLE   \* MERGEFORMAT </w:instrText>
      </w:r>
      <w:r>
        <w:fldChar w:fldCharType="separate"/>
      </w:r>
      <w:r>
        <w:t>MEM08002C Pre-treat work for subsequent surface coating</w:t>
      </w:r>
      <w:r>
        <w:fldChar w:fldCharType="end"/>
      </w:r>
    </w:p>
    <w:p w:rsidR="0058676D" w:rsidP="0058676D">
      <w:pPr>
        <w:pStyle w:val="Version"/>
        <w:sectPr w:rsidSect="006A2B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2B5F" w:rsidP="006A2B5F">
      <w:pPr>
        <w:pStyle w:val="SuperHeading"/>
      </w:pPr>
      <w:r w:rsidRPr="006A2B5F">
        <w:t>MEM08002C Pre-treat work for subsequent surface coating</w:t>
      </w:r>
    </w:p>
    <w:p w:rsidR="00000000" w:rsidRPr="006A2B5F" w:rsidP="006A2B5F">
      <w:pPr>
        <w:pStyle w:val="Heading1"/>
      </w:pPr>
      <w:bookmarkStart w:id="1" w:name="O_272084"/>
      <w:bookmarkEnd w:id="1"/>
      <w:r w:rsidRPr="006A2B5F">
        <w:t>Modification History</w:t>
      </w:r>
    </w:p>
    <w:p w:rsidR="00000000" w:rsidRPr="006A2B5F" w:rsidP="006A2B5F">
      <w:pPr>
        <w:pStyle w:val="BodyText"/>
      </w:pPr>
      <w:r w:rsidRPr="006A2B5F">
        <w:t>Not Applicable</w:t>
      </w:r>
    </w:p>
    <w:p w:rsidR="00000000" w:rsidRPr="006A2B5F" w:rsidP="006A2B5F">
      <w:pPr>
        <w:pStyle w:val="AllowPageBreak"/>
      </w:pPr>
    </w:p>
    <w:p w:rsidR="00000000" w:rsidRPr="006A2B5F" w:rsidP="006A2B5F">
      <w:pPr>
        <w:pStyle w:val="Heading1"/>
      </w:pPr>
      <w:bookmarkStart w:id="2" w:name="O_211026"/>
      <w:bookmarkEnd w:id="2"/>
      <w:r w:rsidRPr="006A2B5F">
        <w:t>Unit Descriptor</w:t>
      </w:r>
    </w:p>
    <w:tbl>
      <w:tblPr>
        <w:tblW w:w="0" w:type="auto"/>
        <w:tblLayout w:type="fixed"/>
        <w:tblCellMar>
          <w:left w:w="62" w:type="dxa"/>
          <w:right w:w="62" w:type="dxa"/>
        </w:tblCellMar>
        <w:tblLook w:val="0000"/>
      </w:tblPr>
      <w:tblGrid>
        <w:gridCol w:w="2673"/>
        <w:gridCol w:w="5849"/>
      </w:tblGrid>
      <w:tr w:rsidTr="0058676D">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B5F">
            <w:pPr>
              <w:pStyle w:val="BodyText"/>
              <w:rPr>
                <w:lang w:val="en-NZ"/>
              </w:rPr>
            </w:pPr>
            <w:r w:rsidRPr="006A2B5F">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2B5F" w:rsidP="006A2B5F">
            <w:pPr>
              <w:pStyle w:val="BodyText"/>
            </w:pPr>
            <w:r w:rsidRPr="006A2B5F">
              <w:t>This unit covers pre-treating common ferrous and non-ferrous work.</w:t>
            </w:r>
          </w:p>
        </w:tc>
      </w:tr>
    </w:tbl>
    <w:p w:rsidR="0058676D" w:rsidP="006A2B5F">
      <w:pPr>
        <w:pStyle w:val="BodyText"/>
      </w:pPr>
    </w:p>
    <w:p w:rsidR="0058676D" w:rsidP="006A2B5F">
      <w:pPr>
        <w:pStyle w:val="BodyText"/>
      </w:pPr>
    </w:p>
    <w:p w:rsidR="00000000" w:rsidRPr="006A2B5F" w:rsidP="006A2B5F">
      <w:pPr>
        <w:pStyle w:val="Heading1"/>
      </w:pPr>
      <w:bookmarkStart w:id="3" w:name="O_211030"/>
      <w:bookmarkEnd w:id="3"/>
      <w:r w:rsidRPr="006A2B5F">
        <w:t>Application of the Unit</w:t>
      </w:r>
    </w:p>
    <w:tbl>
      <w:tblPr>
        <w:tblW w:w="0" w:type="auto"/>
        <w:tblLayout w:type="fixed"/>
        <w:tblCellMar>
          <w:left w:w="62" w:type="dxa"/>
          <w:right w:w="62" w:type="dxa"/>
        </w:tblCellMar>
        <w:tblLook w:val="0000"/>
      </w:tblPr>
      <w:tblGrid>
        <w:gridCol w:w="2732"/>
        <w:gridCol w:w="5790"/>
      </w:tblGrid>
      <w:tr w:rsidTr="0058676D">
        <w:tblPrEx>
          <w:tblW w:w="0" w:type="auto"/>
          <w:tblLayout w:type="fixed"/>
          <w:tblCellMar>
            <w:left w:w="62" w:type="dxa"/>
            <w:right w:w="62" w:type="dxa"/>
          </w:tblCellMar>
          <w:tblLook w:val="0000"/>
        </w:tblPrEx>
        <w:tc>
          <w:tcPr>
            <w:tcW w:w="2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B5F">
            <w:pPr>
              <w:pStyle w:val="BodyText"/>
              <w:rPr>
                <w:lang w:val="en-NZ"/>
              </w:rPr>
            </w:pPr>
            <w:r w:rsidRPr="006A2B5F">
              <w:rPr>
                <w:rStyle w:val="SpecialBold"/>
              </w:rPr>
              <w:t>Application of the unit</w:t>
            </w:r>
          </w:p>
        </w:tc>
        <w:tc>
          <w:tcPr>
            <w:tcW w:w="5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2B5F" w:rsidP="006A2B5F">
            <w:pPr>
              <w:pStyle w:val="BodyText"/>
            </w:pPr>
            <w:r w:rsidRPr="006A2B5F">
              <w:t>This unit applies to pre-treatment of common ferrous and non-ferrous work for finishing by a wide variety of processes, such as wet coating, powder coating, electroplating, anodising, electroless plating, ele</w:t>
            </w:r>
            <w:r w:rsidRPr="006A2B5F">
              <w:t>ctrophoretic coating and hot dip metallising.</w:t>
            </w:r>
          </w:p>
          <w:p w:rsidR="00000000" w:rsidRPr="006A2B5F" w:rsidP="006A2B5F">
            <w:pPr>
              <w:pStyle w:val="BodyText"/>
            </w:pPr>
            <w:r w:rsidRPr="006A2B5F">
              <w:t>In the pre-treatment process, adjustments to apparatus/equipment/controls include temperature settings, current/voltage and solution compositions.</w:t>
            </w:r>
          </w:p>
          <w:p w:rsidR="00000000" w:rsidRPr="006A2B5F" w:rsidP="006A2B5F">
            <w:pPr>
              <w:pStyle w:val="BodyText"/>
            </w:pPr>
            <w:r w:rsidRPr="006A2B5F">
              <w:t>This unit should not be selected if Unit MEM08003C (Perform ele</w:t>
            </w:r>
            <w:r w:rsidRPr="006A2B5F">
              <w:t>ctroplating operations) has already been selected.</w:t>
            </w:r>
          </w:p>
          <w:p w:rsidR="00000000" w:rsidRPr="006A2B5F" w:rsidP="006A2B5F">
            <w:pPr>
              <w:pStyle w:val="BodyText"/>
            </w:pPr>
          </w:p>
          <w:p w:rsidR="00000000" w:rsidRPr="006A2B5F" w:rsidP="006A2B5F">
            <w:pPr>
              <w:pStyle w:val="BodyText"/>
            </w:pPr>
            <w:r w:rsidRPr="006A2B5F">
              <w:rPr>
                <w:rStyle w:val="SpecialBold"/>
              </w:rPr>
              <w:t>Band</w:t>
            </w:r>
            <w:r w:rsidRPr="006A2B5F">
              <w:t>:</w:t>
            </w:r>
            <w:r w:rsidRPr="006A2B5F">
              <w:tab/>
            </w:r>
            <w:r w:rsidRPr="006A2B5F">
              <w:rPr>
                <w:rStyle w:val="SpecialBold"/>
              </w:rPr>
              <w:t>A</w:t>
            </w:r>
          </w:p>
          <w:p w:rsidR="00000000" w:rsidRPr="006A2B5F" w:rsidP="006A2B5F">
            <w:pPr>
              <w:pStyle w:val="BodyText"/>
            </w:pPr>
            <w:r w:rsidRPr="006A2B5F">
              <w:rPr>
                <w:rStyle w:val="SpecialBold"/>
              </w:rPr>
              <w:t>Unit Weight</w:t>
            </w:r>
            <w:r w:rsidRPr="006A2B5F">
              <w:t>:</w:t>
            </w:r>
            <w:r w:rsidRPr="006A2B5F">
              <w:tab/>
            </w:r>
            <w:r w:rsidRPr="006A2B5F">
              <w:rPr>
                <w:rStyle w:val="SpecialBold"/>
              </w:rPr>
              <w:t>4</w:t>
            </w:r>
          </w:p>
        </w:tc>
      </w:tr>
    </w:tbl>
    <w:p w:rsidR="0058676D" w:rsidP="006A2B5F">
      <w:pPr>
        <w:pStyle w:val="BodyText"/>
      </w:pPr>
    </w:p>
    <w:p w:rsidR="0058676D" w:rsidP="006A2B5F">
      <w:pPr>
        <w:pStyle w:val="BodyText"/>
      </w:pPr>
    </w:p>
    <w:p w:rsidR="00000000" w:rsidRPr="006A2B5F" w:rsidP="006A2B5F">
      <w:pPr>
        <w:pStyle w:val="Heading1"/>
      </w:pPr>
      <w:bookmarkStart w:id="4" w:name="O_280344"/>
      <w:bookmarkEnd w:id="4"/>
      <w:r w:rsidRPr="006A2B5F">
        <w:t>Licensing/Regulatory Information</w:t>
      </w:r>
    </w:p>
    <w:p w:rsidR="00000000" w:rsidRPr="006A2B5F" w:rsidP="006A2B5F">
      <w:pPr>
        <w:pStyle w:val="BodyText"/>
      </w:pPr>
      <w:r w:rsidRPr="006A2B5F">
        <w:t>Not Applicable</w:t>
      </w:r>
    </w:p>
    <w:p w:rsidR="00000000" w:rsidRPr="006A2B5F" w:rsidP="006A2B5F">
      <w:pPr>
        <w:pStyle w:val="AllowPageBreak"/>
      </w:pPr>
    </w:p>
    <w:p w:rsidR="00000000" w:rsidRPr="006A2B5F" w:rsidP="006A2B5F">
      <w:pPr>
        <w:pStyle w:val="Heading1"/>
      </w:pPr>
      <w:bookmarkStart w:id="5" w:name="O_211028"/>
      <w:bookmarkEnd w:id="5"/>
      <w:r w:rsidRPr="006A2B5F">
        <w:t>Pre-Requisites</w:t>
      </w:r>
    </w:p>
    <w:tbl>
      <w:tblPr>
        <w:tblW w:w="0" w:type="auto"/>
        <w:tblLayout w:type="fixed"/>
        <w:tblCellMar>
          <w:left w:w="62" w:type="dxa"/>
          <w:right w:w="62" w:type="dxa"/>
        </w:tblCellMar>
        <w:tblLook w:val="0000"/>
      </w:tblPr>
      <w:tblGrid>
        <w:gridCol w:w="2720"/>
        <w:gridCol w:w="2195"/>
        <w:gridCol w:w="3607"/>
      </w:tblGrid>
      <w:tr w:rsidTr="0058676D">
        <w:tblPrEx>
          <w:tblW w:w="0" w:type="auto"/>
          <w:tblLayout w:type="fixed"/>
          <w:tblCellMar>
            <w:left w:w="62" w:type="dxa"/>
            <w:right w:w="62" w:type="dxa"/>
          </w:tblCellMar>
          <w:tblLook w:val="0000"/>
        </w:tblPrEx>
        <w:trPr>
          <w:tblHeader/>
        </w:trPr>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B5F">
            <w:pPr>
              <w:pStyle w:val="BodyText"/>
              <w:rPr>
                <w:lang w:val="en-NZ"/>
              </w:rPr>
            </w:pPr>
            <w:r w:rsidRPr="006A2B5F">
              <w:rPr>
                <w:rStyle w:val="SpecialBold"/>
              </w:rPr>
              <w:t>Prerequisite units</w:t>
            </w:r>
          </w:p>
        </w:tc>
        <w:tc>
          <w:tcPr>
            <w:tcW w:w="580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B5F">
            <w:pPr>
              <w:pStyle w:val="BodyText"/>
              <w:rPr>
                <w:lang w:val="en-NZ"/>
              </w:rPr>
            </w:pPr>
          </w:p>
        </w:tc>
      </w:tr>
      <w:tr w:rsidTr="0058676D">
        <w:tblPrEx>
          <w:tblW w:w="0" w:type="auto"/>
          <w:tblLayout w:type="fixed"/>
          <w:tblCellMar>
            <w:left w:w="62" w:type="dxa"/>
            <w:right w:w="62" w:type="dxa"/>
          </w:tblCellMar>
          <w:tblLook w:val="0000"/>
        </w:tblPrEx>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B5F">
            <w:pPr>
              <w:pStyle w:val="BodyText"/>
              <w:rPr>
                <w:lang w:val="en-NZ"/>
              </w:rPr>
            </w:pPr>
            <w:r w:rsidRPr="006A2B5F">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B5F">
            <w:pPr>
              <w:pStyle w:val="BodyText"/>
              <w:rPr>
                <w:lang w:val="en-NZ"/>
              </w:rPr>
            </w:pPr>
            <w:r w:rsidRPr="006A2B5F">
              <w:t>MEM13003B</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B5F">
            <w:pPr>
              <w:pStyle w:val="BodyText"/>
              <w:rPr>
                <w:lang w:val="en-NZ"/>
              </w:rPr>
            </w:pPr>
            <w:r w:rsidRPr="006A2B5F">
              <w:t>Work saf</w:t>
            </w:r>
            <w:r w:rsidRPr="006A2B5F">
              <w:t>ely with industrial chemicals and materials</w:t>
            </w:r>
          </w:p>
        </w:tc>
      </w:tr>
      <w:tr w:rsidTr="0058676D">
        <w:tblPrEx>
          <w:tblW w:w="0" w:type="auto"/>
          <w:tblLayout w:type="fixed"/>
          <w:tblCellMar>
            <w:left w:w="62" w:type="dxa"/>
            <w:right w:w="62" w:type="dxa"/>
          </w:tblCellMar>
          <w:tblLook w:val="0000"/>
        </w:tblPrEx>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2B5F" w:rsidP="006A2B5F">
            <w:pPr>
              <w:pStyle w:val="BodyText"/>
            </w:pPr>
          </w:p>
        </w:tc>
      </w:tr>
    </w:tbl>
    <w:p w:rsidR="0058676D" w:rsidP="006A2B5F">
      <w:pPr>
        <w:pStyle w:val="BodyText"/>
      </w:pPr>
    </w:p>
    <w:p w:rsidR="0058676D" w:rsidP="006A2B5F">
      <w:pPr>
        <w:pStyle w:val="BodyText"/>
      </w:pPr>
    </w:p>
    <w:p w:rsidR="00000000" w:rsidRPr="006A2B5F" w:rsidP="006A2B5F">
      <w:pPr>
        <w:pStyle w:val="Heading1"/>
      </w:pPr>
      <w:bookmarkStart w:id="6" w:name="O_211027"/>
      <w:bookmarkEnd w:id="6"/>
      <w:r w:rsidRPr="006A2B5F">
        <w:t>Employability Skills Information</w:t>
      </w:r>
    </w:p>
    <w:tbl>
      <w:tblPr>
        <w:tblW w:w="0" w:type="auto"/>
        <w:tblLayout w:type="fixed"/>
        <w:tblCellMar>
          <w:left w:w="62" w:type="dxa"/>
          <w:right w:w="62" w:type="dxa"/>
        </w:tblCellMar>
        <w:tblLook w:val="0000"/>
      </w:tblPr>
      <w:tblGrid>
        <w:gridCol w:w="2802"/>
        <w:gridCol w:w="5720"/>
      </w:tblGrid>
      <w:tr w:rsidTr="0058676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B5F">
            <w:pPr>
              <w:pStyle w:val="BodyText"/>
              <w:rPr>
                <w:lang w:val="en-NZ"/>
              </w:rPr>
            </w:pPr>
            <w:r w:rsidRPr="006A2B5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2B5F" w:rsidP="006A2B5F">
            <w:pPr>
              <w:pStyle w:val="BodyText"/>
            </w:pPr>
            <w:r w:rsidRPr="006A2B5F">
              <w:t>This unit contains employability skills.</w:t>
            </w:r>
          </w:p>
        </w:tc>
      </w:tr>
    </w:tbl>
    <w:p w:rsidR="0058676D" w:rsidP="006A2B5F">
      <w:pPr>
        <w:pStyle w:val="BodyText"/>
      </w:pPr>
    </w:p>
    <w:p w:rsidR="0058676D" w:rsidP="006A2B5F">
      <w:pPr>
        <w:pStyle w:val="BodyText"/>
      </w:pPr>
    </w:p>
    <w:p w:rsidR="00000000" w:rsidRPr="006A2B5F" w:rsidP="006A2B5F">
      <w:pPr>
        <w:pStyle w:val="Heading1"/>
      </w:pPr>
      <w:bookmarkStart w:id="7" w:name="O_290130"/>
      <w:bookmarkEnd w:id="7"/>
      <w:r w:rsidRPr="006A2B5F">
        <w:t>Elements and Performance Criteria Pre-Content</w:t>
      </w:r>
    </w:p>
    <w:tbl>
      <w:tblPr>
        <w:tblW w:w="0" w:type="auto"/>
        <w:tblLayout w:type="fixed"/>
        <w:tblCellMar>
          <w:left w:w="62" w:type="dxa"/>
          <w:right w:w="62" w:type="dxa"/>
        </w:tblCellMar>
        <w:tblLook w:val="0000"/>
      </w:tblPr>
      <w:tblGrid>
        <w:gridCol w:w="2553"/>
        <w:gridCol w:w="5969"/>
      </w:tblGrid>
      <w:tr w:rsidTr="0058676D">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B5F">
            <w:pPr>
              <w:pStyle w:val="BodyText"/>
              <w:rPr>
                <w:lang w:val="en-NZ"/>
              </w:rPr>
            </w:pPr>
            <w:r w:rsidRPr="006A2B5F">
              <w:t>Elements describe the essential outcomes of a unit of competency.</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2B5F" w:rsidP="006A2B5F">
            <w:pPr>
              <w:pStyle w:val="BodyText"/>
            </w:pPr>
            <w:r w:rsidRPr="006A2B5F">
              <w:t>Performance criteria describe the performance needed to demonstrate achievement of the element. Where bold italicised text is used, further information is detailed in the required skills and</w:t>
            </w:r>
            <w:r w:rsidRPr="006A2B5F">
              <w:t xml:space="preserve"> knowledge section and the range statement. Assessment of performance is to be consistent with the evidence guide.</w:t>
            </w:r>
          </w:p>
        </w:tc>
      </w:tr>
    </w:tbl>
    <w:p w:rsidR="00000000" w:rsidRPr="006A2B5F" w:rsidP="006A2B5F">
      <w:pPr>
        <w:pStyle w:val="BodyText"/>
      </w:pPr>
    </w:p>
    <w:p w:rsidR="00000000" w:rsidRPr="006A2B5F" w:rsidP="006A2B5F">
      <w:pPr>
        <w:pStyle w:val="AllowPageBreak"/>
      </w:pPr>
    </w:p>
    <w:p w:rsidR="00000000" w:rsidRPr="006A2B5F" w:rsidP="006A2B5F">
      <w:pPr>
        <w:pStyle w:val="Heading1"/>
      </w:pPr>
      <w:bookmarkStart w:id="8" w:name="O_236797"/>
      <w:bookmarkEnd w:id="8"/>
      <w:r w:rsidRPr="006A2B5F">
        <w:t>Elements and Performance Criteria</w:t>
      </w:r>
    </w:p>
    <w:tbl>
      <w:tblPr>
        <w:tblW w:w="0" w:type="auto"/>
        <w:tblLayout w:type="fixed"/>
        <w:tblCellMar>
          <w:left w:w="62" w:type="dxa"/>
          <w:right w:w="62" w:type="dxa"/>
        </w:tblCellMar>
        <w:tblLook w:val="0000"/>
      </w:tblPr>
      <w:tblGrid>
        <w:gridCol w:w="2553"/>
        <w:gridCol w:w="5969"/>
      </w:tblGrid>
      <w:tr w:rsidTr="0058676D">
        <w:tblPrEx>
          <w:tblW w:w="0" w:type="auto"/>
          <w:tblLayout w:type="fixed"/>
          <w:tblCellMar>
            <w:left w:w="62" w:type="dxa"/>
            <w:right w:w="62" w:type="dxa"/>
          </w:tblCellMar>
          <w:tblLook w:val="0000"/>
        </w:tblPrEx>
        <w:trPr>
          <w:tblHeader/>
        </w:trPr>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2B5F" w:rsidP="006A2B5F">
            <w:pPr>
              <w:pStyle w:val="BodyText"/>
            </w:pPr>
            <w:r w:rsidRPr="006A2B5F">
              <w:rPr>
                <w:rStyle w:val="SpecialBold"/>
              </w:rPr>
              <w:t>ELEMENT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B5F">
            <w:pPr>
              <w:pStyle w:val="BodyText"/>
              <w:rPr>
                <w:lang w:val="en-NZ"/>
              </w:rPr>
            </w:pPr>
            <w:r w:rsidRPr="006A2B5F">
              <w:rPr>
                <w:rStyle w:val="SpecialBold"/>
              </w:rPr>
              <w:t>PERFORMANCE CRITERIA</w:t>
            </w:r>
          </w:p>
        </w:tc>
      </w:tr>
      <w:tr w:rsidTr="0058676D">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B5F">
            <w:pPr>
              <w:pStyle w:val="List"/>
              <w:rPr>
                <w:lang w:val="en-NZ"/>
              </w:rPr>
            </w:pPr>
            <w:r w:rsidRPr="006A2B5F">
              <w:t>1.</w:t>
            </w:r>
            <w:r w:rsidRPr="006A2B5F">
              <w:tab/>
              <w:t xml:space="preserve">Identify job material </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B5F">
            <w:pPr>
              <w:pStyle w:val="List2"/>
              <w:rPr>
                <w:lang w:val="en-NZ"/>
              </w:rPr>
            </w:pPr>
            <w:r w:rsidRPr="006A2B5F">
              <w:t>1.1.</w:t>
            </w:r>
            <w:r w:rsidRPr="006A2B5F">
              <w:tab/>
            </w:r>
            <w:r w:rsidRPr="006A2B5F">
              <w:t>Common metals, alloys and non-metals can be identified.</w:t>
            </w:r>
          </w:p>
        </w:tc>
      </w:tr>
      <w:tr w:rsidTr="0058676D">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B5F">
            <w:pPr>
              <w:pStyle w:val="List"/>
              <w:rPr>
                <w:lang w:val="en-NZ"/>
              </w:rPr>
            </w:pPr>
            <w:r w:rsidRPr="006A2B5F">
              <w:t>2.</w:t>
            </w:r>
            <w:r w:rsidRPr="006A2B5F">
              <w:tab/>
              <w:t>Identify job surface condition</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B5F">
            <w:pPr>
              <w:pStyle w:val="List2"/>
              <w:rPr>
                <w:lang w:val="en-NZ"/>
              </w:rPr>
            </w:pPr>
            <w:r w:rsidRPr="006A2B5F">
              <w:t>2.1.</w:t>
            </w:r>
            <w:r w:rsidRPr="006A2B5F">
              <w:tab/>
              <w:t>Common surface soils and conditions can be identified.</w:t>
            </w:r>
          </w:p>
        </w:tc>
      </w:tr>
      <w:tr w:rsidTr="0058676D">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B5F">
            <w:pPr>
              <w:pStyle w:val="List"/>
              <w:rPr>
                <w:lang w:val="en-NZ"/>
              </w:rPr>
            </w:pPr>
            <w:r w:rsidRPr="006A2B5F">
              <w:t>3.</w:t>
            </w:r>
            <w:r w:rsidRPr="006A2B5F">
              <w:tab/>
              <w:t xml:space="preserve">Perform pre-treatment processes in correct sequence </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2B5F" w:rsidP="006A2B5F">
            <w:pPr>
              <w:pStyle w:val="List2"/>
            </w:pPr>
            <w:r w:rsidRPr="006A2B5F">
              <w:t>3.1.</w:t>
            </w:r>
            <w:r w:rsidRPr="006A2B5F">
              <w:tab/>
            </w:r>
            <w:r w:rsidRPr="006A2B5F">
              <w:t>Pre-treatment processes are carried out to standard operating procedures.</w:t>
            </w:r>
          </w:p>
          <w:p w:rsidR="00000000" w:rsidRPr="006A2B5F" w:rsidP="006A2B5F">
            <w:pPr>
              <w:pStyle w:val="List2"/>
            </w:pPr>
            <w:r w:rsidRPr="006A2B5F">
              <w:t>3.2.</w:t>
            </w:r>
            <w:r w:rsidRPr="006A2B5F">
              <w:tab/>
              <w:t>Pre-treatment process parameters are monitored to ensure they remain within specified limits.</w:t>
            </w:r>
          </w:p>
        </w:tc>
      </w:tr>
    </w:tbl>
    <w:p w:rsidR="0058676D" w:rsidP="006A2B5F">
      <w:pPr>
        <w:pStyle w:val="BodyText"/>
      </w:pPr>
    </w:p>
    <w:p w:rsidR="0058676D" w:rsidP="006A2B5F">
      <w:pPr>
        <w:pStyle w:val="BodyText"/>
      </w:pPr>
    </w:p>
    <w:p w:rsidR="00000000" w:rsidRPr="006A2B5F" w:rsidP="006A2B5F">
      <w:pPr>
        <w:pStyle w:val="Heading1"/>
      </w:pPr>
      <w:bookmarkStart w:id="9" w:name="O_260747"/>
      <w:bookmarkEnd w:id="9"/>
      <w:r w:rsidRPr="006A2B5F">
        <w:t>Required Skills and Knowledge</w:t>
      </w:r>
    </w:p>
    <w:tbl>
      <w:tblPr>
        <w:tblW w:w="0" w:type="auto"/>
        <w:tblLayout w:type="fixed"/>
        <w:tblCellMar>
          <w:left w:w="62" w:type="dxa"/>
          <w:right w:w="62" w:type="dxa"/>
        </w:tblCellMar>
        <w:tblLook w:val="0000"/>
      </w:tblPr>
      <w:tblGrid>
        <w:gridCol w:w="8522"/>
      </w:tblGrid>
      <w:tr w:rsidTr="0058676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A2B5F">
            <w:pPr>
              <w:pStyle w:val="BodyText"/>
              <w:rPr>
                <w:lang w:val="en-NZ"/>
              </w:rPr>
            </w:pPr>
            <w:r w:rsidRPr="006A2B5F">
              <w:rPr>
                <w:rStyle w:val="SpecialBold"/>
              </w:rPr>
              <w:t>REQUIRED SKILLS AND KNOWLEDGE</w:t>
            </w:r>
          </w:p>
        </w:tc>
      </w:tr>
      <w:tr w:rsidTr="0058676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A2B5F">
            <w:pPr>
              <w:pStyle w:val="BodyText"/>
              <w:rPr>
                <w:lang w:val="en-NZ"/>
              </w:rPr>
            </w:pPr>
            <w:r w:rsidRPr="006A2B5F">
              <w:t>This section describes the skills and knowledge required for this unit.</w:t>
            </w:r>
          </w:p>
        </w:tc>
      </w:tr>
      <w:tr w:rsidTr="005867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B5F">
            <w:pPr>
              <w:pStyle w:val="BodyText"/>
              <w:rPr>
                <w:lang w:val="en-NZ"/>
              </w:rPr>
            </w:pPr>
            <w:r w:rsidRPr="006A2B5F">
              <w:rPr>
                <w:rStyle w:val="SpecialBold"/>
              </w:rPr>
              <w:t>Required skills</w:t>
            </w:r>
          </w:p>
        </w:tc>
      </w:tr>
      <w:tr w:rsidTr="005867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2B5F" w:rsidP="006A2B5F">
            <w:pPr>
              <w:pStyle w:val="BodyText"/>
            </w:pPr>
            <w:r w:rsidRPr="006A2B5F">
              <w:t>Look for evidence that confirms skills in:</w:t>
            </w:r>
          </w:p>
          <w:p w:rsidR="00000000" w:rsidRPr="006A2B5F" w:rsidP="006A2B5F">
            <w:pPr>
              <w:pStyle w:val="ListBullet"/>
            </w:pPr>
            <w:r w:rsidRPr="006A2B5F">
              <w:t>reading and following routine and familiar information on standard operating procedures</w:t>
            </w:r>
          </w:p>
          <w:p w:rsidR="00000000" w:rsidRPr="006A2B5F" w:rsidP="006A2B5F">
            <w:pPr>
              <w:pStyle w:val="ListBullet"/>
            </w:pPr>
            <w:r w:rsidRPr="006A2B5F">
              <w:t>recognising common surface soils and conditions from given samples</w:t>
            </w:r>
          </w:p>
          <w:p w:rsidR="00000000" w:rsidRPr="006A2B5F" w:rsidP="006A2B5F">
            <w:pPr>
              <w:pStyle w:val="ListBullet"/>
            </w:pPr>
            <w:r w:rsidRPr="006A2B5F">
              <w:t>carrying out appropriate pre-treatment  processes</w:t>
            </w:r>
          </w:p>
          <w:p w:rsidR="00000000" w:rsidRPr="006A2B5F" w:rsidP="006A2B5F">
            <w:pPr>
              <w:pStyle w:val="ListBullet"/>
            </w:pPr>
            <w:r w:rsidRPr="006A2B5F">
              <w:t>monitoring and maintaining the pre-treatment  process parameters within specified limits</w:t>
            </w:r>
          </w:p>
          <w:p w:rsidR="00000000" w:rsidRPr="006A2B5F" w:rsidP="006A2B5F">
            <w:pPr>
              <w:pStyle w:val="ListBullet"/>
            </w:pPr>
            <w:r w:rsidRPr="006A2B5F">
              <w:t>following verbal instructions</w:t>
            </w:r>
          </w:p>
          <w:p w:rsidR="00000000" w:rsidP="006A2B5F">
            <w:pPr>
              <w:pStyle w:val="ListBullet"/>
              <w:rPr>
                <w:lang w:val="en-NZ"/>
              </w:rPr>
            </w:pPr>
            <w:r w:rsidRPr="006A2B5F">
              <w:t>orally reporting rou</w:t>
            </w:r>
            <w:r w:rsidRPr="006A2B5F">
              <w:t>tine information</w:t>
            </w:r>
          </w:p>
        </w:tc>
      </w:tr>
      <w:tr w:rsidTr="005867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B5F">
            <w:pPr>
              <w:pStyle w:val="BodyText"/>
              <w:rPr>
                <w:lang w:val="en-NZ"/>
              </w:rPr>
            </w:pPr>
            <w:r w:rsidRPr="006A2B5F">
              <w:rPr>
                <w:rStyle w:val="SpecialBold"/>
              </w:rPr>
              <w:t>Required knowledge</w:t>
            </w:r>
          </w:p>
        </w:tc>
      </w:tr>
      <w:tr w:rsidTr="005867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2B5F" w:rsidP="006A2B5F">
            <w:pPr>
              <w:pStyle w:val="BodyText"/>
            </w:pPr>
            <w:r w:rsidRPr="006A2B5F">
              <w:t>Look for evidence that confirms knowledge of:</w:t>
            </w:r>
          </w:p>
          <w:p w:rsidR="00000000" w:rsidRPr="006A2B5F" w:rsidP="006A2B5F">
            <w:pPr>
              <w:pStyle w:val="ListBullet"/>
            </w:pPr>
            <w:r w:rsidRPr="006A2B5F">
              <w:t>characteristics of common metals, alloys and non-metals and procedures and techniques for identifying them</w:t>
            </w:r>
          </w:p>
          <w:p w:rsidR="00000000" w:rsidRPr="006A2B5F" w:rsidP="006A2B5F">
            <w:pPr>
              <w:pStyle w:val="ListBullet"/>
            </w:pPr>
            <w:r w:rsidRPr="006A2B5F">
              <w:t>common surface soils and conditions</w:t>
            </w:r>
          </w:p>
          <w:p w:rsidR="00000000" w:rsidRPr="006A2B5F" w:rsidP="006A2B5F">
            <w:pPr>
              <w:pStyle w:val="ListBullet"/>
            </w:pPr>
            <w:r w:rsidRPr="006A2B5F">
              <w:t>procedures for identifying t</w:t>
            </w:r>
            <w:r w:rsidRPr="006A2B5F">
              <w:t>he type(s) of soil on surfaces to be finished</w:t>
            </w:r>
          </w:p>
          <w:p w:rsidR="00000000" w:rsidRPr="006A2B5F" w:rsidP="006A2B5F">
            <w:pPr>
              <w:pStyle w:val="ListBullet"/>
            </w:pPr>
            <w:r w:rsidRPr="006A2B5F">
              <w:t>simple tests that can be used to assist in identifying surface soils and conditions</w:t>
            </w:r>
          </w:p>
          <w:p w:rsidR="00000000" w:rsidRPr="006A2B5F" w:rsidP="006A2B5F">
            <w:pPr>
              <w:pStyle w:val="ListBullet"/>
            </w:pPr>
            <w:r w:rsidRPr="006A2B5F">
              <w:t>pre-treatment  processes applicable to a range of materials, surface soils and conditions</w:t>
            </w:r>
          </w:p>
          <w:p w:rsidR="00000000" w:rsidRPr="006A2B5F" w:rsidP="006A2B5F">
            <w:pPr>
              <w:pStyle w:val="ListBullet"/>
            </w:pPr>
            <w:r w:rsidRPr="006A2B5F">
              <w:t>procedures for carrying out pre-treatment  processes</w:t>
            </w:r>
          </w:p>
          <w:p w:rsidR="00000000" w:rsidRPr="006A2B5F" w:rsidP="006A2B5F">
            <w:pPr>
              <w:pStyle w:val="ListBullet"/>
            </w:pPr>
            <w:r w:rsidRPr="006A2B5F">
              <w:t>parameters and procedures for monitoring pre-treatment  processes</w:t>
            </w:r>
          </w:p>
          <w:p w:rsidR="00000000" w:rsidRPr="006A2B5F" w:rsidP="006A2B5F">
            <w:pPr>
              <w:pStyle w:val="ListBullet"/>
            </w:pPr>
            <w:r w:rsidRPr="006A2B5F">
              <w:t xml:space="preserve">hazards and control measures associated with pre-treatment </w:t>
            </w:r>
          </w:p>
          <w:p w:rsidR="00000000" w:rsidRPr="006A2B5F" w:rsidP="006A2B5F">
            <w:pPr>
              <w:pStyle w:val="ListBullet"/>
            </w:pPr>
            <w:r w:rsidRPr="006A2B5F">
              <w:t>use and application of personal protective equipment</w:t>
            </w:r>
          </w:p>
          <w:p w:rsidR="00000000" w:rsidRPr="006A2B5F" w:rsidP="006A2B5F">
            <w:pPr>
              <w:pStyle w:val="ListBullet"/>
            </w:pPr>
            <w:r w:rsidRPr="006A2B5F">
              <w:t xml:space="preserve">safe work practices and </w:t>
            </w:r>
            <w:r w:rsidRPr="006A2B5F">
              <w:t>procedures</w:t>
            </w:r>
          </w:p>
        </w:tc>
      </w:tr>
    </w:tbl>
    <w:p w:rsidR="0058676D" w:rsidP="006A2B5F">
      <w:pPr>
        <w:pStyle w:val="BodyText"/>
      </w:pPr>
    </w:p>
    <w:p w:rsidR="0058676D" w:rsidP="006A2B5F">
      <w:pPr>
        <w:pStyle w:val="BodyText"/>
      </w:pPr>
    </w:p>
    <w:p w:rsidR="00000000" w:rsidRPr="006A2B5F" w:rsidP="006A2B5F">
      <w:pPr>
        <w:pStyle w:val="AllowPageBreak"/>
      </w:pPr>
    </w:p>
    <w:p w:rsidR="00000000" w:rsidRPr="006A2B5F" w:rsidP="006A2B5F">
      <w:pPr>
        <w:pStyle w:val="Heading1"/>
      </w:pPr>
      <w:bookmarkStart w:id="10" w:name="O_244781"/>
      <w:bookmarkEnd w:id="10"/>
      <w:r w:rsidRPr="006A2B5F">
        <w:t>Evidence Guide</w:t>
      </w:r>
    </w:p>
    <w:tbl>
      <w:tblPr>
        <w:tblW w:w="9570" w:type="dxa"/>
        <w:tblLayout w:type="fixed"/>
        <w:tblCellMar>
          <w:left w:w="62" w:type="dxa"/>
          <w:right w:w="62" w:type="dxa"/>
        </w:tblCellMar>
        <w:tblLook w:val="0000"/>
      </w:tblPr>
      <w:tblGrid>
        <w:gridCol w:w="3908"/>
        <w:gridCol w:w="5662"/>
      </w:tblGrid>
      <w:tr w:rsidTr="0058676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B5F">
            <w:pPr>
              <w:pStyle w:val="BodyText"/>
              <w:rPr>
                <w:lang w:val="en-NZ"/>
              </w:rPr>
            </w:pPr>
            <w:r w:rsidRPr="006A2B5F">
              <w:rPr>
                <w:rStyle w:val="SpecialBold"/>
              </w:rPr>
              <w:t>EVIDENCE GUIDE</w:t>
            </w:r>
          </w:p>
        </w:tc>
      </w:tr>
      <w:tr w:rsidTr="0058676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B5F">
            <w:pPr>
              <w:pStyle w:val="BodyText"/>
              <w:rPr>
                <w:lang w:val="en-NZ"/>
              </w:rPr>
            </w:pPr>
            <w:r w:rsidRPr="006A2B5F">
              <w:t xml:space="preserve">The evidence guide provides advice on assessment and must be read in conjunction with the performance criteria, required skills and knowledge, </w:t>
            </w:r>
            <w:r w:rsidRPr="006A2B5F">
              <w:t>range statement and the Assessment Guidelines for the Training Package.</w:t>
            </w:r>
          </w:p>
        </w:tc>
      </w:tr>
      <w:tr w:rsidTr="005867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B5F">
            <w:pPr>
              <w:pStyle w:val="BodyText"/>
              <w:rPr>
                <w:lang w:val="en-NZ"/>
              </w:rPr>
            </w:pPr>
            <w:r w:rsidRPr="006A2B5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B5F">
            <w:pPr>
              <w:pStyle w:val="BodyText"/>
              <w:rPr>
                <w:lang w:val="en-NZ"/>
              </w:rPr>
            </w:pPr>
            <w:r w:rsidRPr="006A2B5F">
              <w:t xml:space="preserve">A person who demonstrates competency in this unit must be able to pre-treat common ferrous and non-ferrous materials. Competency in this unit </w:t>
            </w:r>
            <w:r w:rsidRPr="006A2B5F">
              <w:t>cannot be claimed until all prerequisites have been satisfied.</w:t>
            </w:r>
          </w:p>
        </w:tc>
      </w:tr>
      <w:tr w:rsidTr="005867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B5F">
            <w:pPr>
              <w:pStyle w:val="BodyText"/>
              <w:rPr>
                <w:lang w:val="en-NZ"/>
              </w:rPr>
            </w:pPr>
            <w:r w:rsidRPr="006A2B5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B5F">
            <w:pPr>
              <w:pStyle w:val="BodyText"/>
              <w:rPr>
                <w:lang w:val="en-NZ"/>
              </w:rPr>
            </w:pPr>
            <w:r w:rsidRPr="006A2B5F">
              <w:t>Assessors must be satisfied that the candidate can competently and consistently perform all element</w:t>
            </w:r>
            <w:r w:rsidRPr="006A2B5F">
              <w:t>s of the unit as specified by the criteria, including required knowledge, and be capable of applying the competency in new and different situations and contexts.</w:t>
            </w:r>
          </w:p>
        </w:tc>
      </w:tr>
      <w:tr w:rsidTr="005867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B5F">
            <w:pPr>
              <w:pStyle w:val="BodyText"/>
              <w:rPr>
                <w:lang w:val="en-NZ"/>
              </w:rPr>
            </w:pPr>
            <w:r w:rsidRPr="006A2B5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2B5F" w:rsidP="006A2B5F">
            <w:pPr>
              <w:pStyle w:val="BodyText"/>
            </w:pPr>
            <w:r w:rsidRPr="006A2B5F">
              <w:t>This unit may be assessed on the job, off th</w:t>
            </w:r>
            <w:r w:rsidRPr="006A2B5F">
              <w:t xml:space="preserve">e job or a combination of both on and off the job. Where assessment occurs off the job, that is the candidate is not in productive work, then an appropriate simulation must be used where the range of conditions reflects realistic workplace situations. The </w:t>
            </w:r>
            <w:r w:rsidRPr="006A2B5F">
              <w:t>competencies covered by this unit would be demonstrated by an individual working alone or as part of a team. The assessment environment should not disadvantage the candidate.</w:t>
            </w:r>
          </w:p>
          <w:p w:rsidR="00000000" w:rsidP="006A2B5F">
            <w:pPr>
              <w:pStyle w:val="BodyText"/>
              <w:rPr>
                <w:lang w:val="en-NZ"/>
              </w:rPr>
            </w:pPr>
            <w:r w:rsidRPr="006A2B5F">
              <w:t>This unit could be assessed in conjunction with any other units addressing the sa</w:t>
            </w:r>
            <w:r w:rsidRPr="006A2B5F">
              <w:t>fety, quality, communication, materials handling, recording and reporting associated with pre-treating common ferrous and non-ferrous materials or other units requiring the exercise of the skills and knowledge covered by this unit.</w:t>
            </w:r>
          </w:p>
        </w:tc>
      </w:tr>
      <w:tr w:rsidTr="005867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B5F">
            <w:pPr>
              <w:pStyle w:val="BodyText"/>
              <w:rPr>
                <w:lang w:val="en-NZ"/>
              </w:rPr>
            </w:pPr>
            <w:r w:rsidRPr="006A2B5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B5F">
            <w:pPr>
              <w:pStyle w:val="BodyText"/>
              <w:rPr>
                <w:lang w:val="en-NZ"/>
              </w:rPr>
            </w:pPr>
            <w:r w:rsidRPr="006A2B5F">
              <w:t>As</w:t>
            </w:r>
            <w:r w:rsidRPr="006A2B5F">
              <w:t>sessors should gather a range of evidence that is valid, sufficient, current and authentic. Evidence can be gathered through a variety of ways including direct observation, supervisor's reports, project work, samples and questioning. Questioning techniques</w:t>
            </w:r>
            <w:r w:rsidRPr="006A2B5F">
              <w:t xml:space="preserve"> should not require language, literacy and numeracy skills beyond those required in this unit of competency. The candidate must have access to all tools, equipment, materials and documentation required. The candidate must be permitted to refer to any relev</w:t>
            </w:r>
            <w:r w:rsidRPr="006A2B5F">
              <w:t>ant workplace procedures, product and manufacturing specifications, codes, standards, manuals and reference materials.</w:t>
            </w:r>
          </w:p>
        </w:tc>
      </w:tr>
      <w:tr w:rsidTr="005867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B5F">
            <w:pPr>
              <w:pStyle w:val="BodyText"/>
              <w:rPr>
                <w:lang w:val="en-NZ"/>
              </w:rPr>
            </w:pPr>
            <w:r w:rsidRPr="006A2B5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2B5F" w:rsidP="006A2B5F">
            <w:pPr>
              <w:pStyle w:val="BodyText"/>
            </w:pPr>
          </w:p>
        </w:tc>
      </w:tr>
    </w:tbl>
    <w:p w:rsidR="0058676D" w:rsidP="006A2B5F">
      <w:pPr>
        <w:pStyle w:val="BodyText"/>
      </w:pPr>
    </w:p>
    <w:p w:rsidR="0058676D" w:rsidP="006A2B5F">
      <w:pPr>
        <w:pStyle w:val="BodyText"/>
      </w:pPr>
    </w:p>
    <w:p w:rsidR="00000000" w:rsidRPr="006A2B5F" w:rsidP="006A2B5F">
      <w:pPr>
        <w:pStyle w:val="Heading1"/>
      </w:pPr>
      <w:bookmarkStart w:id="11" w:name="O_252764"/>
      <w:bookmarkEnd w:id="11"/>
      <w:r w:rsidRPr="006A2B5F">
        <w:t>Range Statement</w:t>
      </w:r>
    </w:p>
    <w:tbl>
      <w:tblPr>
        <w:tblW w:w="0" w:type="auto"/>
        <w:tblLayout w:type="fixed"/>
        <w:tblCellMar>
          <w:left w:w="62" w:type="dxa"/>
          <w:right w:w="62" w:type="dxa"/>
        </w:tblCellMar>
        <w:tblLook w:val="0000"/>
      </w:tblPr>
      <w:tblGrid>
        <w:gridCol w:w="3512"/>
        <w:gridCol w:w="5010"/>
      </w:tblGrid>
      <w:tr w:rsidTr="0058676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B5F">
            <w:pPr>
              <w:pStyle w:val="BodyText"/>
              <w:rPr>
                <w:lang w:val="en-NZ"/>
              </w:rPr>
            </w:pPr>
            <w:r w:rsidRPr="006A2B5F">
              <w:rPr>
                <w:rStyle w:val="SpecialBold"/>
              </w:rPr>
              <w:t>RANGE STATEMENT</w:t>
            </w:r>
          </w:p>
        </w:tc>
      </w:tr>
      <w:tr w:rsidTr="0058676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B5F">
            <w:pPr>
              <w:pStyle w:val="BodyText"/>
              <w:rPr>
                <w:lang w:val="en-NZ"/>
              </w:rPr>
            </w:pPr>
            <w:r w:rsidRPr="006A2B5F">
              <w:t>The range statement relates to the unit of competency as a whole. It allows for different work environments and situations that may affect performance. Bold italicised wording, if used in the performance criteria, is detailed below. Essential operating con</w:t>
            </w:r>
            <w:r w:rsidRPr="006A2B5F">
              <w:t>ditions that may be present with training and assessment (depending on the work situation, needs of the candidate, accessibility of the item, and local industry and regional contexts) may also be included.</w:t>
            </w:r>
          </w:p>
        </w:tc>
      </w:tr>
      <w:tr w:rsidTr="0058676D">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B5F">
            <w:pPr>
              <w:pStyle w:val="BodyText"/>
              <w:rPr>
                <w:lang w:val="en-NZ"/>
              </w:rPr>
            </w:pPr>
            <w:r w:rsidRPr="006A2B5F">
              <w:rPr>
                <w:rStyle w:val="SpecialBold"/>
              </w:rPr>
              <w:t>Common metals</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B5F">
            <w:pPr>
              <w:pStyle w:val="BodyText"/>
              <w:rPr>
                <w:lang w:val="en-NZ"/>
              </w:rPr>
            </w:pPr>
            <w:r w:rsidRPr="006A2B5F">
              <w:t>Steel, copper, brass, zinc, cast i</w:t>
            </w:r>
            <w:r w:rsidRPr="006A2B5F">
              <w:t>ron, stainless steel</w:t>
            </w:r>
          </w:p>
        </w:tc>
      </w:tr>
      <w:tr w:rsidTr="0058676D">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B5F">
            <w:pPr>
              <w:pStyle w:val="BodyText"/>
              <w:rPr>
                <w:lang w:val="en-NZ"/>
              </w:rPr>
            </w:pPr>
            <w:r w:rsidRPr="006A2B5F">
              <w:rPr>
                <w:rStyle w:val="SpecialBold"/>
              </w:rPr>
              <w:t>Surface soils and conditions</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B5F">
            <w:pPr>
              <w:pStyle w:val="BodyText"/>
              <w:rPr>
                <w:lang w:val="en-NZ"/>
              </w:rPr>
            </w:pPr>
            <w:r w:rsidRPr="006A2B5F">
              <w:t>Oils, greases, drawing compounds, cutting lubricants, buffing lubricants, rust and scale</w:t>
            </w:r>
          </w:p>
        </w:tc>
      </w:tr>
      <w:tr w:rsidTr="0058676D">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B5F">
            <w:pPr>
              <w:pStyle w:val="BodyText"/>
              <w:rPr>
                <w:lang w:val="en-NZ"/>
              </w:rPr>
            </w:pPr>
            <w:r w:rsidRPr="006A2B5F">
              <w:rPr>
                <w:rStyle w:val="SpecialBold"/>
              </w:rPr>
              <w:t>Pre-treatment processes</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B5F">
            <w:pPr>
              <w:pStyle w:val="BodyText"/>
              <w:rPr>
                <w:lang w:val="en-NZ"/>
              </w:rPr>
            </w:pPr>
            <w:r w:rsidRPr="006A2B5F">
              <w:t>Solvent degreasing, alkaline cleaning, pickling, acid dipping</w:t>
            </w:r>
          </w:p>
        </w:tc>
      </w:tr>
      <w:tr w:rsidTr="0058676D">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B5F">
            <w:pPr>
              <w:pStyle w:val="BodyText"/>
              <w:rPr>
                <w:lang w:val="en-NZ"/>
              </w:rPr>
            </w:pPr>
            <w:r w:rsidRPr="006A2B5F">
              <w:rPr>
                <w:rStyle w:val="SpecialBold"/>
              </w:rPr>
              <w:t>Process parameters</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2B5F" w:rsidP="006A2B5F">
            <w:pPr>
              <w:pStyle w:val="BodyText"/>
            </w:pPr>
            <w:r w:rsidRPr="006A2B5F">
              <w:t>Temperature, time, currents, solution concentrate</w:t>
            </w:r>
          </w:p>
        </w:tc>
      </w:tr>
    </w:tbl>
    <w:p w:rsidR="0058676D" w:rsidP="006A2B5F">
      <w:pPr>
        <w:pStyle w:val="BodyText"/>
      </w:pPr>
    </w:p>
    <w:p w:rsidR="0058676D" w:rsidP="006A2B5F">
      <w:pPr>
        <w:pStyle w:val="BodyText"/>
      </w:pPr>
    </w:p>
    <w:p w:rsidR="00000000" w:rsidRPr="006A2B5F" w:rsidP="006A2B5F">
      <w:pPr>
        <w:pStyle w:val="Heading1"/>
      </w:pPr>
      <w:bookmarkStart w:id="12" w:name="O_211032"/>
      <w:bookmarkEnd w:id="12"/>
      <w:r w:rsidRPr="006A2B5F">
        <w:t>Unit Sector(s)</w:t>
      </w:r>
    </w:p>
    <w:tbl>
      <w:tblPr>
        <w:tblW w:w="0" w:type="auto"/>
        <w:tblLayout w:type="fixed"/>
        <w:tblCellMar>
          <w:left w:w="62" w:type="dxa"/>
          <w:right w:w="62" w:type="dxa"/>
        </w:tblCellMar>
        <w:tblLook w:val="0000"/>
      </w:tblPr>
      <w:tblGrid>
        <w:gridCol w:w="2654"/>
        <w:gridCol w:w="5868"/>
      </w:tblGrid>
      <w:tr w:rsidTr="0058676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B5F">
            <w:pPr>
              <w:pStyle w:val="BodyText"/>
              <w:rPr>
                <w:lang w:val="en-NZ"/>
              </w:rPr>
            </w:pPr>
            <w:r w:rsidRPr="006A2B5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2B5F" w:rsidP="006A2B5F">
            <w:pPr>
              <w:pStyle w:val="BodyText"/>
            </w:pPr>
          </w:p>
        </w:tc>
      </w:tr>
    </w:tbl>
    <w:p w:rsidR="0058676D" w:rsidP="006A2B5F">
      <w:pPr>
        <w:pStyle w:val="BodyText"/>
      </w:pPr>
    </w:p>
    <w:p w:rsidR="0058676D" w:rsidP="006A2B5F">
      <w:pPr>
        <w:pStyle w:val="BodyText"/>
      </w:pPr>
    </w:p>
    <w:p w:rsidR="00000000" w:rsidRPr="006A2B5F" w:rsidP="006A2B5F">
      <w:pPr>
        <w:pStyle w:val="Heading1"/>
      </w:pPr>
      <w:bookmarkStart w:id="13" w:name="O_211029"/>
      <w:bookmarkEnd w:id="13"/>
      <w:r w:rsidRPr="006A2B5F">
        <w:t>Co-requisite units</w:t>
      </w:r>
    </w:p>
    <w:tbl>
      <w:tblPr>
        <w:tblW w:w="0" w:type="auto"/>
        <w:tblLayout w:type="fixed"/>
        <w:tblCellMar>
          <w:left w:w="62" w:type="dxa"/>
          <w:right w:w="62" w:type="dxa"/>
        </w:tblCellMar>
        <w:tblLook w:val="0000"/>
      </w:tblPr>
      <w:tblGrid>
        <w:gridCol w:w="2641"/>
        <w:gridCol w:w="1322"/>
        <w:gridCol w:w="4559"/>
      </w:tblGrid>
      <w:tr w:rsidTr="0058676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B5F">
            <w:pPr>
              <w:pStyle w:val="BodyText"/>
              <w:rPr>
                <w:lang w:val="en-NZ"/>
              </w:rPr>
            </w:pPr>
            <w:r w:rsidRPr="006A2B5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B5F">
            <w:pPr>
              <w:pStyle w:val="BodyText"/>
              <w:rPr>
                <w:lang w:val="en-NZ"/>
              </w:rPr>
            </w:pPr>
          </w:p>
        </w:tc>
      </w:tr>
      <w:tr w:rsidTr="0058676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B5F">
            <w:pPr>
              <w:pStyle w:val="BodyText"/>
              <w:rPr>
                <w:lang w:val="en-NZ"/>
              </w:rPr>
            </w:pPr>
          </w:p>
        </w:tc>
      </w:tr>
      <w:tr w:rsidTr="0058676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2B5F" w:rsidP="006A2B5F">
            <w:pPr>
              <w:pStyle w:val="BodyText"/>
            </w:pPr>
          </w:p>
        </w:tc>
      </w:tr>
    </w:tbl>
    <w:p w:rsidR="0058676D" w:rsidP="006A2B5F">
      <w:pPr>
        <w:pStyle w:val="BodyText"/>
      </w:pPr>
    </w:p>
    <w:p w:rsidR="0058676D" w:rsidP="006A2B5F">
      <w:pPr>
        <w:pStyle w:val="BodyText"/>
      </w:pPr>
    </w:p>
    <w:p w:rsidR="00000000" w:rsidRPr="006A2B5F" w:rsidP="006A2B5F">
      <w:pPr>
        <w:pStyle w:val="Heading1"/>
      </w:pPr>
      <w:bookmarkStart w:id="14" w:name="O_211031"/>
      <w:bookmarkEnd w:id="14"/>
      <w:r w:rsidRPr="006A2B5F">
        <w:t>Competency field</w:t>
      </w:r>
    </w:p>
    <w:tbl>
      <w:tblPr>
        <w:tblW w:w="0" w:type="auto"/>
        <w:tblLayout w:type="fixed"/>
        <w:tblCellMar>
          <w:left w:w="62" w:type="dxa"/>
          <w:right w:w="62" w:type="dxa"/>
        </w:tblCellMar>
        <w:tblLook w:val="0000"/>
      </w:tblPr>
      <w:tblGrid>
        <w:gridCol w:w="2778"/>
        <w:gridCol w:w="5744"/>
      </w:tblGrid>
      <w:tr w:rsidTr="0058676D">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B5F">
            <w:pPr>
              <w:pStyle w:val="BodyText"/>
              <w:rPr>
                <w:lang w:val="en-NZ"/>
              </w:rPr>
            </w:pPr>
            <w:r w:rsidRPr="006A2B5F">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2B5F" w:rsidP="006A2B5F">
            <w:pPr>
              <w:pStyle w:val="BodyText"/>
            </w:pPr>
            <w:r w:rsidRPr="006A2B5F">
              <w:t>Surface finishing</w:t>
            </w:r>
          </w:p>
        </w:tc>
      </w:tr>
    </w:tbl>
    <w:p w:rsidR="0058676D" w:rsidP="006A2B5F">
      <w:pPr>
        <w:pStyle w:val="BodyText"/>
      </w:pPr>
    </w:p>
    <w:p w:rsidR="0058676D" w:rsidP="006A2B5F">
      <w:pPr>
        <w:pStyle w:val="BodyText"/>
      </w:pPr>
    </w:p>
    <w:p w:rsidR="00000000" w:rsidRPr="006A2B5F" w:rsidP="006A2B5F"/>
    <w:sectPr w:rsidSect="006A2B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B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676D" w:rsidP="005867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B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76D" w:rsidP="006A2B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8676D" w:rsidP="006A2B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8676D" w:rsidP="006A2B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B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676D" w:rsidP="0058676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B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76D" w:rsidP="006A2B5F">
    <w:pPr>
      <w:pStyle w:val="Header"/>
      <w:framePr w:wrap="around"/>
    </w:pPr>
    <w:r>
      <w:fldChar w:fldCharType="begin"/>
    </w:r>
    <w:r>
      <w:instrText xml:space="preserve"> TITLE   \* MERGEFORMAT </w:instrText>
    </w:r>
    <w:r>
      <w:fldChar w:fldCharType="separate"/>
    </w:r>
    <w:r>
      <w:t>MEM08002C Pre-treat work for subsequent surface coating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8676D" w:rsidP="006A2B5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C65F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F2234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2B5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A2B5F"/>
    <w:pPr>
      <w:spacing w:before="360" w:after="60"/>
      <w:outlineLvl w:val="0"/>
    </w:pPr>
    <w:rPr>
      <w:sz w:val="32"/>
    </w:rPr>
  </w:style>
  <w:style w:type="paragraph" w:styleId="Heading2">
    <w:name w:val="heading 2"/>
    <w:basedOn w:val="HeadingBase"/>
    <w:next w:val="BodyText"/>
    <w:link w:val="Heading2Char"/>
    <w:qFormat/>
    <w:rsid w:val="006A2B5F"/>
    <w:pPr>
      <w:keepLines/>
      <w:spacing w:before="240" w:after="120"/>
      <w:outlineLvl w:val="1"/>
    </w:pPr>
    <w:rPr>
      <w:sz w:val="28"/>
      <w:szCs w:val="40"/>
    </w:rPr>
  </w:style>
  <w:style w:type="paragraph" w:styleId="Heading3">
    <w:name w:val="heading 3"/>
    <w:basedOn w:val="HeadingBase"/>
    <w:next w:val="BodyText"/>
    <w:link w:val="Heading3Char"/>
    <w:qFormat/>
    <w:rsid w:val="006A2B5F"/>
    <w:pPr>
      <w:spacing w:before="180" w:after="120"/>
      <w:outlineLvl w:val="2"/>
    </w:pPr>
    <w:rPr>
      <w:spacing w:val="-10"/>
      <w:kern w:val="32"/>
    </w:rPr>
  </w:style>
  <w:style w:type="paragraph" w:styleId="Heading4">
    <w:name w:val="heading 4"/>
    <w:basedOn w:val="HeadingBase"/>
    <w:next w:val="BodyText"/>
    <w:link w:val="Heading4Char"/>
    <w:qFormat/>
    <w:rsid w:val="006A2B5F"/>
    <w:pPr>
      <w:spacing w:before="160" w:after="120"/>
      <w:outlineLvl w:val="3"/>
    </w:pPr>
    <w:rPr>
      <w:sz w:val="22"/>
    </w:rPr>
  </w:style>
  <w:style w:type="paragraph" w:styleId="Heading5">
    <w:name w:val="heading 5"/>
    <w:basedOn w:val="HeadingBase"/>
    <w:next w:val="Normal"/>
    <w:link w:val="Heading5Char"/>
    <w:qFormat/>
    <w:rsid w:val="006A2B5F"/>
    <w:pPr>
      <w:spacing w:before="80"/>
      <w:outlineLvl w:val="4"/>
    </w:pPr>
    <w:rPr>
      <w:color w:val="918585"/>
      <w:sz w:val="20"/>
    </w:rPr>
  </w:style>
  <w:style w:type="paragraph" w:styleId="Heading6">
    <w:name w:val="heading 6"/>
    <w:basedOn w:val="HeadingBase"/>
    <w:next w:val="Normal"/>
    <w:link w:val="Heading6Char"/>
    <w:qFormat/>
    <w:rsid w:val="006A2B5F"/>
    <w:pPr>
      <w:spacing w:before="60"/>
      <w:outlineLvl w:val="5"/>
    </w:pPr>
    <w:rPr>
      <w:color w:val="918585"/>
      <w:sz w:val="20"/>
    </w:rPr>
  </w:style>
  <w:style w:type="paragraph" w:styleId="Heading7">
    <w:name w:val="heading 7"/>
    <w:basedOn w:val="Normal"/>
    <w:next w:val="Normal"/>
    <w:link w:val="Heading7Char"/>
    <w:qFormat/>
    <w:rsid w:val="006A2B5F"/>
    <w:pPr>
      <w:ind w:left="720"/>
      <w:outlineLvl w:val="6"/>
    </w:pPr>
    <w:rPr>
      <w:i/>
    </w:rPr>
  </w:style>
  <w:style w:type="paragraph" w:styleId="Heading8">
    <w:name w:val="heading 8"/>
    <w:basedOn w:val="Normal"/>
    <w:next w:val="Normal"/>
    <w:link w:val="Heading8Char"/>
    <w:qFormat/>
    <w:rsid w:val="006A2B5F"/>
    <w:pPr>
      <w:ind w:left="720"/>
      <w:outlineLvl w:val="7"/>
    </w:pPr>
    <w:rPr>
      <w:i/>
    </w:rPr>
  </w:style>
  <w:style w:type="paragraph" w:styleId="Heading9">
    <w:name w:val="heading 9"/>
    <w:basedOn w:val="Normal"/>
    <w:next w:val="Normal"/>
    <w:link w:val="Heading9Char"/>
    <w:qFormat/>
    <w:rsid w:val="006A2B5F"/>
    <w:pPr>
      <w:ind w:left="720"/>
      <w:outlineLvl w:val="8"/>
    </w:pPr>
    <w:rPr>
      <w:i/>
    </w:rPr>
  </w:style>
  <w:style w:type="character" w:default="1" w:styleId="DefaultParagraphFont">
    <w:name w:val="Default Paragraph Font"/>
    <w:uiPriority w:val="1"/>
    <w:unhideWhenUsed/>
    <w:rsid w:val="006A2B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2B5F"/>
  </w:style>
  <w:style w:type="character" w:customStyle="1" w:styleId="Heading1Char">
    <w:name w:val="Heading 1 Char"/>
    <w:basedOn w:val="DefaultParagraphFont"/>
    <w:link w:val="Heading1"/>
    <w:rsid w:val="006A2B5F"/>
    <w:rPr>
      <w:rFonts w:ascii="Times New Roman" w:eastAsia="Times New Roman" w:hAnsi="Times New Roman" w:cs="Times New Roman"/>
      <w:b/>
      <w:sz w:val="32"/>
      <w:szCs w:val="20"/>
      <w:lang w:eastAsia="en-US"/>
    </w:rPr>
  </w:style>
  <w:style w:type="paragraph" w:styleId="BodyText">
    <w:name w:val="Body Text"/>
    <w:basedOn w:val="Normal"/>
    <w:link w:val="BodyTextChar"/>
    <w:rsid w:val="006A2B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2B5F"/>
    <w:rPr>
      <w:rFonts w:ascii="Times New Roman" w:eastAsia="Times New Roman" w:hAnsi="Times New Roman" w:cs="Times New Roman"/>
      <w:sz w:val="24"/>
      <w:lang w:val="en-US" w:eastAsia="en-US"/>
    </w:rPr>
  </w:style>
  <w:style w:type="paragraph" w:styleId="Footer">
    <w:name w:val="footer"/>
    <w:basedOn w:val="Normal"/>
    <w:link w:val="FooterChar"/>
    <w:rsid w:val="006A2B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2B5F"/>
    <w:rPr>
      <w:rFonts w:ascii="Times New Roman" w:eastAsia="Times New Roman" w:hAnsi="Times New Roman" w:cs="Times New Roman"/>
      <w:sz w:val="16"/>
      <w:lang w:val="en-US" w:eastAsia="en-US"/>
    </w:rPr>
  </w:style>
  <w:style w:type="paragraph" w:styleId="List">
    <w:name w:val="List"/>
    <w:basedOn w:val="BodyText"/>
    <w:next w:val="BodyText"/>
    <w:rsid w:val="006A2B5F"/>
    <w:pPr>
      <w:tabs>
        <w:tab w:val="left" w:pos="340"/>
      </w:tabs>
      <w:spacing w:before="60" w:after="60"/>
      <w:ind w:left="340" w:hanging="340"/>
    </w:pPr>
  </w:style>
  <w:style w:type="paragraph" w:styleId="ListBullet">
    <w:name w:val="List Bullet"/>
    <w:basedOn w:val="List"/>
    <w:rsid w:val="006A2B5F"/>
    <w:pPr>
      <w:numPr>
        <w:numId w:val="12"/>
      </w:numPr>
      <w:tabs>
        <w:tab w:val="clear" w:pos="340"/>
      </w:tabs>
      <w:spacing w:before="40" w:after="40"/>
    </w:pPr>
  </w:style>
  <w:style w:type="character" w:customStyle="1" w:styleId="SpecialBold">
    <w:name w:val="Special Bold"/>
    <w:basedOn w:val="DefaultParagraphFont"/>
    <w:rsid w:val="006A2B5F"/>
    <w:rPr>
      <w:b/>
      <w:spacing w:val="0"/>
    </w:rPr>
  </w:style>
  <w:style w:type="paragraph" w:styleId="Header">
    <w:name w:val="header"/>
    <w:basedOn w:val="Normal"/>
    <w:link w:val="HeaderChar"/>
    <w:rsid w:val="006A2B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2B5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A2B5F"/>
    <w:pPr>
      <w:spacing w:before="240" w:after="120"/>
      <w:outlineLvl w:val="0"/>
    </w:pPr>
    <w:rPr>
      <w:rFonts w:ascii="Times New Roman" w:hAnsi="Times New Roman"/>
      <w:b/>
      <w:sz w:val="28"/>
    </w:rPr>
  </w:style>
  <w:style w:type="paragraph" w:customStyle="1" w:styleId="AllowPageBreak">
    <w:name w:val="AllowPageBreak"/>
    <w:rsid w:val="006A2B5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A2B5F"/>
    <w:pPr>
      <w:tabs>
        <w:tab w:val="left" w:pos="680"/>
      </w:tabs>
      <w:spacing w:before="60" w:after="60"/>
      <w:ind w:left="680" w:hanging="340"/>
    </w:pPr>
  </w:style>
  <w:style w:type="character" w:customStyle="1" w:styleId="Heading2Char">
    <w:name w:val="Heading 2 Char"/>
    <w:basedOn w:val="DefaultParagraphFont"/>
    <w:link w:val="Heading2"/>
    <w:rsid w:val="006A2B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2B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2B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2B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2B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2B5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A2B5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A2B5F"/>
    <w:rPr>
      <w:rFonts w:ascii="Courier New" w:eastAsia="Times New Roman" w:hAnsi="Courier New" w:cs="Times New Roman"/>
      <w:i/>
      <w:szCs w:val="20"/>
      <w:lang w:val="en-US" w:eastAsia="en-US"/>
    </w:rPr>
  </w:style>
  <w:style w:type="paragraph" w:customStyle="1" w:styleId="HeadingBase">
    <w:name w:val="Heading Base"/>
    <w:rsid w:val="006A2B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2B5F"/>
    <w:pPr>
      <w:tabs>
        <w:tab w:val="right" w:leader="dot" w:pos="9072"/>
      </w:tabs>
      <w:ind w:left="567"/>
    </w:pPr>
    <w:rPr>
      <w:szCs w:val="22"/>
    </w:rPr>
  </w:style>
  <w:style w:type="paragraph" w:customStyle="1" w:styleId="TOCBase">
    <w:name w:val="TOC Base"/>
    <w:rsid w:val="006A2B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2B5F"/>
    <w:pPr>
      <w:tabs>
        <w:tab w:val="right" w:leader="dot" w:pos="9072"/>
      </w:tabs>
      <w:spacing w:before="40" w:after="40"/>
      <w:ind w:left="284"/>
    </w:pPr>
    <w:rPr>
      <w:rFonts w:ascii="Times New Roman" w:hAnsi="Times New Roman"/>
    </w:rPr>
  </w:style>
  <w:style w:type="paragraph" w:styleId="TOC1">
    <w:name w:val="toc 1"/>
    <w:basedOn w:val="TOCBase"/>
    <w:next w:val="Normal"/>
    <w:rsid w:val="006A2B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2B5F"/>
    <w:pPr>
      <w:spacing w:before="5040"/>
      <w:jc w:val="center"/>
    </w:pPr>
    <w:rPr>
      <w:sz w:val="48"/>
      <w:szCs w:val="72"/>
      <w:lang w:val="en-US"/>
    </w:rPr>
  </w:style>
  <w:style w:type="character" w:customStyle="1" w:styleId="TitleChar">
    <w:name w:val="Title Char"/>
    <w:basedOn w:val="DefaultParagraphFont"/>
    <w:link w:val="Title"/>
    <w:rsid w:val="006A2B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2B5F"/>
    <w:pPr>
      <w:tabs>
        <w:tab w:val="left" w:pos="3600"/>
        <w:tab w:val="left" w:pos="3958"/>
      </w:tabs>
    </w:pPr>
  </w:style>
  <w:style w:type="paragraph" w:customStyle="1" w:styleId="Note">
    <w:name w:val="Note"/>
    <w:basedOn w:val="BodyText"/>
    <w:rsid w:val="006A2B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2B5F"/>
    <w:pPr>
      <w:framePr w:wrap="auto" w:hAnchor="text" w:y="6049"/>
    </w:pPr>
    <w:rPr>
      <w:color w:val="000000"/>
      <w:sz w:val="40"/>
    </w:rPr>
  </w:style>
  <w:style w:type="paragraph" w:customStyle="1" w:styleId="TOCTitle">
    <w:name w:val="TOCTitle"/>
    <w:basedOn w:val="Heading1"/>
    <w:rsid w:val="006A2B5F"/>
    <w:pPr>
      <w:spacing w:after="240"/>
      <w:jc w:val="center"/>
      <w:outlineLvl w:val="9"/>
    </w:pPr>
    <w:rPr>
      <w:caps/>
    </w:rPr>
  </w:style>
  <w:style w:type="paragraph" w:customStyle="1" w:styleId="Version">
    <w:name w:val="Version"/>
    <w:rsid w:val="006A2B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2B5F"/>
    <w:pPr>
      <w:numPr>
        <w:numId w:val="13"/>
      </w:numPr>
      <w:tabs>
        <w:tab w:val="clear" w:pos="680"/>
      </w:tabs>
    </w:pPr>
  </w:style>
  <w:style w:type="paragraph" w:styleId="Index1">
    <w:name w:val="index 1"/>
    <w:basedOn w:val="Normal"/>
    <w:next w:val="Normal"/>
    <w:semiHidden/>
    <w:rsid w:val="006A2B5F"/>
    <w:pPr>
      <w:keepNext w:val="0"/>
      <w:tabs>
        <w:tab w:val="right" w:pos="4176"/>
      </w:tabs>
      <w:ind w:left="198" w:hanging="198"/>
    </w:pPr>
    <w:rPr>
      <w:rFonts w:ascii="Garamond" w:hAnsi="Garamond"/>
    </w:rPr>
  </w:style>
  <w:style w:type="paragraph" w:styleId="IndexHeading">
    <w:name w:val="index heading"/>
    <w:basedOn w:val="Normal"/>
    <w:next w:val="Index1"/>
    <w:semiHidden/>
    <w:rsid w:val="006A2B5F"/>
    <w:pPr>
      <w:spacing w:before="120" w:after="120"/>
    </w:pPr>
    <w:rPr>
      <w:rFonts w:ascii="Arial" w:hAnsi="Arial"/>
      <w:b/>
      <w:color w:val="918585"/>
      <w:sz w:val="24"/>
    </w:rPr>
  </w:style>
  <w:style w:type="paragraph" w:customStyle="1" w:styleId="Chapter">
    <w:name w:val="Chapter"/>
    <w:basedOn w:val="Normal"/>
    <w:rsid w:val="006A2B5F"/>
    <w:pPr>
      <w:spacing w:before="240"/>
    </w:pPr>
    <w:rPr>
      <w:rFonts w:ascii="Times New Roman" w:hAnsi="Times New Roman"/>
      <w:smallCaps/>
      <w:spacing w:val="80"/>
      <w:sz w:val="28"/>
    </w:rPr>
  </w:style>
  <w:style w:type="paragraph" w:customStyle="1" w:styleId="InChapter">
    <w:name w:val="InChapter"/>
    <w:basedOn w:val="Heading3"/>
    <w:rsid w:val="006A2B5F"/>
    <w:pPr>
      <w:spacing w:after="240"/>
      <w:outlineLvl w:val="9"/>
    </w:pPr>
    <w:rPr>
      <w:noProof/>
    </w:rPr>
  </w:style>
  <w:style w:type="paragraph" w:styleId="Index2">
    <w:name w:val="index 2"/>
    <w:basedOn w:val="Normal"/>
    <w:next w:val="Normal"/>
    <w:semiHidden/>
    <w:rsid w:val="006A2B5F"/>
    <w:pPr>
      <w:tabs>
        <w:tab w:val="right" w:pos="4176"/>
      </w:tabs>
      <w:ind w:left="568" w:hanging="284"/>
    </w:pPr>
    <w:rPr>
      <w:rFonts w:ascii="Garamond" w:hAnsi="Garamond"/>
    </w:rPr>
  </w:style>
  <w:style w:type="paragraph" w:customStyle="1" w:styleId="Byline">
    <w:name w:val="Byline"/>
    <w:rsid w:val="006A2B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2B5F"/>
    <w:pPr>
      <w:tabs>
        <w:tab w:val="clear" w:pos="3600"/>
        <w:tab w:val="clear" w:pos="3958"/>
      </w:tabs>
      <w:jc w:val="right"/>
    </w:pPr>
  </w:style>
  <w:style w:type="character" w:styleId="Emphasis">
    <w:name w:val="Emphasis"/>
    <w:basedOn w:val="DefaultParagraphFont"/>
    <w:qFormat/>
    <w:rsid w:val="006A2B5F"/>
    <w:rPr>
      <w:i/>
    </w:rPr>
  </w:style>
  <w:style w:type="paragraph" w:styleId="Caption">
    <w:name w:val="caption"/>
    <w:basedOn w:val="BodyText"/>
    <w:next w:val="Normal"/>
    <w:qFormat/>
    <w:rsid w:val="006A2B5F"/>
    <w:pPr>
      <w:framePr w:w="2268" w:hSpace="181" w:vSpace="181" w:wrap="around" w:vAnchor="text" w:hAnchor="page" w:x="1135" w:y="285" w:anchorLock="1"/>
    </w:pPr>
    <w:rPr>
      <w:i/>
    </w:rPr>
  </w:style>
  <w:style w:type="paragraph" w:customStyle="1" w:styleId="MiniTOCTitle">
    <w:name w:val="MiniTOCTitle"/>
    <w:basedOn w:val="Heading4"/>
    <w:rsid w:val="006A2B5F"/>
    <w:pPr>
      <w:spacing w:before="240"/>
      <w:outlineLvl w:val="9"/>
    </w:pPr>
    <w:rPr>
      <w:noProof/>
      <w:sz w:val="24"/>
    </w:rPr>
  </w:style>
  <w:style w:type="paragraph" w:customStyle="1" w:styleId="MiniTOCItem">
    <w:name w:val="MiniTOCItem"/>
    <w:basedOn w:val="ListBullet"/>
    <w:rsid w:val="006A2B5F"/>
    <w:pPr>
      <w:numPr>
        <w:numId w:val="0"/>
      </w:numPr>
      <w:tabs>
        <w:tab w:val="right" w:leader="dot" w:pos="6521"/>
      </w:tabs>
      <w:spacing w:before="0" w:after="0"/>
    </w:pPr>
  </w:style>
  <w:style w:type="paragraph" w:customStyle="1" w:styleId="TOFTitle">
    <w:name w:val="TOFTitle"/>
    <w:basedOn w:val="TOCTitle"/>
    <w:rsid w:val="006A2B5F"/>
  </w:style>
  <w:style w:type="paragraph" w:styleId="TableofFigures">
    <w:name w:val="table of figures"/>
    <w:basedOn w:val="Normal"/>
    <w:next w:val="Normal"/>
    <w:semiHidden/>
    <w:rsid w:val="006A2B5F"/>
    <w:pPr>
      <w:tabs>
        <w:tab w:val="right" w:leader="dot" w:pos="9072"/>
      </w:tabs>
      <w:ind w:left="970" w:hanging="403"/>
    </w:pPr>
    <w:rPr>
      <w:rFonts w:ascii="Times New Roman" w:hAnsi="Times New Roman"/>
      <w:b/>
    </w:rPr>
  </w:style>
  <w:style w:type="paragraph" w:styleId="ListNumber">
    <w:name w:val="List Number"/>
    <w:basedOn w:val="List"/>
    <w:rsid w:val="006A2B5F"/>
    <w:pPr>
      <w:numPr>
        <w:numId w:val="10"/>
      </w:numPr>
    </w:pPr>
  </w:style>
  <w:style w:type="character" w:customStyle="1" w:styleId="WingdingSymbols">
    <w:name w:val="Wingding Symbols"/>
    <w:rsid w:val="006A2B5F"/>
    <w:rPr>
      <w:rFonts w:ascii="Wingdings" w:hAnsi="Wingdings"/>
    </w:rPr>
  </w:style>
  <w:style w:type="paragraph" w:customStyle="1" w:styleId="TableHeading">
    <w:name w:val="Table Heading"/>
    <w:basedOn w:val="HeadingBase"/>
    <w:rsid w:val="006A2B5F"/>
    <w:pPr>
      <w:keepLines/>
      <w:pBdr>
        <w:bottom w:val="single" w:sz="6" w:space="1" w:color="918585"/>
      </w:pBdr>
      <w:spacing w:before="240"/>
    </w:pPr>
  </w:style>
  <w:style w:type="character" w:customStyle="1" w:styleId="HotSpot">
    <w:name w:val="HotSpot"/>
    <w:rsid w:val="006A2B5F"/>
    <w:rPr>
      <w:color w:val="0033CC"/>
      <w:u w:val="none"/>
    </w:rPr>
  </w:style>
  <w:style w:type="paragraph" w:customStyle="1" w:styleId="BodyTextRight">
    <w:name w:val="Body Text Right"/>
    <w:basedOn w:val="BodyText"/>
    <w:rsid w:val="006A2B5F"/>
    <w:pPr>
      <w:spacing w:before="0" w:after="0"/>
      <w:jc w:val="right"/>
    </w:pPr>
  </w:style>
  <w:style w:type="paragraph" w:styleId="Index3">
    <w:name w:val="index 3"/>
    <w:basedOn w:val="ListNumber2"/>
    <w:next w:val="Normal"/>
    <w:semiHidden/>
    <w:rsid w:val="006A2B5F"/>
    <w:pPr>
      <w:numPr>
        <w:numId w:val="0"/>
      </w:numPr>
      <w:tabs>
        <w:tab w:val="right" w:leader="dot" w:pos="4176"/>
      </w:tabs>
    </w:pPr>
  </w:style>
  <w:style w:type="paragraph" w:styleId="ListNumber2">
    <w:name w:val="List Number 2"/>
    <w:basedOn w:val="List2"/>
    <w:rsid w:val="006A2B5F"/>
    <w:pPr>
      <w:numPr>
        <w:numId w:val="9"/>
      </w:numPr>
      <w:tabs>
        <w:tab w:val="clear" w:pos="1060"/>
      </w:tabs>
    </w:pPr>
  </w:style>
  <w:style w:type="paragraph" w:customStyle="1" w:styleId="MarginNote">
    <w:name w:val="Margin Note"/>
    <w:basedOn w:val="BodyText"/>
    <w:rsid w:val="006A2B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2B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2B5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A2B5F"/>
    <w:rPr>
      <w:sz w:val="32"/>
    </w:rPr>
  </w:style>
  <w:style w:type="paragraph" w:customStyle="1" w:styleId="HeadingProcedure">
    <w:name w:val="Heading Procedure"/>
    <w:basedOn w:val="HeadingBase"/>
    <w:next w:val="Normal"/>
    <w:rsid w:val="006A2B5F"/>
    <w:pPr>
      <w:tabs>
        <w:tab w:val="left" w:pos="0"/>
      </w:tabs>
      <w:spacing w:before="120" w:after="60"/>
    </w:pPr>
    <w:rPr>
      <w:i/>
      <w:color w:val="918585"/>
      <w:sz w:val="22"/>
    </w:rPr>
  </w:style>
  <w:style w:type="paragraph" w:customStyle="1" w:styleId="TableBodyText">
    <w:name w:val="Table Body Text"/>
    <w:basedOn w:val="BodyText"/>
    <w:rsid w:val="006A2B5F"/>
    <w:pPr>
      <w:spacing w:before="60" w:after="60"/>
    </w:pPr>
  </w:style>
  <w:style w:type="paragraph" w:styleId="ListContinue">
    <w:name w:val="List Continue"/>
    <w:basedOn w:val="List"/>
    <w:rsid w:val="006A2B5F"/>
    <w:pPr>
      <w:ind w:firstLine="0"/>
    </w:pPr>
  </w:style>
  <w:style w:type="paragraph" w:customStyle="1" w:styleId="ListNote">
    <w:name w:val="List Note"/>
    <w:basedOn w:val="List"/>
    <w:rsid w:val="006A2B5F"/>
    <w:pPr>
      <w:pBdr>
        <w:top w:val="single" w:sz="6" w:space="2" w:color="918585"/>
        <w:bottom w:val="single" w:sz="6" w:space="2" w:color="918585"/>
      </w:pBdr>
      <w:tabs>
        <w:tab w:val="left" w:pos="1021"/>
      </w:tabs>
      <w:ind w:firstLine="0"/>
    </w:pPr>
  </w:style>
  <w:style w:type="paragraph" w:customStyle="1" w:styleId="Warning">
    <w:name w:val="Warning"/>
    <w:basedOn w:val="BodyText"/>
    <w:rsid w:val="006A2B5F"/>
    <w:pPr>
      <w:shd w:val="clear" w:color="auto" w:fill="D9D9D9"/>
      <w:tabs>
        <w:tab w:val="left" w:pos="992"/>
      </w:tabs>
      <w:ind w:left="119" w:right="119"/>
    </w:pPr>
    <w:rPr>
      <w:sz w:val="20"/>
    </w:rPr>
  </w:style>
  <w:style w:type="paragraph" w:customStyle="1" w:styleId="MarginIcons">
    <w:name w:val="Margin Icons"/>
    <w:basedOn w:val="BodyText"/>
    <w:rsid w:val="006A2B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2B5F"/>
    <w:rPr>
      <w:rFonts w:ascii="Courier New" w:hAnsi="Courier New"/>
    </w:rPr>
  </w:style>
  <w:style w:type="paragraph" w:customStyle="1" w:styleId="NoteBullet">
    <w:name w:val="Note Bullet"/>
    <w:basedOn w:val="Note"/>
    <w:rsid w:val="006A2B5F"/>
    <w:pPr>
      <w:tabs>
        <w:tab w:val="clear" w:pos="680"/>
      </w:tabs>
      <w:spacing w:before="60" w:after="60"/>
    </w:pPr>
  </w:style>
  <w:style w:type="paragraph" w:customStyle="1" w:styleId="SubHeading2">
    <w:name w:val="SubHeading2"/>
    <w:basedOn w:val="HeadingBase"/>
    <w:rsid w:val="006A2B5F"/>
    <w:pPr>
      <w:spacing w:before="240" w:after="60"/>
    </w:pPr>
    <w:rPr>
      <w:sz w:val="20"/>
    </w:rPr>
  </w:style>
  <w:style w:type="paragraph" w:customStyle="1" w:styleId="SubHeading1">
    <w:name w:val="SubHeading1"/>
    <w:basedOn w:val="HeadingBase"/>
    <w:rsid w:val="006A2B5F"/>
    <w:pPr>
      <w:spacing w:before="240" w:after="60"/>
    </w:pPr>
    <w:rPr>
      <w:color w:val="918585"/>
      <w:sz w:val="22"/>
    </w:rPr>
  </w:style>
  <w:style w:type="paragraph" w:customStyle="1" w:styleId="SideHeading">
    <w:name w:val="Side Heading"/>
    <w:basedOn w:val="HeadingBase"/>
    <w:rsid w:val="006A2B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2B5F"/>
    <w:pPr>
      <w:tabs>
        <w:tab w:val="num" w:pos="360"/>
      </w:tabs>
    </w:pPr>
  </w:style>
  <w:style w:type="paragraph" w:styleId="PlainText">
    <w:name w:val="Plain Text"/>
    <w:basedOn w:val="Normal"/>
    <w:link w:val="PlainTextChar"/>
    <w:rsid w:val="006A2B5F"/>
    <w:rPr>
      <w:sz w:val="20"/>
    </w:rPr>
  </w:style>
  <w:style w:type="character" w:customStyle="1" w:styleId="PlainTextChar">
    <w:name w:val="Plain Text Char"/>
    <w:basedOn w:val="DefaultParagraphFont"/>
    <w:link w:val="PlainText"/>
    <w:rsid w:val="006A2B5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A2B5F"/>
    <w:rPr>
      <w:b/>
      <w:smallCaps/>
    </w:rPr>
  </w:style>
  <w:style w:type="paragraph" w:customStyle="1" w:styleId="TableListNumber">
    <w:name w:val="Table List Number"/>
    <w:basedOn w:val="ListNumber"/>
    <w:rsid w:val="006A2B5F"/>
    <w:pPr>
      <w:numPr>
        <w:numId w:val="0"/>
      </w:numPr>
    </w:pPr>
  </w:style>
  <w:style w:type="paragraph" w:styleId="TOC4">
    <w:name w:val="toc 4"/>
    <w:basedOn w:val="TOCBase"/>
    <w:next w:val="Normal"/>
    <w:semiHidden/>
    <w:rsid w:val="006A2B5F"/>
    <w:pPr>
      <w:tabs>
        <w:tab w:val="right" w:leader="dot" w:pos="9071"/>
      </w:tabs>
      <w:ind w:left="1701"/>
    </w:pPr>
  </w:style>
  <w:style w:type="paragraph" w:customStyle="1" w:styleId="ListAlpha">
    <w:name w:val="List Alpha"/>
    <w:basedOn w:val="List"/>
    <w:rsid w:val="006A2B5F"/>
    <w:pPr>
      <w:numPr>
        <w:numId w:val="8"/>
      </w:numPr>
    </w:pPr>
  </w:style>
  <w:style w:type="paragraph" w:customStyle="1" w:styleId="ListAlpha2">
    <w:name w:val="List Alpha 2"/>
    <w:basedOn w:val="List2"/>
    <w:rsid w:val="006A2B5F"/>
    <w:pPr>
      <w:numPr>
        <w:numId w:val="7"/>
      </w:numPr>
    </w:pPr>
  </w:style>
  <w:style w:type="paragraph" w:styleId="List3">
    <w:name w:val="List 3"/>
    <w:basedOn w:val="BodyText"/>
    <w:rsid w:val="006A2B5F"/>
    <w:pPr>
      <w:tabs>
        <w:tab w:val="left" w:pos="1021"/>
      </w:tabs>
      <w:spacing w:before="60" w:after="60"/>
      <w:ind w:left="1020" w:hanging="340"/>
    </w:pPr>
  </w:style>
  <w:style w:type="paragraph" w:styleId="List4">
    <w:name w:val="List 4"/>
    <w:basedOn w:val="BodyText"/>
    <w:rsid w:val="006A2B5F"/>
    <w:pPr>
      <w:tabs>
        <w:tab w:val="left" w:pos="1361"/>
      </w:tabs>
      <w:spacing w:before="60" w:after="60"/>
      <w:ind w:left="1361" w:hanging="340"/>
    </w:pPr>
  </w:style>
  <w:style w:type="paragraph" w:styleId="List5">
    <w:name w:val="List 5"/>
    <w:basedOn w:val="BodyText"/>
    <w:rsid w:val="006A2B5F"/>
    <w:pPr>
      <w:tabs>
        <w:tab w:val="left" w:pos="1701"/>
      </w:tabs>
      <w:spacing w:before="60" w:after="60"/>
      <w:ind w:left="1701" w:hanging="340"/>
    </w:pPr>
  </w:style>
  <w:style w:type="paragraph" w:styleId="ListBullet3">
    <w:name w:val="List Bullet 3"/>
    <w:basedOn w:val="List3"/>
    <w:rsid w:val="006A2B5F"/>
    <w:pPr>
      <w:numPr>
        <w:numId w:val="14"/>
      </w:numPr>
      <w:tabs>
        <w:tab w:val="clear" w:pos="1021"/>
      </w:tabs>
      <w:ind w:left="1037" w:hanging="357"/>
    </w:pPr>
  </w:style>
  <w:style w:type="paragraph" w:styleId="ListBullet4">
    <w:name w:val="List Bullet 4"/>
    <w:basedOn w:val="List4"/>
    <w:rsid w:val="006A2B5F"/>
    <w:pPr>
      <w:numPr>
        <w:numId w:val="2"/>
      </w:numPr>
    </w:pPr>
  </w:style>
  <w:style w:type="paragraph" w:styleId="ListBullet5">
    <w:name w:val="List Bullet 5"/>
    <w:basedOn w:val="List5"/>
    <w:rsid w:val="006A2B5F"/>
    <w:pPr>
      <w:numPr>
        <w:numId w:val="3"/>
      </w:numPr>
    </w:pPr>
  </w:style>
  <w:style w:type="paragraph" w:styleId="ListContinue2">
    <w:name w:val="List Continue 2"/>
    <w:basedOn w:val="List2"/>
    <w:rsid w:val="006A2B5F"/>
    <w:pPr>
      <w:ind w:firstLine="0"/>
    </w:pPr>
  </w:style>
  <w:style w:type="paragraph" w:styleId="ListContinue3">
    <w:name w:val="List Continue 3"/>
    <w:basedOn w:val="List3"/>
    <w:rsid w:val="006A2B5F"/>
    <w:pPr>
      <w:ind w:left="1021" w:firstLine="0"/>
    </w:pPr>
  </w:style>
  <w:style w:type="paragraph" w:styleId="ListContinue4">
    <w:name w:val="List Continue 4"/>
    <w:basedOn w:val="List4"/>
    <w:rsid w:val="006A2B5F"/>
    <w:pPr>
      <w:ind w:firstLine="0"/>
    </w:pPr>
  </w:style>
  <w:style w:type="paragraph" w:styleId="ListContinue5">
    <w:name w:val="List Continue 5"/>
    <w:basedOn w:val="List5"/>
    <w:rsid w:val="006A2B5F"/>
    <w:pPr>
      <w:ind w:firstLine="0"/>
    </w:pPr>
  </w:style>
  <w:style w:type="paragraph" w:styleId="ListNumber3">
    <w:name w:val="List Number 3"/>
    <w:basedOn w:val="List3"/>
    <w:rsid w:val="006A2B5F"/>
    <w:pPr>
      <w:numPr>
        <w:numId w:val="4"/>
      </w:numPr>
    </w:pPr>
  </w:style>
  <w:style w:type="paragraph" w:styleId="ListNumber4">
    <w:name w:val="List Number 4"/>
    <w:basedOn w:val="List4"/>
    <w:rsid w:val="006A2B5F"/>
    <w:pPr>
      <w:numPr>
        <w:numId w:val="5"/>
      </w:numPr>
    </w:pPr>
  </w:style>
  <w:style w:type="paragraph" w:styleId="ListNumber5">
    <w:name w:val="List Number 5"/>
    <w:basedOn w:val="List5"/>
    <w:rsid w:val="006A2B5F"/>
    <w:pPr>
      <w:numPr>
        <w:numId w:val="6"/>
      </w:numPr>
    </w:pPr>
  </w:style>
  <w:style w:type="paragraph" w:styleId="BlockText">
    <w:name w:val="Block Text"/>
    <w:basedOn w:val="Normal"/>
    <w:rsid w:val="006A2B5F"/>
    <w:pPr>
      <w:spacing w:after="120"/>
      <w:ind w:left="1440" w:right="1440"/>
    </w:pPr>
  </w:style>
  <w:style w:type="character" w:customStyle="1" w:styleId="Subscript">
    <w:name w:val="Subscript"/>
    <w:basedOn w:val="DefaultParagraphFont"/>
    <w:rsid w:val="006A2B5F"/>
    <w:rPr>
      <w:sz w:val="16"/>
      <w:vertAlign w:val="subscript"/>
    </w:rPr>
  </w:style>
  <w:style w:type="character" w:customStyle="1" w:styleId="Superscript">
    <w:name w:val="Superscript"/>
    <w:basedOn w:val="DefaultParagraphFont"/>
    <w:rsid w:val="006A2B5F"/>
    <w:rPr>
      <w:sz w:val="16"/>
      <w:vertAlign w:val="superscript"/>
    </w:rPr>
  </w:style>
  <w:style w:type="character" w:customStyle="1" w:styleId="Symbols">
    <w:name w:val="Symbols"/>
    <w:basedOn w:val="DefaultParagraphFont"/>
    <w:rsid w:val="006A2B5F"/>
    <w:rPr>
      <w:rFonts w:ascii="Symbol" w:hAnsi="Symbol"/>
    </w:rPr>
  </w:style>
  <w:style w:type="character" w:customStyle="1" w:styleId="MenuOptions">
    <w:name w:val="Menu Options"/>
    <w:basedOn w:val="DefaultParagraphFont"/>
    <w:rsid w:val="006A2B5F"/>
    <w:rPr>
      <w:rFonts w:ascii="Arial Narrow" w:hAnsi="Arial Narrow"/>
      <w:smallCaps/>
    </w:rPr>
  </w:style>
  <w:style w:type="character" w:customStyle="1" w:styleId="Buttons">
    <w:name w:val="Buttons"/>
    <w:basedOn w:val="DefaultParagraphFont"/>
    <w:rsid w:val="006A2B5F"/>
    <w:rPr>
      <w:b/>
    </w:rPr>
  </w:style>
  <w:style w:type="character" w:customStyle="1" w:styleId="Underlined">
    <w:name w:val="Underlined"/>
    <w:basedOn w:val="DefaultParagraphFont"/>
    <w:rsid w:val="006A2B5F"/>
    <w:rPr>
      <w:u w:val="single"/>
    </w:rPr>
  </w:style>
  <w:style w:type="paragraph" w:customStyle="1" w:styleId="TableBodyTextRight">
    <w:name w:val="Table Body Text Right"/>
    <w:basedOn w:val="TableBodyText"/>
    <w:rsid w:val="006A2B5F"/>
    <w:pPr>
      <w:widowControl w:val="0"/>
      <w:autoSpaceDE w:val="0"/>
      <w:autoSpaceDN w:val="0"/>
      <w:adjustRightInd w:val="0"/>
      <w:jc w:val="right"/>
    </w:pPr>
    <w:rPr>
      <w:rFonts w:cs="Arial"/>
      <w:szCs w:val="18"/>
    </w:rPr>
  </w:style>
  <w:style w:type="paragraph" w:customStyle="1" w:styleId="CopyrightText">
    <w:name w:val="Copyright Text"/>
    <w:basedOn w:val="BodyText"/>
    <w:rsid w:val="006A2B5F"/>
    <w:rPr>
      <w:sz w:val="18"/>
    </w:rPr>
  </w:style>
  <w:style w:type="paragraph" w:customStyle="1" w:styleId="BodySmallRight">
    <w:name w:val="Body Small Right"/>
    <w:basedOn w:val="BodyTextRight"/>
    <w:rsid w:val="006A2B5F"/>
    <w:rPr>
      <w:sz w:val="18"/>
      <w:szCs w:val="18"/>
    </w:rPr>
  </w:style>
  <w:style w:type="paragraph" w:customStyle="1" w:styleId="MarginEdition">
    <w:name w:val="Margin Edition"/>
    <w:basedOn w:val="MarginNote"/>
    <w:rsid w:val="006A2B5F"/>
    <w:pPr>
      <w:spacing w:before="0" w:after="0"/>
    </w:pPr>
    <w:rPr>
      <w:rFonts w:ascii="Times New Roman" w:hAnsi="Times New Roman"/>
      <w:color w:val="999999"/>
    </w:rPr>
  </w:style>
  <w:style w:type="paragraph" w:customStyle="1" w:styleId="Spacer">
    <w:name w:val="Spacer"/>
    <w:basedOn w:val="Normal"/>
    <w:rsid w:val="006A2B5F"/>
    <w:rPr>
      <w:sz w:val="2"/>
      <w:szCs w:val="2"/>
    </w:rPr>
  </w:style>
  <w:style w:type="character" w:customStyle="1" w:styleId="Small">
    <w:name w:val="Small"/>
    <w:basedOn w:val="DefaultParagraphFont"/>
    <w:rsid w:val="006A2B5F"/>
    <w:rPr>
      <w:sz w:val="16"/>
    </w:rPr>
  </w:style>
  <w:style w:type="paragraph" w:customStyle="1" w:styleId="WideTable">
    <w:name w:val="Wide Table"/>
    <w:basedOn w:val="Normal"/>
    <w:rsid w:val="006A2B5F"/>
    <w:pPr>
      <w:ind w:left="-1418"/>
    </w:pPr>
    <w:rPr>
      <w:sz w:val="2"/>
      <w:szCs w:val="2"/>
    </w:rPr>
  </w:style>
  <w:style w:type="character" w:styleId="PageNumber">
    <w:name w:val="page number"/>
    <w:basedOn w:val="DefaultParagraphFont"/>
    <w:rsid w:val="006A2B5F"/>
  </w:style>
  <w:style w:type="paragraph" w:styleId="Quote">
    <w:name w:val="Quote"/>
    <w:basedOn w:val="Heading1"/>
    <w:link w:val="QuoteChar"/>
    <w:qFormat/>
    <w:rsid w:val="006A2B5F"/>
    <w:rPr>
      <w:b w:val="0"/>
      <w:sz w:val="72"/>
      <w:szCs w:val="72"/>
      <w:lang w:val="en-NZ"/>
    </w:rPr>
  </w:style>
  <w:style w:type="character" w:customStyle="1" w:styleId="QuoteChar">
    <w:name w:val="Quote Char"/>
    <w:basedOn w:val="DefaultParagraphFont"/>
    <w:link w:val="Quote"/>
    <w:rsid w:val="006A2B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2B5F"/>
    <w:pPr>
      <w:pageBreakBefore/>
    </w:pPr>
  </w:style>
  <w:style w:type="paragraph" w:customStyle="1" w:styleId="Border">
    <w:name w:val="Border"/>
    <w:basedOn w:val="Normal"/>
    <w:qFormat/>
    <w:rsid w:val="006A2B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2B5F"/>
    <w:rPr>
      <w:b/>
      <w:bCs/>
      <w:i/>
      <w:iCs/>
      <w:color w:val="auto"/>
    </w:rPr>
  </w:style>
  <w:style w:type="paragraph" w:styleId="IntenseQuote">
    <w:name w:val="Intense Quote"/>
    <w:basedOn w:val="Normal"/>
    <w:next w:val="Normal"/>
    <w:link w:val="IntenseQuoteChar"/>
    <w:uiPriority w:val="30"/>
    <w:qFormat/>
    <w:rsid w:val="006A2B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2B5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A2B5F"/>
    <w:rPr>
      <w:smallCaps/>
      <w:color w:val="auto"/>
      <w:u w:val="single"/>
    </w:rPr>
  </w:style>
  <w:style w:type="character" w:styleId="IntenseReference">
    <w:name w:val="Intense Reference"/>
    <w:basedOn w:val="DefaultParagraphFont"/>
    <w:uiPriority w:val="32"/>
    <w:qFormat/>
    <w:rsid w:val="006A2B5F"/>
    <w:rPr>
      <w:b/>
      <w:bCs/>
      <w:smallCaps/>
      <w:color w:val="auto"/>
      <w:spacing w:val="5"/>
      <w:u w:val="single"/>
    </w:rPr>
  </w:style>
  <w:style w:type="paragraph" w:customStyle="1" w:styleId="2ColumnHeading">
    <w:name w:val="2Column Heading"/>
    <w:basedOn w:val="BodyText"/>
    <w:qFormat/>
    <w:rsid w:val="006A2B5F"/>
    <w:pPr>
      <w:spacing w:after="60"/>
      <w:ind w:left="-2268"/>
    </w:pPr>
    <w:rPr>
      <w:b/>
    </w:rPr>
  </w:style>
  <w:style w:type="paragraph" w:customStyle="1" w:styleId="Heading1TOC">
    <w:name w:val="Heading1 TOC"/>
    <w:basedOn w:val="Normal"/>
    <w:qFormat/>
    <w:rsid w:val="006A2B5F"/>
    <w:pPr>
      <w:spacing w:before="240" w:after="120"/>
    </w:pPr>
    <w:rPr>
      <w:rFonts w:ascii="Times New Roman" w:hAnsi="Times New Roman"/>
      <w:b/>
      <w:sz w:val="32"/>
    </w:rPr>
  </w:style>
  <w:style w:type="paragraph" w:customStyle="1" w:styleId="Heading2TOC">
    <w:name w:val="Heading2 TOC"/>
    <w:basedOn w:val="Normal"/>
    <w:qFormat/>
    <w:rsid w:val="006A2B5F"/>
    <w:pPr>
      <w:spacing w:before="240" w:after="60"/>
    </w:pPr>
    <w:rPr>
      <w:rFonts w:ascii="Times New Roman" w:hAnsi="Times New Roman"/>
      <w:b/>
      <w:sz w:val="28"/>
    </w:rPr>
  </w:style>
  <w:style w:type="character" w:customStyle="1" w:styleId="Underline">
    <w:name w:val="Underline"/>
    <w:basedOn w:val="DefaultParagraphFont"/>
    <w:qFormat/>
    <w:rsid w:val="006A2B5F"/>
    <w:rPr>
      <w:u w:val="single"/>
    </w:rPr>
  </w:style>
  <w:style w:type="character" w:customStyle="1" w:styleId="BoldandItalics">
    <w:name w:val="Bold and Italics"/>
    <w:qFormat/>
    <w:rsid w:val="006A2B5F"/>
    <w:rPr>
      <w:b/>
      <w:i/>
      <w:u w:val="none"/>
    </w:rPr>
  </w:style>
  <w:style w:type="paragraph" w:styleId="BalloonText">
    <w:name w:val="Balloon Text"/>
    <w:basedOn w:val="Normal"/>
    <w:link w:val="BalloonTextChar"/>
    <w:rsid w:val="006A2B5F"/>
    <w:rPr>
      <w:rFonts w:ascii="Tahoma" w:hAnsi="Tahoma" w:cs="Tahoma"/>
      <w:sz w:val="16"/>
      <w:szCs w:val="16"/>
    </w:rPr>
  </w:style>
  <w:style w:type="character" w:customStyle="1" w:styleId="BalloonTextChar">
    <w:name w:val="Balloon Text Char"/>
    <w:basedOn w:val="DefaultParagraphFont"/>
    <w:link w:val="BalloonText"/>
    <w:rsid w:val="006A2B5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A2B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2B5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903</Words>
  <Characters>5672</Characters>
  <Application>Microsoft Office Word</Application>
  <DocSecurity>0</DocSecurity>
  <Lines>208</Lines>
  <Paragraphs>92</Paragraphs>
  <ScaleCrop>false</ScaleCrop>
  <Company>Author-it Software Corporation Ltd.</Company>
  <LinksUpToDate>false</LinksUpToDate>
  <CharactersWithSpaces>6506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MEM08002C Pre-treat work for subsequent surface coating</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2012-05-27T01:37:00Z</dcterms:created>
  <dcterms:modified xsi:type="dcterms:W3CDTF">2012-05-27T01:37:00Z</dcterms:modified>
</cp:coreProperties>
</file>