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CC1" w:rsidP="00B25CC1">
      <w:pPr>
        <w:pStyle w:val="Title"/>
      </w:pPr>
      <w:r>
        <w:fldChar w:fldCharType="begin"/>
      </w:r>
      <w:r>
        <w:instrText xml:space="preserve"> TITLE   \* MERGEFORMAT </w:instrText>
      </w:r>
      <w:r>
        <w:fldChar w:fldCharType="separate"/>
      </w:r>
      <w:r>
        <w:t>MEM08001B Perform wire, jig and barrel load/unload work</w:t>
      </w:r>
      <w:r>
        <w:fldChar w:fldCharType="end"/>
      </w:r>
    </w:p>
    <w:p w:rsidR="00B25CC1" w:rsidP="00B25CC1">
      <w:pPr>
        <w:pStyle w:val="Version"/>
        <w:sectPr w:rsidSect="00831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28B" w:rsidP="0083128B">
      <w:pPr>
        <w:pStyle w:val="SuperHeading"/>
      </w:pPr>
      <w:r w:rsidRPr="0083128B">
        <w:t>MEM08001B Perform wire, jig and barrel load/unload work</w:t>
      </w:r>
    </w:p>
    <w:p w:rsidR="00000000" w:rsidRPr="0083128B" w:rsidP="0083128B">
      <w:pPr>
        <w:pStyle w:val="Heading1"/>
      </w:pPr>
      <w:bookmarkStart w:id="1" w:name="O_272083"/>
      <w:bookmarkEnd w:id="1"/>
      <w:r w:rsidRPr="0083128B">
        <w:t>Modification History</w:t>
      </w:r>
    </w:p>
    <w:p w:rsidR="00000000" w:rsidRPr="0083128B" w:rsidP="0083128B">
      <w:pPr>
        <w:pStyle w:val="BodyText"/>
      </w:pPr>
      <w:r w:rsidRPr="0083128B">
        <w:t>Not Applicable</w:t>
      </w:r>
    </w:p>
    <w:p w:rsidR="00000000" w:rsidRPr="0083128B" w:rsidP="0083128B">
      <w:pPr>
        <w:pStyle w:val="AllowPageBreak"/>
      </w:pPr>
    </w:p>
    <w:p w:rsidR="00000000" w:rsidRPr="0083128B" w:rsidP="0083128B">
      <w:pPr>
        <w:pStyle w:val="Heading1"/>
      </w:pPr>
      <w:bookmarkStart w:id="2" w:name="O_211019"/>
      <w:bookmarkEnd w:id="2"/>
      <w:r w:rsidRPr="0083128B">
        <w:t>Unit Descriptor</w:t>
      </w:r>
    </w:p>
    <w:tbl>
      <w:tblPr>
        <w:tblW w:w="0" w:type="auto"/>
        <w:tblLayout w:type="fixed"/>
        <w:tblCellMar>
          <w:left w:w="62" w:type="dxa"/>
          <w:right w:w="62" w:type="dxa"/>
        </w:tblCellMar>
        <w:tblLook w:val="0000"/>
      </w:tblPr>
      <w:tblGrid>
        <w:gridCol w:w="2672"/>
        <w:gridCol w:w="5850"/>
      </w:tblGrid>
      <w:tr w:rsidTr="00B25CC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This unit covers loading barrels for mass finishing processes, undertaking jig work for non-ele</w:t>
            </w:r>
            <w:r w:rsidRPr="0083128B">
              <w:t>ctrolytic processes, undertaking wire jig and rack work for non-electrolytic processes, and unloading and removing jigs after finishing.</w:t>
            </w:r>
          </w:p>
        </w:tc>
      </w:tr>
    </w:tbl>
    <w:p w:rsidR="00B25CC1" w:rsidP="0083128B">
      <w:pPr>
        <w:pStyle w:val="BodyText"/>
      </w:pPr>
    </w:p>
    <w:p w:rsidR="00B25CC1" w:rsidP="0083128B">
      <w:pPr>
        <w:pStyle w:val="BodyText"/>
      </w:pPr>
    </w:p>
    <w:p w:rsidR="00000000" w:rsidRPr="0083128B" w:rsidP="0083128B">
      <w:pPr>
        <w:pStyle w:val="Heading1"/>
      </w:pPr>
      <w:bookmarkStart w:id="3" w:name="O_211023"/>
      <w:bookmarkEnd w:id="3"/>
      <w:r w:rsidRPr="0083128B">
        <w:t>Application of the Unit</w:t>
      </w:r>
    </w:p>
    <w:tbl>
      <w:tblPr>
        <w:tblW w:w="0" w:type="auto"/>
        <w:tblLayout w:type="fixed"/>
        <w:tblCellMar>
          <w:left w:w="62" w:type="dxa"/>
          <w:right w:w="62" w:type="dxa"/>
        </w:tblCellMar>
        <w:tblLook w:val="0000"/>
      </w:tblPr>
      <w:tblGrid>
        <w:gridCol w:w="2745"/>
        <w:gridCol w:w="5777"/>
      </w:tblGrid>
      <w:tr w:rsidTr="00B25CC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 xml:space="preserve">This unit applies to loading and unloading in preparation for a wide variety of pre-treatment and finishing processes of multiples of similar items. </w:t>
            </w:r>
          </w:p>
          <w:p w:rsidR="00000000" w:rsidRPr="0083128B" w:rsidP="0083128B">
            <w:pPr>
              <w:pStyle w:val="BodyText"/>
            </w:pPr>
            <w:r w:rsidRPr="0083128B">
              <w:t>Typical processes include degreasing, de-scaling, surface blasting, flame cleaning, wet blasting, grinding</w:t>
            </w:r>
            <w:r w:rsidRPr="0083128B">
              <w:t>, polishing, wet coating, powder coating, electroplating, anodising, electroless plating, electrophoretic coating and hot dip metallising.</w:t>
            </w:r>
          </w:p>
          <w:p w:rsidR="00000000" w:rsidRPr="0083128B" w:rsidP="0083128B">
            <w:pPr>
              <w:pStyle w:val="BodyText"/>
            </w:pPr>
          </w:p>
          <w:p w:rsidR="00000000" w:rsidRPr="0083128B" w:rsidP="0083128B">
            <w:pPr>
              <w:pStyle w:val="BodyText"/>
            </w:pPr>
            <w:r w:rsidRPr="0083128B">
              <w:rPr>
                <w:rStyle w:val="SpecialBold"/>
              </w:rPr>
              <w:t>Band</w:t>
            </w:r>
            <w:r w:rsidRPr="0083128B">
              <w:t>:</w:t>
            </w:r>
            <w:r w:rsidRPr="0083128B">
              <w:tab/>
            </w:r>
            <w:r w:rsidRPr="0083128B">
              <w:rPr>
                <w:rStyle w:val="SpecialBold"/>
              </w:rPr>
              <w:t>A</w:t>
            </w:r>
          </w:p>
          <w:p w:rsidR="00000000" w:rsidRPr="0083128B" w:rsidP="0083128B">
            <w:pPr>
              <w:pStyle w:val="BodyText"/>
            </w:pPr>
            <w:r w:rsidRPr="0083128B">
              <w:rPr>
                <w:rStyle w:val="SpecialBold"/>
              </w:rPr>
              <w:t>Unit Weight</w:t>
            </w:r>
            <w:r w:rsidRPr="0083128B">
              <w:t>:</w:t>
            </w:r>
            <w:r w:rsidRPr="0083128B">
              <w:tab/>
            </w:r>
            <w:r w:rsidRPr="0083128B">
              <w:rPr>
                <w:rStyle w:val="SpecialBold"/>
              </w:rPr>
              <w:t>4</w:t>
            </w:r>
          </w:p>
        </w:tc>
      </w:tr>
    </w:tbl>
    <w:p w:rsidR="00B25CC1" w:rsidP="0083128B">
      <w:pPr>
        <w:pStyle w:val="BodyText"/>
      </w:pPr>
    </w:p>
    <w:p w:rsidR="00B25CC1" w:rsidP="0083128B">
      <w:pPr>
        <w:pStyle w:val="BodyText"/>
      </w:pPr>
    </w:p>
    <w:p w:rsidR="00000000" w:rsidRPr="0083128B" w:rsidP="0083128B">
      <w:pPr>
        <w:pStyle w:val="Heading1"/>
      </w:pPr>
      <w:bookmarkStart w:id="4" w:name="O_280343"/>
      <w:bookmarkEnd w:id="4"/>
      <w:r w:rsidRPr="0083128B">
        <w:t>Licensing/Regulatory Information</w:t>
      </w:r>
    </w:p>
    <w:p w:rsidR="00000000" w:rsidRPr="0083128B" w:rsidP="0083128B">
      <w:pPr>
        <w:pStyle w:val="BodyText"/>
      </w:pPr>
      <w:r w:rsidRPr="0083128B">
        <w:t>Not Applicable</w:t>
      </w:r>
    </w:p>
    <w:p w:rsidR="00000000" w:rsidRPr="0083128B" w:rsidP="0083128B">
      <w:pPr>
        <w:pStyle w:val="AllowPageBreak"/>
      </w:pPr>
    </w:p>
    <w:p w:rsidR="00000000" w:rsidRPr="0083128B" w:rsidP="0083128B">
      <w:pPr>
        <w:pStyle w:val="Heading1"/>
      </w:pPr>
      <w:bookmarkStart w:id="5" w:name="O_211021"/>
      <w:bookmarkEnd w:id="5"/>
      <w:r w:rsidRPr="0083128B">
        <w:t>Pre-Requisites</w:t>
      </w:r>
    </w:p>
    <w:tbl>
      <w:tblPr>
        <w:tblW w:w="0" w:type="auto"/>
        <w:tblLayout w:type="fixed"/>
        <w:tblCellMar>
          <w:left w:w="62" w:type="dxa"/>
          <w:right w:w="62" w:type="dxa"/>
        </w:tblCellMar>
        <w:tblLook w:val="0000"/>
      </w:tblPr>
      <w:tblGrid>
        <w:gridCol w:w="2775"/>
        <w:gridCol w:w="1295"/>
        <w:gridCol w:w="4452"/>
      </w:tblGrid>
      <w:tr w:rsidTr="00B25C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p>
        </w:tc>
      </w:tr>
      <w:tr w:rsidTr="00B25C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p>
        </w:tc>
      </w:tr>
      <w:tr w:rsidTr="00B25C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p>
        </w:tc>
      </w:tr>
    </w:tbl>
    <w:p w:rsidR="00B25CC1" w:rsidP="0083128B">
      <w:pPr>
        <w:pStyle w:val="BodyText"/>
      </w:pPr>
    </w:p>
    <w:p w:rsidR="00B25CC1" w:rsidP="0083128B">
      <w:pPr>
        <w:pStyle w:val="BodyText"/>
      </w:pPr>
    </w:p>
    <w:p w:rsidR="00000000" w:rsidRPr="0083128B" w:rsidP="0083128B">
      <w:pPr>
        <w:pStyle w:val="Heading1"/>
      </w:pPr>
      <w:bookmarkStart w:id="6" w:name="O_211020"/>
      <w:bookmarkEnd w:id="6"/>
      <w:r w:rsidRPr="0083128B">
        <w:t>Employability Skills Information</w:t>
      </w:r>
    </w:p>
    <w:tbl>
      <w:tblPr>
        <w:tblW w:w="0" w:type="auto"/>
        <w:tblLayout w:type="fixed"/>
        <w:tblCellMar>
          <w:left w:w="62" w:type="dxa"/>
          <w:right w:w="62" w:type="dxa"/>
        </w:tblCellMar>
        <w:tblLook w:val="0000"/>
      </w:tblPr>
      <w:tblGrid>
        <w:gridCol w:w="2802"/>
        <w:gridCol w:w="5720"/>
      </w:tblGrid>
      <w:tr w:rsidTr="00B25C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This unit contains employability skills.</w:t>
            </w:r>
          </w:p>
        </w:tc>
      </w:tr>
    </w:tbl>
    <w:p w:rsidR="00B25CC1" w:rsidP="0083128B">
      <w:pPr>
        <w:pStyle w:val="BodyText"/>
      </w:pPr>
    </w:p>
    <w:p w:rsidR="00B25CC1" w:rsidP="0083128B">
      <w:pPr>
        <w:pStyle w:val="BodyText"/>
      </w:pPr>
    </w:p>
    <w:p w:rsidR="00000000" w:rsidRPr="0083128B" w:rsidP="0083128B">
      <w:pPr>
        <w:pStyle w:val="Heading1"/>
      </w:pPr>
      <w:bookmarkStart w:id="7" w:name="O_290129"/>
      <w:bookmarkEnd w:id="7"/>
      <w:r w:rsidRPr="0083128B">
        <w:t>Elements and Performance Criteria Pre-Content</w:t>
      </w:r>
    </w:p>
    <w:tbl>
      <w:tblPr>
        <w:tblW w:w="0" w:type="auto"/>
        <w:tblLayout w:type="fixed"/>
        <w:tblCellMar>
          <w:left w:w="62" w:type="dxa"/>
          <w:right w:w="62" w:type="dxa"/>
        </w:tblCellMar>
        <w:tblLook w:val="0000"/>
      </w:tblPr>
      <w:tblGrid>
        <w:gridCol w:w="2570"/>
        <w:gridCol w:w="5952"/>
      </w:tblGrid>
      <w:tr w:rsidTr="00B25C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Performance criteria describe the performance needed to demonstrate achievement of the element. Where bold italicised text is used, further information is detailed in the required skills and</w:t>
            </w:r>
            <w:r w:rsidRPr="0083128B">
              <w:t xml:space="preserve"> knowledge section and the range statement. Assessment of performance is to be consistent with the evidence guide.</w:t>
            </w:r>
          </w:p>
        </w:tc>
      </w:tr>
    </w:tbl>
    <w:p w:rsidR="00000000" w:rsidRPr="0083128B" w:rsidP="0083128B">
      <w:pPr>
        <w:pStyle w:val="BodyText"/>
      </w:pPr>
    </w:p>
    <w:p w:rsidR="00000000" w:rsidRPr="0083128B" w:rsidP="0083128B">
      <w:pPr>
        <w:pStyle w:val="AllowPageBreak"/>
      </w:pPr>
    </w:p>
    <w:p w:rsidR="00000000" w:rsidRPr="0083128B" w:rsidP="0083128B">
      <w:pPr>
        <w:pStyle w:val="Heading1"/>
      </w:pPr>
      <w:bookmarkStart w:id="8" w:name="O_236796"/>
      <w:bookmarkEnd w:id="8"/>
      <w:r w:rsidRPr="0083128B">
        <w:t>Elements and Performance Criteria</w:t>
      </w:r>
    </w:p>
    <w:tbl>
      <w:tblPr>
        <w:tblW w:w="0" w:type="auto"/>
        <w:tblLayout w:type="fixed"/>
        <w:tblCellMar>
          <w:left w:w="62" w:type="dxa"/>
          <w:right w:w="62" w:type="dxa"/>
        </w:tblCellMar>
        <w:tblLook w:val="0000"/>
      </w:tblPr>
      <w:tblGrid>
        <w:gridCol w:w="2570"/>
        <w:gridCol w:w="5952"/>
      </w:tblGrid>
      <w:tr w:rsidTr="00B25CC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PERFORMANCE CRITERIA</w:t>
            </w:r>
          </w:p>
        </w:tc>
      </w:tr>
      <w:tr w:rsidTr="00B25C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List"/>
              <w:rPr>
                <w:lang w:val="en-NZ"/>
              </w:rPr>
            </w:pPr>
            <w:r w:rsidRPr="0083128B">
              <w:t>1.</w:t>
            </w:r>
            <w:r w:rsidRPr="0083128B">
              <w:tab/>
              <w:t xml:space="preserve">Load barrels etc., for mass finishing processes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List2"/>
            </w:pPr>
            <w:r w:rsidRPr="0083128B">
              <w:t>1.1.</w:t>
            </w:r>
            <w:r w:rsidRPr="0083128B">
              <w:tab/>
            </w:r>
            <w:r w:rsidRPr="0083128B">
              <w:t>Machinery is correctly loaded regarding load mass.</w:t>
            </w:r>
          </w:p>
          <w:p w:rsidR="00000000" w:rsidP="0083128B">
            <w:pPr>
              <w:pStyle w:val="List2"/>
              <w:rPr>
                <w:lang w:val="en-NZ"/>
              </w:rPr>
            </w:pPr>
            <w:r w:rsidRPr="0083128B">
              <w:t>1.2.</w:t>
            </w:r>
            <w:r w:rsidRPr="0083128B">
              <w:tab/>
              <w:t>Machine access openings are safely secured.</w:t>
            </w:r>
          </w:p>
        </w:tc>
      </w:tr>
      <w:tr w:rsidTr="00B25C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List"/>
              <w:rPr>
                <w:lang w:val="en-NZ"/>
              </w:rPr>
            </w:pPr>
            <w:r w:rsidRPr="0083128B">
              <w:t>2.</w:t>
            </w:r>
            <w:r w:rsidRPr="0083128B">
              <w:tab/>
              <w:t>Undertake jig work for non-electrolytic processes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List2"/>
              <w:rPr>
                <w:lang w:val="en-NZ"/>
              </w:rPr>
            </w:pPr>
            <w:r w:rsidRPr="0083128B">
              <w:t>2.1.</w:t>
            </w:r>
            <w:r w:rsidRPr="0083128B">
              <w:tab/>
              <w:t>Components are appropriately secured using standard operating procedures.</w:t>
            </w:r>
          </w:p>
        </w:tc>
      </w:tr>
      <w:tr w:rsidTr="00B25CC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List"/>
              <w:rPr>
                <w:lang w:val="en-NZ"/>
              </w:rPr>
            </w:pPr>
            <w:r w:rsidRPr="0083128B">
              <w:t>3.</w:t>
            </w:r>
            <w:r w:rsidRPr="0083128B">
              <w:tab/>
            </w:r>
            <w:r w:rsidRPr="0083128B">
              <w:t>Undertake wire jig and rack work for electrolytic processes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List2"/>
            </w:pPr>
            <w:r w:rsidRPr="0083128B">
              <w:t>3.1.</w:t>
            </w:r>
            <w:r w:rsidRPr="0083128B">
              <w:tab/>
              <w:t>Correct type and size of wire or rack is selected and inspected for conformance to specification. Damaged racks are identified for repair or replacement.</w:t>
            </w:r>
          </w:p>
          <w:p w:rsidR="00000000" w:rsidRPr="0083128B" w:rsidP="0083128B">
            <w:pPr>
              <w:pStyle w:val="List2"/>
            </w:pPr>
            <w:r w:rsidRPr="0083128B">
              <w:t>3.2.</w:t>
            </w:r>
            <w:r w:rsidRPr="0083128B">
              <w:tab/>
              <w:t>Components are secured presentin</w:t>
            </w:r>
            <w:r w:rsidRPr="0083128B">
              <w:t>g appropriate faces according to standard operating procedures.</w:t>
            </w:r>
          </w:p>
        </w:tc>
      </w:tr>
    </w:tbl>
    <w:p w:rsidR="00B25CC1" w:rsidP="0083128B">
      <w:pPr>
        <w:pStyle w:val="BodyText"/>
      </w:pPr>
    </w:p>
    <w:p w:rsidR="00B25CC1" w:rsidP="0083128B">
      <w:pPr>
        <w:pStyle w:val="BodyText"/>
      </w:pPr>
    </w:p>
    <w:p w:rsidR="00000000" w:rsidRPr="0083128B" w:rsidP="0083128B">
      <w:pPr>
        <w:pStyle w:val="Heading1"/>
      </w:pPr>
      <w:bookmarkStart w:id="9" w:name="O_260746"/>
      <w:bookmarkEnd w:id="9"/>
      <w:r w:rsidRPr="0083128B">
        <w:t>Required Skills and Knowledge</w:t>
      </w:r>
    </w:p>
    <w:tbl>
      <w:tblPr>
        <w:tblW w:w="0" w:type="auto"/>
        <w:tblLayout w:type="fixed"/>
        <w:tblCellMar>
          <w:left w:w="62" w:type="dxa"/>
          <w:right w:w="62" w:type="dxa"/>
        </w:tblCellMar>
        <w:tblLook w:val="0000"/>
      </w:tblPr>
      <w:tblGrid>
        <w:gridCol w:w="8522"/>
      </w:tblGrid>
      <w:tr w:rsidTr="00B25C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REQUIRED SKILLS AND KNOWLEDGE</w:t>
            </w:r>
          </w:p>
        </w:tc>
      </w:tr>
      <w:tr w:rsidTr="00B25C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This section describes the skills and knowledge required for this unit.</w:t>
            </w:r>
          </w:p>
        </w:tc>
      </w:tr>
      <w:tr w:rsidTr="00B25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Required skills</w:t>
            </w:r>
          </w:p>
        </w:tc>
      </w:tr>
      <w:tr w:rsidTr="00B25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Look for evidence that confirms skills in:</w:t>
            </w:r>
          </w:p>
          <w:p w:rsidR="00000000" w:rsidRPr="0083128B" w:rsidP="0083128B">
            <w:pPr>
              <w:pStyle w:val="ListBullet"/>
            </w:pPr>
            <w:r w:rsidRPr="0083128B">
              <w:t>correctly loading into the surface finishing machinery</w:t>
            </w:r>
          </w:p>
          <w:p w:rsidR="00000000" w:rsidRPr="0083128B" w:rsidP="0083128B">
            <w:pPr>
              <w:pStyle w:val="ListBullet"/>
            </w:pPr>
            <w:r w:rsidRPr="0083128B">
              <w:t>securing and positioning components to minimise damage</w:t>
            </w:r>
          </w:p>
          <w:p w:rsidR="00000000" w:rsidRPr="0083128B" w:rsidP="0083128B">
            <w:pPr>
              <w:pStyle w:val="ListBullet"/>
            </w:pPr>
            <w:r w:rsidRPr="0083128B">
              <w:t xml:space="preserve">securing machine access openings </w:t>
            </w:r>
          </w:p>
          <w:p w:rsidR="00000000" w:rsidRPr="0083128B" w:rsidP="0083128B">
            <w:pPr>
              <w:pStyle w:val="ListBullet"/>
            </w:pPr>
            <w:r w:rsidRPr="0083128B">
              <w:t>unloading and stacking components to minimise damage</w:t>
            </w:r>
          </w:p>
          <w:p w:rsidR="00000000" w:rsidRPr="0083128B" w:rsidP="0083128B">
            <w:pPr>
              <w:pStyle w:val="ListBullet"/>
            </w:pPr>
            <w:r w:rsidRPr="0083128B">
              <w:t>selecting the c</w:t>
            </w:r>
            <w:r w:rsidRPr="0083128B">
              <w:t>orrect type and size of wire or rack</w:t>
            </w:r>
          </w:p>
          <w:p w:rsidR="00000000" w:rsidRPr="0083128B" w:rsidP="0083128B">
            <w:pPr>
              <w:pStyle w:val="ListBullet"/>
            </w:pPr>
            <w:r w:rsidRPr="0083128B">
              <w:t>planning and sequencing operations</w:t>
            </w:r>
          </w:p>
          <w:p w:rsidR="00000000" w:rsidRPr="0083128B" w:rsidP="0083128B">
            <w:pPr>
              <w:pStyle w:val="ListBullet"/>
            </w:pPr>
            <w:r w:rsidRPr="0083128B">
              <w:t>checking and clarifying task related information</w:t>
            </w:r>
          </w:p>
          <w:p w:rsidR="00000000" w:rsidRPr="0083128B" w:rsidP="0083128B">
            <w:pPr>
              <w:pStyle w:val="ListBullet"/>
            </w:pPr>
            <w:r w:rsidRPr="0083128B">
              <w:t>checking for conformance to specifications</w:t>
            </w:r>
          </w:p>
          <w:p w:rsidR="00000000" w:rsidRPr="0083128B" w:rsidP="0083128B">
            <w:pPr>
              <w:pStyle w:val="ListBullet"/>
            </w:pPr>
            <w:r w:rsidRPr="0083128B">
              <w:t>reading and interpreting routine information on written job instructions, specifications and</w:t>
            </w:r>
            <w:r w:rsidRPr="0083128B">
              <w:t xml:space="preserve"> standard operating procedures. May include drawings</w:t>
            </w:r>
          </w:p>
          <w:p w:rsidR="00000000" w:rsidRPr="0083128B" w:rsidP="0083128B">
            <w:pPr>
              <w:pStyle w:val="ListBullet"/>
            </w:pPr>
            <w:r w:rsidRPr="0083128B">
              <w:t>following oral instructions</w:t>
            </w:r>
          </w:p>
          <w:p w:rsidR="00000000" w:rsidP="0083128B">
            <w:pPr>
              <w:pStyle w:val="ListBullet"/>
              <w:rPr>
                <w:lang w:val="en-NZ"/>
              </w:rPr>
            </w:pPr>
            <w:r w:rsidRPr="0083128B">
              <w:t>performing calculations using formulae</w:t>
            </w:r>
          </w:p>
        </w:tc>
      </w:tr>
      <w:tr w:rsidTr="00B25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Required knowledge</w:t>
            </w:r>
          </w:p>
        </w:tc>
      </w:tr>
      <w:tr w:rsidTr="00B25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Look for evidence that confirms knowledge of:</w:t>
            </w:r>
          </w:p>
          <w:p w:rsidR="00000000" w:rsidRPr="0083128B" w:rsidP="0083128B">
            <w:pPr>
              <w:pStyle w:val="ListBullet"/>
            </w:pPr>
            <w:r w:rsidRPr="0083128B">
              <w:t>the procedures for loading machinery for mass finishing processes</w:t>
            </w:r>
          </w:p>
          <w:p w:rsidR="00000000" w:rsidRPr="0083128B" w:rsidP="0083128B">
            <w:pPr>
              <w:pStyle w:val="ListBullet"/>
            </w:pPr>
            <w:r w:rsidRPr="0083128B">
              <w:t>the distribution of the components within the machinery</w:t>
            </w:r>
          </w:p>
          <w:p w:rsidR="00000000" w:rsidRPr="0083128B" w:rsidP="0083128B">
            <w:pPr>
              <w:pStyle w:val="ListBullet"/>
            </w:pPr>
            <w:r w:rsidRPr="0083128B">
              <w:t>reasons for distributing the components in a particular manner</w:t>
            </w:r>
          </w:p>
          <w:p w:rsidR="00000000" w:rsidRPr="0083128B" w:rsidP="0083128B">
            <w:pPr>
              <w:pStyle w:val="ListBullet"/>
            </w:pPr>
            <w:r w:rsidRPr="0083128B">
              <w:t>the procedures for securing machine access openings</w:t>
            </w:r>
          </w:p>
          <w:p w:rsidR="00000000" w:rsidRPr="0083128B" w:rsidP="0083128B">
            <w:pPr>
              <w:pStyle w:val="ListBullet"/>
            </w:pPr>
            <w:r w:rsidRPr="0083128B">
              <w:t>the consequences of not securing machine access openings</w:t>
            </w:r>
          </w:p>
          <w:p w:rsidR="00000000" w:rsidRPr="0083128B" w:rsidP="0083128B">
            <w:pPr>
              <w:pStyle w:val="ListBullet"/>
            </w:pPr>
            <w:r w:rsidRPr="0083128B">
              <w:t>the procedures for jigging w</w:t>
            </w:r>
            <w:r w:rsidRPr="0083128B">
              <w:t>ork for non-electrolytic processes</w:t>
            </w:r>
          </w:p>
          <w:p w:rsidR="00000000" w:rsidRPr="0083128B" w:rsidP="0083128B">
            <w:pPr>
              <w:pStyle w:val="ListBullet"/>
            </w:pPr>
            <w:r w:rsidRPr="0083128B">
              <w:t>the precautions to be taken when jigging work for non-electrolytic finishing processes</w:t>
            </w:r>
          </w:p>
          <w:p w:rsidR="00000000" w:rsidRPr="0083128B" w:rsidP="0083128B">
            <w:pPr>
              <w:pStyle w:val="ListBullet"/>
            </w:pPr>
            <w:r w:rsidRPr="0083128B">
              <w:t>the appropriate types and sizes of wire or racks used in conjunction with surface finishing using electrolytic processes</w:t>
            </w:r>
          </w:p>
          <w:p w:rsidR="00000000" w:rsidRPr="0083128B" w:rsidP="0083128B">
            <w:pPr>
              <w:pStyle w:val="ListBullet"/>
            </w:pPr>
            <w:r w:rsidRPr="0083128B">
              <w:t>different fac</w:t>
            </w:r>
            <w:r w:rsidRPr="0083128B">
              <w:t xml:space="preserve">es to be surface finished/coated </w:t>
            </w:r>
          </w:p>
          <w:p w:rsidR="00000000" w:rsidRPr="0083128B" w:rsidP="0083128B">
            <w:pPr>
              <w:pStyle w:val="ListBullet"/>
            </w:pPr>
            <w:r w:rsidRPr="0083128B">
              <w:t>procedures for securing the components to be surface finished using electrolytic processes</w:t>
            </w:r>
          </w:p>
          <w:p w:rsidR="00000000" w:rsidRPr="0083128B" w:rsidP="0083128B">
            <w:pPr>
              <w:pStyle w:val="ListBullet"/>
            </w:pPr>
            <w:r w:rsidRPr="0083128B">
              <w:t xml:space="preserve">procedures for unloading and stacking surface finished components </w:t>
            </w:r>
          </w:p>
          <w:p w:rsidR="00000000" w:rsidRPr="0083128B" w:rsidP="0083128B">
            <w:pPr>
              <w:pStyle w:val="ListBullet"/>
            </w:pPr>
            <w:r w:rsidRPr="0083128B">
              <w:t>the damage that can be caused by inappropriate handling and stor</w:t>
            </w:r>
            <w:r w:rsidRPr="0083128B">
              <w:t>ing of surface finished components</w:t>
            </w:r>
          </w:p>
          <w:p w:rsidR="00000000" w:rsidRPr="0083128B" w:rsidP="0083128B">
            <w:pPr>
              <w:pStyle w:val="ListBullet"/>
            </w:pPr>
            <w:r w:rsidRPr="0083128B">
              <w:t>hazard and control measures associated with wiring, jigging and barrel load/unloading work</w:t>
            </w:r>
          </w:p>
          <w:p w:rsidR="00000000" w:rsidRPr="0083128B" w:rsidP="0083128B">
            <w:pPr>
              <w:pStyle w:val="ListBullet"/>
            </w:pPr>
            <w:r w:rsidRPr="0083128B">
              <w:t>safe workplace practices and procedures</w:t>
            </w:r>
          </w:p>
        </w:tc>
      </w:tr>
    </w:tbl>
    <w:p w:rsidR="00B25CC1" w:rsidP="0083128B">
      <w:pPr>
        <w:pStyle w:val="BodyText"/>
      </w:pPr>
    </w:p>
    <w:p w:rsidR="00B25CC1" w:rsidP="0083128B">
      <w:pPr>
        <w:pStyle w:val="BodyText"/>
      </w:pPr>
    </w:p>
    <w:p w:rsidR="00000000" w:rsidRPr="0083128B" w:rsidP="0083128B">
      <w:pPr>
        <w:pStyle w:val="AllowPageBreak"/>
      </w:pPr>
    </w:p>
    <w:p w:rsidR="00000000" w:rsidRPr="0083128B" w:rsidP="0083128B">
      <w:pPr>
        <w:pStyle w:val="Heading1"/>
      </w:pPr>
      <w:bookmarkStart w:id="10" w:name="O_244780"/>
      <w:bookmarkEnd w:id="10"/>
      <w:r w:rsidRPr="0083128B">
        <w:t>Evidence Guide</w:t>
      </w:r>
    </w:p>
    <w:tbl>
      <w:tblPr>
        <w:tblW w:w="9570" w:type="dxa"/>
        <w:tblLayout w:type="fixed"/>
        <w:tblCellMar>
          <w:left w:w="62" w:type="dxa"/>
          <w:right w:w="62" w:type="dxa"/>
        </w:tblCellMar>
        <w:tblLook w:val="0000"/>
      </w:tblPr>
      <w:tblGrid>
        <w:gridCol w:w="3908"/>
        <w:gridCol w:w="5662"/>
      </w:tblGrid>
      <w:tr w:rsidTr="00B25C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EVIDENCE GUIDE</w:t>
            </w:r>
          </w:p>
        </w:tc>
      </w:tr>
      <w:tr w:rsidTr="00B25C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The evidence guide provides advice on assessment and must be read in conjunction with the performance criteria, required skills and knowledge, range statement and the Assessment Guidelines for the Training Package.</w:t>
            </w:r>
          </w:p>
        </w:tc>
      </w:tr>
      <w:tr w:rsidTr="00B25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A person who dem</w:t>
            </w:r>
            <w:r w:rsidRPr="0083128B">
              <w:t>onstrates competency in this unit must be able to perform wire, jig and barrel load/unload work related to non-electrolytic processes.</w:t>
            </w:r>
          </w:p>
        </w:tc>
      </w:tr>
      <w:tr w:rsidTr="00B25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Assessors must be satisfied that the candidate can competently and consistently perform all elements of the unit as specified by the criteria, including required knowledge, and be capable of applying the competency in new and different situations and conte</w:t>
            </w:r>
            <w:r w:rsidRPr="0083128B">
              <w:t>xts.</w:t>
            </w:r>
          </w:p>
        </w:tc>
      </w:tr>
      <w:tr w:rsidTr="00B25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 xml:space="preserve">This unit may be assessed on the job, off the job or a combination of both on and off the job. Where assessment occurs off the job, that is the candidate is not in productive work, then an appropriate </w:t>
            </w:r>
            <w:r w:rsidRPr="0083128B">
              <w:t>simulation must be used where the range of conditions reflects realistic workplace situations. The competencies covered by this unit would be demonstrated by an individual working alone or as part of a team. The assessment environment should not disadvanta</w:t>
            </w:r>
            <w:r w:rsidRPr="0083128B">
              <w:t>ge the candidate.</w:t>
            </w:r>
          </w:p>
          <w:p w:rsidR="00000000" w:rsidP="0083128B">
            <w:pPr>
              <w:pStyle w:val="BodyText"/>
              <w:rPr>
                <w:lang w:val="en-NZ"/>
              </w:rPr>
            </w:pPr>
            <w:r w:rsidRPr="0083128B">
              <w:t>This unit could be assessed in conjunction with any other units addressing the safety, quality, communication, materials handling, recording and reporting associated with performing wire, jig and barrel load/unload work related to non-ele</w:t>
            </w:r>
            <w:r w:rsidRPr="0083128B">
              <w:t>ctrolytic processes or other units requiring the exercise of the skills and knowledge covered by this unit.</w:t>
            </w:r>
          </w:p>
        </w:tc>
      </w:tr>
      <w:tr w:rsidTr="00B25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Assessors should gather a range of evidence that is valid, sufficient, current and authentic. Evidence can be gathered through</w:t>
            </w:r>
            <w:r w:rsidRPr="0083128B">
              <w:t xml:space="preserve"> a variety of ways including direct observation, supervisor's reports, project work, samples and questioning. Questioning techniques should not require language, literacy and numeracy skills beyond those required in this unit of competency. The candidate m</w:t>
            </w:r>
            <w:r w:rsidRPr="0083128B">
              <w:t>ust have access to all tools, equipment, materials and documentation required. The candidate must be permitted to refer to any relevant workplace procedures, product and manufacturing specifications, codes, standards, manuals and reference materials.</w:t>
            </w:r>
          </w:p>
        </w:tc>
      </w:tr>
      <w:tr w:rsidTr="00B25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Guid</w:t>
            </w:r>
            <w:r w:rsidRPr="0083128B">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p>
        </w:tc>
      </w:tr>
    </w:tbl>
    <w:p w:rsidR="00B25CC1" w:rsidP="0083128B">
      <w:pPr>
        <w:pStyle w:val="BodyText"/>
      </w:pPr>
    </w:p>
    <w:p w:rsidR="00B25CC1" w:rsidP="0083128B">
      <w:pPr>
        <w:pStyle w:val="BodyText"/>
      </w:pPr>
    </w:p>
    <w:p w:rsidR="00000000" w:rsidRPr="0083128B" w:rsidP="0083128B">
      <w:pPr>
        <w:pStyle w:val="Heading1"/>
      </w:pPr>
      <w:bookmarkStart w:id="11" w:name="O_252763"/>
      <w:bookmarkEnd w:id="11"/>
      <w:r w:rsidRPr="0083128B">
        <w:t>Range Statement</w:t>
      </w:r>
    </w:p>
    <w:tbl>
      <w:tblPr>
        <w:tblW w:w="0" w:type="auto"/>
        <w:tblLayout w:type="fixed"/>
        <w:tblCellMar>
          <w:left w:w="62" w:type="dxa"/>
          <w:right w:w="62" w:type="dxa"/>
        </w:tblCellMar>
        <w:tblLook w:val="0000"/>
      </w:tblPr>
      <w:tblGrid>
        <w:gridCol w:w="3521"/>
        <w:gridCol w:w="5001"/>
      </w:tblGrid>
      <w:tr w:rsidTr="00B25C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RANGE STATEMENT</w:t>
            </w:r>
          </w:p>
        </w:tc>
      </w:tr>
      <w:tr w:rsidTr="00B25C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 xml:space="preserve">The range statement relates to the unit of competency as a whole. It allows for different work environments and situations that may affect </w:t>
            </w:r>
            <w:r w:rsidRPr="0083128B">
              <w:t>performance. Bold italicised wording, if used in the performance criteria, is detailed below. Essential operating conditions that may be present with training and assessment (depending on the work situation, needs of the candidate, accessibility of the ite</w:t>
            </w:r>
            <w:r w:rsidRPr="0083128B">
              <w:t>m, and local industry and regional contexts) may also be included.</w:t>
            </w:r>
          </w:p>
        </w:tc>
      </w:tr>
      <w:tr w:rsidTr="00B25CC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Non-electrolytic processes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Pre-treatment  and finishing processes typical of which are degreasing, de-scaling, surface blasting, flame cleaning, wet blasting, grinding, polishing, wet coa</w:t>
            </w:r>
            <w:r w:rsidRPr="0083128B">
              <w:t>ting, powder coating, electroplating, anodising, electroless plating, electrophoretic coating and hot dip metallising</w:t>
            </w:r>
          </w:p>
        </w:tc>
      </w:tr>
      <w:tr w:rsidTr="00B25CC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Components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t>Refer to components supplied by the customer</w:t>
            </w:r>
          </w:p>
        </w:tc>
      </w:tr>
      <w:tr w:rsidTr="00B25CC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Damaged racks</w:t>
            </w:r>
            <w:r w:rsidRPr="0083128B">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ListBullet"/>
            </w:pPr>
            <w:r w:rsidRPr="0083128B">
              <w:t>Damage to plastic coating or contact points</w:t>
            </w:r>
          </w:p>
          <w:p w:rsidR="00000000" w:rsidRPr="0083128B" w:rsidP="0083128B">
            <w:pPr>
              <w:pStyle w:val="ListBullet"/>
            </w:pPr>
            <w:r w:rsidRPr="0083128B">
              <w:t>Ensuring good electrical contact</w:t>
            </w:r>
          </w:p>
          <w:p w:rsidR="00000000" w:rsidRPr="0083128B" w:rsidP="0083128B">
            <w:pPr>
              <w:pStyle w:val="ListBullet"/>
            </w:pPr>
            <w:r w:rsidRPr="0083128B">
              <w:t>Positioning to facilitate optimum thickness on significant surfaces</w:t>
            </w:r>
          </w:p>
          <w:p w:rsidR="00000000" w:rsidRPr="0083128B" w:rsidP="0083128B">
            <w:pPr>
              <w:pStyle w:val="ListBullet"/>
            </w:pPr>
            <w:r w:rsidRPr="0083128B">
              <w:t>Avoidance of gas entrapment</w:t>
            </w:r>
          </w:p>
          <w:p w:rsidR="00000000" w:rsidRPr="0083128B" w:rsidP="0083128B">
            <w:pPr>
              <w:pStyle w:val="ListBullet"/>
            </w:pPr>
            <w:r w:rsidRPr="0083128B">
              <w:t>The position of contact marks</w:t>
            </w:r>
          </w:p>
        </w:tc>
      </w:tr>
    </w:tbl>
    <w:p w:rsidR="00B25CC1" w:rsidP="0083128B">
      <w:pPr>
        <w:pStyle w:val="BodyText"/>
      </w:pPr>
    </w:p>
    <w:p w:rsidR="00B25CC1" w:rsidP="0083128B">
      <w:pPr>
        <w:pStyle w:val="BodyText"/>
      </w:pPr>
    </w:p>
    <w:p w:rsidR="00000000" w:rsidRPr="0083128B" w:rsidP="0083128B">
      <w:pPr>
        <w:pStyle w:val="Heading1"/>
      </w:pPr>
      <w:bookmarkStart w:id="12" w:name="O_211025"/>
      <w:bookmarkEnd w:id="12"/>
      <w:r w:rsidRPr="0083128B">
        <w:t>Unit Sector(s)</w:t>
      </w:r>
    </w:p>
    <w:tbl>
      <w:tblPr>
        <w:tblW w:w="0" w:type="auto"/>
        <w:tblLayout w:type="fixed"/>
        <w:tblCellMar>
          <w:left w:w="62" w:type="dxa"/>
          <w:right w:w="62" w:type="dxa"/>
        </w:tblCellMar>
        <w:tblLook w:val="0000"/>
      </w:tblPr>
      <w:tblGrid>
        <w:gridCol w:w="2654"/>
        <w:gridCol w:w="5868"/>
      </w:tblGrid>
      <w:tr w:rsidTr="00B25C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p>
        </w:tc>
      </w:tr>
    </w:tbl>
    <w:p w:rsidR="00B25CC1" w:rsidP="0083128B">
      <w:pPr>
        <w:pStyle w:val="BodyText"/>
      </w:pPr>
    </w:p>
    <w:p w:rsidR="00B25CC1" w:rsidP="0083128B">
      <w:pPr>
        <w:pStyle w:val="BodyText"/>
      </w:pPr>
    </w:p>
    <w:p w:rsidR="00000000" w:rsidRPr="0083128B" w:rsidP="0083128B">
      <w:pPr>
        <w:pStyle w:val="Heading1"/>
      </w:pPr>
      <w:bookmarkStart w:id="13" w:name="O_211022"/>
      <w:bookmarkEnd w:id="13"/>
      <w:r w:rsidRPr="0083128B">
        <w:t>Co-requisite units</w:t>
      </w:r>
    </w:p>
    <w:tbl>
      <w:tblPr>
        <w:tblW w:w="0" w:type="auto"/>
        <w:tblLayout w:type="fixed"/>
        <w:tblCellMar>
          <w:left w:w="62" w:type="dxa"/>
          <w:right w:w="62" w:type="dxa"/>
        </w:tblCellMar>
        <w:tblLook w:val="0000"/>
      </w:tblPr>
      <w:tblGrid>
        <w:gridCol w:w="2641"/>
        <w:gridCol w:w="1322"/>
        <w:gridCol w:w="4559"/>
      </w:tblGrid>
      <w:tr w:rsidTr="00B25C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p>
        </w:tc>
      </w:tr>
      <w:tr w:rsidTr="00B25C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p>
        </w:tc>
      </w:tr>
      <w:tr w:rsidTr="00B25C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p>
        </w:tc>
      </w:tr>
    </w:tbl>
    <w:p w:rsidR="00B25CC1" w:rsidP="0083128B">
      <w:pPr>
        <w:pStyle w:val="BodyText"/>
      </w:pPr>
    </w:p>
    <w:p w:rsidR="00B25CC1" w:rsidP="0083128B">
      <w:pPr>
        <w:pStyle w:val="BodyText"/>
      </w:pPr>
    </w:p>
    <w:p w:rsidR="00000000" w:rsidRPr="0083128B" w:rsidP="0083128B">
      <w:pPr>
        <w:pStyle w:val="Heading1"/>
      </w:pPr>
      <w:bookmarkStart w:id="14" w:name="O_211024"/>
      <w:bookmarkEnd w:id="14"/>
      <w:r w:rsidRPr="0083128B">
        <w:t>Competency field</w:t>
      </w:r>
    </w:p>
    <w:tbl>
      <w:tblPr>
        <w:tblW w:w="0" w:type="auto"/>
        <w:tblLayout w:type="fixed"/>
        <w:tblCellMar>
          <w:left w:w="62" w:type="dxa"/>
          <w:right w:w="62" w:type="dxa"/>
        </w:tblCellMar>
        <w:tblLook w:val="0000"/>
      </w:tblPr>
      <w:tblGrid>
        <w:gridCol w:w="2778"/>
        <w:gridCol w:w="5744"/>
      </w:tblGrid>
      <w:tr w:rsidTr="00B25CC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28B">
            <w:pPr>
              <w:pStyle w:val="BodyText"/>
              <w:rPr>
                <w:lang w:val="en-NZ"/>
              </w:rPr>
            </w:pPr>
            <w:r w:rsidRPr="0083128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28B" w:rsidP="0083128B">
            <w:pPr>
              <w:pStyle w:val="BodyText"/>
            </w:pPr>
            <w:r w:rsidRPr="0083128B">
              <w:t>Surface finishing</w:t>
            </w:r>
          </w:p>
        </w:tc>
      </w:tr>
    </w:tbl>
    <w:p w:rsidR="00B25CC1" w:rsidP="0083128B">
      <w:pPr>
        <w:pStyle w:val="BodyText"/>
      </w:pPr>
    </w:p>
    <w:p w:rsidR="00B25CC1" w:rsidP="0083128B">
      <w:pPr>
        <w:pStyle w:val="BodyText"/>
      </w:pPr>
    </w:p>
    <w:p w:rsidR="00000000" w:rsidRPr="0083128B" w:rsidP="0083128B"/>
    <w:sectPr w:rsidSect="00831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CC1" w:rsidP="00B25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C1" w:rsidP="00831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5CC1" w:rsidP="00831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5CC1" w:rsidP="00831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CC1" w:rsidP="00B25C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C1" w:rsidP="0083128B">
    <w:pPr>
      <w:pStyle w:val="Header"/>
      <w:framePr w:wrap="around"/>
    </w:pPr>
    <w:r>
      <w:fldChar w:fldCharType="begin"/>
    </w:r>
    <w:r>
      <w:instrText xml:space="preserve"> TITLE   \* MERGEFORMAT </w:instrText>
    </w:r>
    <w:r>
      <w:fldChar w:fldCharType="separate"/>
    </w:r>
    <w:r>
      <w:t>MEM08001B Perform wire, jig and barrel load/unload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CC1" w:rsidP="008312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C62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1E84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2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128B"/>
    <w:pPr>
      <w:spacing w:before="360" w:after="60"/>
      <w:outlineLvl w:val="0"/>
    </w:pPr>
    <w:rPr>
      <w:sz w:val="32"/>
    </w:rPr>
  </w:style>
  <w:style w:type="paragraph" w:styleId="Heading2">
    <w:name w:val="heading 2"/>
    <w:basedOn w:val="HeadingBase"/>
    <w:next w:val="BodyText"/>
    <w:link w:val="Heading2Char"/>
    <w:qFormat/>
    <w:rsid w:val="0083128B"/>
    <w:pPr>
      <w:keepLines/>
      <w:spacing w:before="240" w:after="120"/>
      <w:outlineLvl w:val="1"/>
    </w:pPr>
    <w:rPr>
      <w:sz w:val="28"/>
      <w:szCs w:val="40"/>
    </w:rPr>
  </w:style>
  <w:style w:type="paragraph" w:styleId="Heading3">
    <w:name w:val="heading 3"/>
    <w:basedOn w:val="HeadingBase"/>
    <w:next w:val="BodyText"/>
    <w:link w:val="Heading3Char"/>
    <w:qFormat/>
    <w:rsid w:val="0083128B"/>
    <w:pPr>
      <w:spacing w:before="180" w:after="120"/>
      <w:outlineLvl w:val="2"/>
    </w:pPr>
    <w:rPr>
      <w:spacing w:val="-10"/>
      <w:kern w:val="32"/>
    </w:rPr>
  </w:style>
  <w:style w:type="paragraph" w:styleId="Heading4">
    <w:name w:val="heading 4"/>
    <w:basedOn w:val="HeadingBase"/>
    <w:next w:val="BodyText"/>
    <w:link w:val="Heading4Char"/>
    <w:qFormat/>
    <w:rsid w:val="0083128B"/>
    <w:pPr>
      <w:spacing w:before="160" w:after="120"/>
      <w:outlineLvl w:val="3"/>
    </w:pPr>
    <w:rPr>
      <w:sz w:val="22"/>
    </w:rPr>
  </w:style>
  <w:style w:type="paragraph" w:styleId="Heading5">
    <w:name w:val="heading 5"/>
    <w:basedOn w:val="HeadingBase"/>
    <w:next w:val="Normal"/>
    <w:link w:val="Heading5Char"/>
    <w:qFormat/>
    <w:rsid w:val="0083128B"/>
    <w:pPr>
      <w:spacing w:before="80"/>
      <w:outlineLvl w:val="4"/>
    </w:pPr>
    <w:rPr>
      <w:color w:val="918585"/>
      <w:sz w:val="20"/>
    </w:rPr>
  </w:style>
  <w:style w:type="paragraph" w:styleId="Heading6">
    <w:name w:val="heading 6"/>
    <w:basedOn w:val="HeadingBase"/>
    <w:next w:val="Normal"/>
    <w:link w:val="Heading6Char"/>
    <w:qFormat/>
    <w:rsid w:val="0083128B"/>
    <w:pPr>
      <w:spacing w:before="60"/>
      <w:outlineLvl w:val="5"/>
    </w:pPr>
    <w:rPr>
      <w:color w:val="918585"/>
      <w:sz w:val="20"/>
    </w:rPr>
  </w:style>
  <w:style w:type="paragraph" w:styleId="Heading7">
    <w:name w:val="heading 7"/>
    <w:basedOn w:val="Normal"/>
    <w:next w:val="Normal"/>
    <w:link w:val="Heading7Char"/>
    <w:qFormat/>
    <w:rsid w:val="0083128B"/>
    <w:pPr>
      <w:ind w:left="720"/>
      <w:outlineLvl w:val="6"/>
    </w:pPr>
    <w:rPr>
      <w:i/>
    </w:rPr>
  </w:style>
  <w:style w:type="paragraph" w:styleId="Heading8">
    <w:name w:val="heading 8"/>
    <w:basedOn w:val="Normal"/>
    <w:next w:val="Normal"/>
    <w:link w:val="Heading8Char"/>
    <w:qFormat/>
    <w:rsid w:val="0083128B"/>
    <w:pPr>
      <w:ind w:left="720"/>
      <w:outlineLvl w:val="7"/>
    </w:pPr>
    <w:rPr>
      <w:i/>
    </w:rPr>
  </w:style>
  <w:style w:type="paragraph" w:styleId="Heading9">
    <w:name w:val="heading 9"/>
    <w:basedOn w:val="Normal"/>
    <w:next w:val="Normal"/>
    <w:link w:val="Heading9Char"/>
    <w:qFormat/>
    <w:rsid w:val="0083128B"/>
    <w:pPr>
      <w:ind w:left="720"/>
      <w:outlineLvl w:val="8"/>
    </w:pPr>
    <w:rPr>
      <w:i/>
    </w:rPr>
  </w:style>
  <w:style w:type="character" w:default="1" w:styleId="DefaultParagraphFont">
    <w:name w:val="Default Paragraph Font"/>
    <w:uiPriority w:val="1"/>
    <w:unhideWhenUsed/>
    <w:rsid w:val="00831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28B"/>
  </w:style>
  <w:style w:type="character" w:customStyle="1" w:styleId="Heading1Char">
    <w:name w:val="Heading 1 Char"/>
    <w:basedOn w:val="DefaultParagraphFont"/>
    <w:link w:val="Heading1"/>
    <w:rsid w:val="0083128B"/>
    <w:rPr>
      <w:rFonts w:ascii="Times New Roman" w:eastAsia="Times New Roman" w:hAnsi="Times New Roman" w:cs="Times New Roman"/>
      <w:b/>
      <w:sz w:val="32"/>
      <w:szCs w:val="20"/>
      <w:lang w:eastAsia="en-US"/>
    </w:rPr>
  </w:style>
  <w:style w:type="paragraph" w:styleId="BodyText">
    <w:name w:val="Body Text"/>
    <w:basedOn w:val="Normal"/>
    <w:link w:val="BodyTextChar"/>
    <w:rsid w:val="00831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28B"/>
    <w:rPr>
      <w:rFonts w:ascii="Times New Roman" w:eastAsia="Times New Roman" w:hAnsi="Times New Roman" w:cs="Times New Roman"/>
      <w:sz w:val="24"/>
      <w:lang w:val="en-US" w:eastAsia="en-US"/>
    </w:rPr>
  </w:style>
  <w:style w:type="paragraph" w:styleId="Footer">
    <w:name w:val="footer"/>
    <w:basedOn w:val="Normal"/>
    <w:link w:val="FooterChar"/>
    <w:rsid w:val="00831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28B"/>
    <w:rPr>
      <w:rFonts w:ascii="Times New Roman" w:eastAsia="Times New Roman" w:hAnsi="Times New Roman" w:cs="Times New Roman"/>
      <w:sz w:val="16"/>
      <w:lang w:val="en-US" w:eastAsia="en-US"/>
    </w:rPr>
  </w:style>
  <w:style w:type="paragraph" w:styleId="List">
    <w:name w:val="List"/>
    <w:basedOn w:val="BodyText"/>
    <w:next w:val="BodyText"/>
    <w:rsid w:val="0083128B"/>
    <w:pPr>
      <w:tabs>
        <w:tab w:val="left" w:pos="340"/>
      </w:tabs>
      <w:spacing w:before="60" w:after="60"/>
      <w:ind w:left="340" w:hanging="340"/>
    </w:pPr>
  </w:style>
  <w:style w:type="paragraph" w:styleId="ListBullet">
    <w:name w:val="List Bullet"/>
    <w:basedOn w:val="List"/>
    <w:rsid w:val="0083128B"/>
    <w:pPr>
      <w:numPr>
        <w:numId w:val="12"/>
      </w:numPr>
      <w:tabs>
        <w:tab w:val="clear" w:pos="340"/>
      </w:tabs>
      <w:spacing w:before="40" w:after="40"/>
    </w:pPr>
  </w:style>
  <w:style w:type="character" w:customStyle="1" w:styleId="SpecialBold">
    <w:name w:val="Special Bold"/>
    <w:basedOn w:val="DefaultParagraphFont"/>
    <w:rsid w:val="0083128B"/>
    <w:rPr>
      <w:b/>
      <w:spacing w:val="0"/>
    </w:rPr>
  </w:style>
  <w:style w:type="paragraph" w:styleId="Header">
    <w:name w:val="header"/>
    <w:basedOn w:val="Normal"/>
    <w:link w:val="HeaderChar"/>
    <w:rsid w:val="00831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2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128B"/>
    <w:pPr>
      <w:spacing w:before="240" w:after="120"/>
      <w:outlineLvl w:val="0"/>
    </w:pPr>
    <w:rPr>
      <w:rFonts w:ascii="Times New Roman" w:hAnsi="Times New Roman"/>
      <w:b/>
      <w:sz w:val="28"/>
    </w:rPr>
  </w:style>
  <w:style w:type="paragraph" w:customStyle="1" w:styleId="AllowPageBreak">
    <w:name w:val="AllowPageBreak"/>
    <w:rsid w:val="008312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128B"/>
    <w:pPr>
      <w:tabs>
        <w:tab w:val="left" w:pos="680"/>
      </w:tabs>
      <w:spacing w:before="60" w:after="60"/>
      <w:ind w:left="680" w:hanging="340"/>
    </w:pPr>
  </w:style>
  <w:style w:type="character" w:customStyle="1" w:styleId="Heading2Char">
    <w:name w:val="Heading 2 Char"/>
    <w:basedOn w:val="DefaultParagraphFont"/>
    <w:link w:val="Heading2"/>
    <w:rsid w:val="00831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2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12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128B"/>
    <w:rPr>
      <w:rFonts w:ascii="Courier New" w:eastAsia="Times New Roman" w:hAnsi="Courier New" w:cs="Times New Roman"/>
      <w:i/>
      <w:szCs w:val="20"/>
      <w:lang w:val="en-US" w:eastAsia="en-US"/>
    </w:rPr>
  </w:style>
  <w:style w:type="paragraph" w:customStyle="1" w:styleId="HeadingBase">
    <w:name w:val="Heading Base"/>
    <w:rsid w:val="00831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28B"/>
    <w:pPr>
      <w:tabs>
        <w:tab w:val="right" w:leader="dot" w:pos="9072"/>
      </w:tabs>
      <w:ind w:left="567"/>
    </w:pPr>
    <w:rPr>
      <w:szCs w:val="22"/>
    </w:rPr>
  </w:style>
  <w:style w:type="paragraph" w:customStyle="1" w:styleId="TOCBase">
    <w:name w:val="TOC Base"/>
    <w:rsid w:val="00831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28B"/>
    <w:pPr>
      <w:tabs>
        <w:tab w:val="right" w:leader="dot" w:pos="9072"/>
      </w:tabs>
      <w:spacing w:before="40" w:after="40"/>
      <w:ind w:left="284"/>
    </w:pPr>
    <w:rPr>
      <w:rFonts w:ascii="Times New Roman" w:hAnsi="Times New Roman"/>
    </w:rPr>
  </w:style>
  <w:style w:type="paragraph" w:styleId="TOC1">
    <w:name w:val="toc 1"/>
    <w:basedOn w:val="TOCBase"/>
    <w:next w:val="Normal"/>
    <w:rsid w:val="00831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128B"/>
    <w:pPr>
      <w:spacing w:before="5040"/>
      <w:jc w:val="center"/>
    </w:pPr>
    <w:rPr>
      <w:sz w:val="48"/>
      <w:szCs w:val="72"/>
      <w:lang w:val="en-US"/>
    </w:rPr>
  </w:style>
  <w:style w:type="character" w:customStyle="1" w:styleId="TitleChar">
    <w:name w:val="Title Char"/>
    <w:basedOn w:val="DefaultParagraphFont"/>
    <w:link w:val="Title"/>
    <w:rsid w:val="00831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28B"/>
    <w:pPr>
      <w:tabs>
        <w:tab w:val="left" w:pos="3600"/>
        <w:tab w:val="left" w:pos="3958"/>
      </w:tabs>
    </w:pPr>
  </w:style>
  <w:style w:type="paragraph" w:customStyle="1" w:styleId="Note">
    <w:name w:val="Note"/>
    <w:basedOn w:val="BodyText"/>
    <w:rsid w:val="00831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28B"/>
    <w:pPr>
      <w:framePr w:wrap="auto" w:hAnchor="text" w:y="6049"/>
    </w:pPr>
    <w:rPr>
      <w:color w:val="000000"/>
      <w:sz w:val="40"/>
    </w:rPr>
  </w:style>
  <w:style w:type="paragraph" w:customStyle="1" w:styleId="TOCTitle">
    <w:name w:val="TOCTitle"/>
    <w:basedOn w:val="Heading1"/>
    <w:rsid w:val="0083128B"/>
    <w:pPr>
      <w:spacing w:after="240"/>
      <w:jc w:val="center"/>
      <w:outlineLvl w:val="9"/>
    </w:pPr>
    <w:rPr>
      <w:caps/>
    </w:rPr>
  </w:style>
  <w:style w:type="paragraph" w:customStyle="1" w:styleId="Version">
    <w:name w:val="Version"/>
    <w:rsid w:val="00831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28B"/>
    <w:pPr>
      <w:numPr>
        <w:numId w:val="13"/>
      </w:numPr>
      <w:tabs>
        <w:tab w:val="clear" w:pos="680"/>
      </w:tabs>
    </w:pPr>
  </w:style>
  <w:style w:type="paragraph" w:styleId="Index1">
    <w:name w:val="index 1"/>
    <w:basedOn w:val="Normal"/>
    <w:next w:val="Normal"/>
    <w:semiHidden/>
    <w:rsid w:val="0083128B"/>
    <w:pPr>
      <w:keepNext w:val="0"/>
      <w:tabs>
        <w:tab w:val="right" w:pos="4176"/>
      </w:tabs>
      <w:ind w:left="198" w:hanging="198"/>
    </w:pPr>
    <w:rPr>
      <w:rFonts w:ascii="Garamond" w:hAnsi="Garamond"/>
    </w:rPr>
  </w:style>
  <w:style w:type="paragraph" w:styleId="IndexHeading">
    <w:name w:val="index heading"/>
    <w:basedOn w:val="Normal"/>
    <w:next w:val="Index1"/>
    <w:semiHidden/>
    <w:rsid w:val="0083128B"/>
    <w:pPr>
      <w:spacing w:before="120" w:after="120"/>
    </w:pPr>
    <w:rPr>
      <w:rFonts w:ascii="Arial" w:hAnsi="Arial"/>
      <w:b/>
      <w:color w:val="918585"/>
      <w:sz w:val="24"/>
    </w:rPr>
  </w:style>
  <w:style w:type="paragraph" w:customStyle="1" w:styleId="Chapter">
    <w:name w:val="Chapter"/>
    <w:basedOn w:val="Normal"/>
    <w:rsid w:val="0083128B"/>
    <w:pPr>
      <w:spacing w:before="240"/>
    </w:pPr>
    <w:rPr>
      <w:rFonts w:ascii="Times New Roman" w:hAnsi="Times New Roman"/>
      <w:smallCaps/>
      <w:spacing w:val="80"/>
      <w:sz w:val="28"/>
    </w:rPr>
  </w:style>
  <w:style w:type="paragraph" w:customStyle="1" w:styleId="InChapter">
    <w:name w:val="InChapter"/>
    <w:basedOn w:val="Heading3"/>
    <w:rsid w:val="0083128B"/>
    <w:pPr>
      <w:spacing w:after="240"/>
      <w:outlineLvl w:val="9"/>
    </w:pPr>
    <w:rPr>
      <w:noProof/>
    </w:rPr>
  </w:style>
  <w:style w:type="paragraph" w:styleId="Index2">
    <w:name w:val="index 2"/>
    <w:basedOn w:val="Normal"/>
    <w:next w:val="Normal"/>
    <w:semiHidden/>
    <w:rsid w:val="0083128B"/>
    <w:pPr>
      <w:tabs>
        <w:tab w:val="right" w:pos="4176"/>
      </w:tabs>
      <w:ind w:left="568" w:hanging="284"/>
    </w:pPr>
    <w:rPr>
      <w:rFonts w:ascii="Garamond" w:hAnsi="Garamond"/>
    </w:rPr>
  </w:style>
  <w:style w:type="paragraph" w:customStyle="1" w:styleId="Byline">
    <w:name w:val="Byline"/>
    <w:rsid w:val="00831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28B"/>
    <w:pPr>
      <w:tabs>
        <w:tab w:val="clear" w:pos="3600"/>
        <w:tab w:val="clear" w:pos="3958"/>
      </w:tabs>
      <w:jc w:val="right"/>
    </w:pPr>
  </w:style>
  <w:style w:type="character" w:styleId="Emphasis">
    <w:name w:val="Emphasis"/>
    <w:basedOn w:val="DefaultParagraphFont"/>
    <w:qFormat/>
    <w:rsid w:val="0083128B"/>
    <w:rPr>
      <w:i/>
    </w:rPr>
  </w:style>
  <w:style w:type="paragraph" w:styleId="Caption">
    <w:name w:val="caption"/>
    <w:basedOn w:val="BodyText"/>
    <w:next w:val="Normal"/>
    <w:qFormat/>
    <w:rsid w:val="0083128B"/>
    <w:pPr>
      <w:framePr w:w="2268" w:hSpace="181" w:vSpace="181" w:wrap="around" w:vAnchor="text" w:hAnchor="page" w:x="1135" w:y="285" w:anchorLock="1"/>
    </w:pPr>
    <w:rPr>
      <w:i/>
    </w:rPr>
  </w:style>
  <w:style w:type="paragraph" w:customStyle="1" w:styleId="MiniTOCTitle">
    <w:name w:val="MiniTOCTitle"/>
    <w:basedOn w:val="Heading4"/>
    <w:rsid w:val="0083128B"/>
    <w:pPr>
      <w:spacing w:before="240"/>
      <w:outlineLvl w:val="9"/>
    </w:pPr>
    <w:rPr>
      <w:noProof/>
      <w:sz w:val="24"/>
    </w:rPr>
  </w:style>
  <w:style w:type="paragraph" w:customStyle="1" w:styleId="MiniTOCItem">
    <w:name w:val="MiniTOCItem"/>
    <w:basedOn w:val="ListBullet"/>
    <w:rsid w:val="0083128B"/>
    <w:pPr>
      <w:numPr>
        <w:numId w:val="0"/>
      </w:numPr>
      <w:tabs>
        <w:tab w:val="right" w:leader="dot" w:pos="6521"/>
      </w:tabs>
      <w:spacing w:before="0" w:after="0"/>
    </w:pPr>
  </w:style>
  <w:style w:type="paragraph" w:customStyle="1" w:styleId="TOFTitle">
    <w:name w:val="TOFTitle"/>
    <w:basedOn w:val="TOCTitle"/>
    <w:rsid w:val="0083128B"/>
  </w:style>
  <w:style w:type="paragraph" w:styleId="TableofFigures">
    <w:name w:val="table of figures"/>
    <w:basedOn w:val="Normal"/>
    <w:next w:val="Normal"/>
    <w:semiHidden/>
    <w:rsid w:val="0083128B"/>
    <w:pPr>
      <w:tabs>
        <w:tab w:val="right" w:leader="dot" w:pos="9072"/>
      </w:tabs>
      <w:ind w:left="970" w:hanging="403"/>
    </w:pPr>
    <w:rPr>
      <w:rFonts w:ascii="Times New Roman" w:hAnsi="Times New Roman"/>
      <w:b/>
    </w:rPr>
  </w:style>
  <w:style w:type="paragraph" w:styleId="ListNumber">
    <w:name w:val="List Number"/>
    <w:basedOn w:val="List"/>
    <w:rsid w:val="0083128B"/>
    <w:pPr>
      <w:numPr>
        <w:numId w:val="10"/>
      </w:numPr>
    </w:pPr>
  </w:style>
  <w:style w:type="character" w:customStyle="1" w:styleId="WingdingSymbols">
    <w:name w:val="Wingding Symbols"/>
    <w:rsid w:val="0083128B"/>
    <w:rPr>
      <w:rFonts w:ascii="Wingdings" w:hAnsi="Wingdings"/>
    </w:rPr>
  </w:style>
  <w:style w:type="paragraph" w:customStyle="1" w:styleId="TableHeading">
    <w:name w:val="Table Heading"/>
    <w:basedOn w:val="HeadingBase"/>
    <w:rsid w:val="0083128B"/>
    <w:pPr>
      <w:keepLines/>
      <w:pBdr>
        <w:bottom w:val="single" w:sz="6" w:space="1" w:color="918585"/>
      </w:pBdr>
      <w:spacing w:before="240"/>
    </w:pPr>
  </w:style>
  <w:style w:type="character" w:customStyle="1" w:styleId="HotSpot">
    <w:name w:val="HotSpot"/>
    <w:rsid w:val="0083128B"/>
    <w:rPr>
      <w:color w:val="0033CC"/>
      <w:u w:val="none"/>
    </w:rPr>
  </w:style>
  <w:style w:type="paragraph" w:customStyle="1" w:styleId="BodyTextRight">
    <w:name w:val="Body Text Right"/>
    <w:basedOn w:val="BodyText"/>
    <w:rsid w:val="0083128B"/>
    <w:pPr>
      <w:spacing w:before="0" w:after="0"/>
      <w:jc w:val="right"/>
    </w:pPr>
  </w:style>
  <w:style w:type="paragraph" w:styleId="Index3">
    <w:name w:val="index 3"/>
    <w:basedOn w:val="ListNumber2"/>
    <w:next w:val="Normal"/>
    <w:semiHidden/>
    <w:rsid w:val="0083128B"/>
    <w:pPr>
      <w:numPr>
        <w:numId w:val="0"/>
      </w:numPr>
      <w:tabs>
        <w:tab w:val="right" w:leader="dot" w:pos="4176"/>
      </w:tabs>
    </w:pPr>
  </w:style>
  <w:style w:type="paragraph" w:styleId="ListNumber2">
    <w:name w:val="List Number 2"/>
    <w:basedOn w:val="List2"/>
    <w:rsid w:val="0083128B"/>
    <w:pPr>
      <w:numPr>
        <w:numId w:val="9"/>
      </w:numPr>
      <w:tabs>
        <w:tab w:val="clear" w:pos="1060"/>
      </w:tabs>
    </w:pPr>
  </w:style>
  <w:style w:type="paragraph" w:customStyle="1" w:styleId="MarginNote">
    <w:name w:val="Margin Note"/>
    <w:basedOn w:val="BodyText"/>
    <w:rsid w:val="00831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2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128B"/>
    <w:rPr>
      <w:sz w:val="32"/>
    </w:rPr>
  </w:style>
  <w:style w:type="paragraph" w:customStyle="1" w:styleId="HeadingProcedure">
    <w:name w:val="Heading Procedure"/>
    <w:basedOn w:val="HeadingBase"/>
    <w:next w:val="Normal"/>
    <w:rsid w:val="0083128B"/>
    <w:pPr>
      <w:tabs>
        <w:tab w:val="left" w:pos="0"/>
      </w:tabs>
      <w:spacing w:before="120" w:after="60"/>
    </w:pPr>
    <w:rPr>
      <w:i/>
      <w:color w:val="918585"/>
      <w:sz w:val="22"/>
    </w:rPr>
  </w:style>
  <w:style w:type="paragraph" w:customStyle="1" w:styleId="TableBodyText">
    <w:name w:val="Table Body Text"/>
    <w:basedOn w:val="BodyText"/>
    <w:rsid w:val="0083128B"/>
    <w:pPr>
      <w:spacing w:before="60" w:after="60"/>
    </w:pPr>
  </w:style>
  <w:style w:type="paragraph" w:styleId="ListContinue">
    <w:name w:val="List Continue"/>
    <w:basedOn w:val="List"/>
    <w:rsid w:val="0083128B"/>
    <w:pPr>
      <w:ind w:firstLine="0"/>
    </w:pPr>
  </w:style>
  <w:style w:type="paragraph" w:customStyle="1" w:styleId="ListNote">
    <w:name w:val="List Note"/>
    <w:basedOn w:val="List"/>
    <w:rsid w:val="0083128B"/>
    <w:pPr>
      <w:pBdr>
        <w:top w:val="single" w:sz="6" w:space="2" w:color="918585"/>
        <w:bottom w:val="single" w:sz="6" w:space="2" w:color="918585"/>
      </w:pBdr>
      <w:tabs>
        <w:tab w:val="left" w:pos="1021"/>
      </w:tabs>
      <w:ind w:firstLine="0"/>
    </w:pPr>
  </w:style>
  <w:style w:type="paragraph" w:customStyle="1" w:styleId="Warning">
    <w:name w:val="Warning"/>
    <w:basedOn w:val="BodyText"/>
    <w:rsid w:val="0083128B"/>
    <w:pPr>
      <w:shd w:val="clear" w:color="auto" w:fill="D9D9D9"/>
      <w:tabs>
        <w:tab w:val="left" w:pos="992"/>
      </w:tabs>
      <w:ind w:left="119" w:right="119"/>
    </w:pPr>
    <w:rPr>
      <w:sz w:val="20"/>
    </w:rPr>
  </w:style>
  <w:style w:type="paragraph" w:customStyle="1" w:styleId="MarginIcons">
    <w:name w:val="Margin Icons"/>
    <w:basedOn w:val="BodyText"/>
    <w:rsid w:val="00831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28B"/>
    <w:rPr>
      <w:rFonts w:ascii="Courier New" w:hAnsi="Courier New"/>
    </w:rPr>
  </w:style>
  <w:style w:type="paragraph" w:customStyle="1" w:styleId="NoteBullet">
    <w:name w:val="Note Bullet"/>
    <w:basedOn w:val="Note"/>
    <w:rsid w:val="0083128B"/>
    <w:pPr>
      <w:tabs>
        <w:tab w:val="clear" w:pos="680"/>
      </w:tabs>
      <w:spacing w:before="60" w:after="60"/>
    </w:pPr>
  </w:style>
  <w:style w:type="paragraph" w:customStyle="1" w:styleId="SubHeading2">
    <w:name w:val="SubHeading2"/>
    <w:basedOn w:val="HeadingBase"/>
    <w:rsid w:val="0083128B"/>
    <w:pPr>
      <w:spacing w:before="240" w:after="60"/>
    </w:pPr>
    <w:rPr>
      <w:sz w:val="20"/>
    </w:rPr>
  </w:style>
  <w:style w:type="paragraph" w:customStyle="1" w:styleId="SubHeading1">
    <w:name w:val="SubHeading1"/>
    <w:basedOn w:val="HeadingBase"/>
    <w:rsid w:val="0083128B"/>
    <w:pPr>
      <w:spacing w:before="240" w:after="60"/>
    </w:pPr>
    <w:rPr>
      <w:color w:val="918585"/>
      <w:sz w:val="22"/>
    </w:rPr>
  </w:style>
  <w:style w:type="paragraph" w:customStyle="1" w:styleId="SideHeading">
    <w:name w:val="Side Heading"/>
    <w:basedOn w:val="HeadingBase"/>
    <w:rsid w:val="00831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28B"/>
    <w:pPr>
      <w:tabs>
        <w:tab w:val="num" w:pos="360"/>
      </w:tabs>
    </w:pPr>
  </w:style>
  <w:style w:type="paragraph" w:styleId="PlainText">
    <w:name w:val="Plain Text"/>
    <w:basedOn w:val="Normal"/>
    <w:link w:val="PlainTextChar"/>
    <w:rsid w:val="0083128B"/>
    <w:rPr>
      <w:sz w:val="20"/>
    </w:rPr>
  </w:style>
  <w:style w:type="character" w:customStyle="1" w:styleId="PlainTextChar">
    <w:name w:val="Plain Text Char"/>
    <w:basedOn w:val="DefaultParagraphFont"/>
    <w:link w:val="PlainText"/>
    <w:rsid w:val="008312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128B"/>
    <w:rPr>
      <w:b/>
      <w:smallCaps/>
    </w:rPr>
  </w:style>
  <w:style w:type="paragraph" w:customStyle="1" w:styleId="TableListNumber">
    <w:name w:val="Table List Number"/>
    <w:basedOn w:val="ListNumber"/>
    <w:rsid w:val="0083128B"/>
    <w:pPr>
      <w:numPr>
        <w:numId w:val="0"/>
      </w:numPr>
    </w:pPr>
  </w:style>
  <w:style w:type="paragraph" w:styleId="TOC4">
    <w:name w:val="toc 4"/>
    <w:basedOn w:val="TOCBase"/>
    <w:next w:val="Normal"/>
    <w:semiHidden/>
    <w:rsid w:val="0083128B"/>
    <w:pPr>
      <w:tabs>
        <w:tab w:val="right" w:leader="dot" w:pos="9071"/>
      </w:tabs>
      <w:ind w:left="1701"/>
    </w:pPr>
  </w:style>
  <w:style w:type="paragraph" w:customStyle="1" w:styleId="ListAlpha">
    <w:name w:val="List Alpha"/>
    <w:basedOn w:val="List"/>
    <w:rsid w:val="0083128B"/>
    <w:pPr>
      <w:numPr>
        <w:numId w:val="8"/>
      </w:numPr>
    </w:pPr>
  </w:style>
  <w:style w:type="paragraph" w:customStyle="1" w:styleId="ListAlpha2">
    <w:name w:val="List Alpha 2"/>
    <w:basedOn w:val="List2"/>
    <w:rsid w:val="0083128B"/>
    <w:pPr>
      <w:numPr>
        <w:numId w:val="7"/>
      </w:numPr>
    </w:pPr>
  </w:style>
  <w:style w:type="paragraph" w:styleId="List3">
    <w:name w:val="List 3"/>
    <w:basedOn w:val="BodyText"/>
    <w:rsid w:val="0083128B"/>
    <w:pPr>
      <w:tabs>
        <w:tab w:val="left" w:pos="1021"/>
      </w:tabs>
      <w:spacing w:before="60" w:after="60"/>
      <w:ind w:left="1020" w:hanging="340"/>
    </w:pPr>
  </w:style>
  <w:style w:type="paragraph" w:styleId="List4">
    <w:name w:val="List 4"/>
    <w:basedOn w:val="BodyText"/>
    <w:rsid w:val="0083128B"/>
    <w:pPr>
      <w:tabs>
        <w:tab w:val="left" w:pos="1361"/>
      </w:tabs>
      <w:spacing w:before="60" w:after="60"/>
      <w:ind w:left="1361" w:hanging="340"/>
    </w:pPr>
  </w:style>
  <w:style w:type="paragraph" w:styleId="List5">
    <w:name w:val="List 5"/>
    <w:basedOn w:val="BodyText"/>
    <w:rsid w:val="0083128B"/>
    <w:pPr>
      <w:tabs>
        <w:tab w:val="left" w:pos="1701"/>
      </w:tabs>
      <w:spacing w:before="60" w:after="60"/>
      <w:ind w:left="1701" w:hanging="340"/>
    </w:pPr>
  </w:style>
  <w:style w:type="paragraph" w:styleId="ListBullet3">
    <w:name w:val="List Bullet 3"/>
    <w:basedOn w:val="List3"/>
    <w:rsid w:val="0083128B"/>
    <w:pPr>
      <w:numPr>
        <w:numId w:val="14"/>
      </w:numPr>
      <w:tabs>
        <w:tab w:val="clear" w:pos="1021"/>
      </w:tabs>
      <w:ind w:left="1037" w:hanging="357"/>
    </w:pPr>
  </w:style>
  <w:style w:type="paragraph" w:styleId="ListBullet4">
    <w:name w:val="List Bullet 4"/>
    <w:basedOn w:val="List4"/>
    <w:rsid w:val="0083128B"/>
    <w:pPr>
      <w:numPr>
        <w:numId w:val="2"/>
      </w:numPr>
    </w:pPr>
  </w:style>
  <w:style w:type="paragraph" w:styleId="ListBullet5">
    <w:name w:val="List Bullet 5"/>
    <w:basedOn w:val="List5"/>
    <w:rsid w:val="0083128B"/>
    <w:pPr>
      <w:numPr>
        <w:numId w:val="3"/>
      </w:numPr>
    </w:pPr>
  </w:style>
  <w:style w:type="paragraph" w:styleId="ListContinue2">
    <w:name w:val="List Continue 2"/>
    <w:basedOn w:val="List2"/>
    <w:rsid w:val="0083128B"/>
    <w:pPr>
      <w:ind w:firstLine="0"/>
    </w:pPr>
  </w:style>
  <w:style w:type="paragraph" w:styleId="ListContinue3">
    <w:name w:val="List Continue 3"/>
    <w:basedOn w:val="List3"/>
    <w:rsid w:val="0083128B"/>
    <w:pPr>
      <w:ind w:left="1021" w:firstLine="0"/>
    </w:pPr>
  </w:style>
  <w:style w:type="paragraph" w:styleId="ListContinue4">
    <w:name w:val="List Continue 4"/>
    <w:basedOn w:val="List4"/>
    <w:rsid w:val="0083128B"/>
    <w:pPr>
      <w:ind w:firstLine="0"/>
    </w:pPr>
  </w:style>
  <w:style w:type="paragraph" w:styleId="ListContinue5">
    <w:name w:val="List Continue 5"/>
    <w:basedOn w:val="List5"/>
    <w:rsid w:val="0083128B"/>
    <w:pPr>
      <w:ind w:firstLine="0"/>
    </w:pPr>
  </w:style>
  <w:style w:type="paragraph" w:styleId="ListNumber3">
    <w:name w:val="List Number 3"/>
    <w:basedOn w:val="List3"/>
    <w:rsid w:val="0083128B"/>
    <w:pPr>
      <w:numPr>
        <w:numId w:val="4"/>
      </w:numPr>
    </w:pPr>
  </w:style>
  <w:style w:type="paragraph" w:styleId="ListNumber4">
    <w:name w:val="List Number 4"/>
    <w:basedOn w:val="List4"/>
    <w:rsid w:val="0083128B"/>
    <w:pPr>
      <w:numPr>
        <w:numId w:val="5"/>
      </w:numPr>
    </w:pPr>
  </w:style>
  <w:style w:type="paragraph" w:styleId="ListNumber5">
    <w:name w:val="List Number 5"/>
    <w:basedOn w:val="List5"/>
    <w:rsid w:val="0083128B"/>
    <w:pPr>
      <w:numPr>
        <w:numId w:val="6"/>
      </w:numPr>
    </w:pPr>
  </w:style>
  <w:style w:type="paragraph" w:styleId="BlockText">
    <w:name w:val="Block Text"/>
    <w:basedOn w:val="Normal"/>
    <w:rsid w:val="0083128B"/>
    <w:pPr>
      <w:spacing w:after="120"/>
      <w:ind w:left="1440" w:right="1440"/>
    </w:pPr>
  </w:style>
  <w:style w:type="character" w:customStyle="1" w:styleId="Subscript">
    <w:name w:val="Subscript"/>
    <w:basedOn w:val="DefaultParagraphFont"/>
    <w:rsid w:val="0083128B"/>
    <w:rPr>
      <w:sz w:val="16"/>
      <w:vertAlign w:val="subscript"/>
    </w:rPr>
  </w:style>
  <w:style w:type="character" w:customStyle="1" w:styleId="Superscript">
    <w:name w:val="Superscript"/>
    <w:basedOn w:val="DefaultParagraphFont"/>
    <w:rsid w:val="0083128B"/>
    <w:rPr>
      <w:sz w:val="16"/>
      <w:vertAlign w:val="superscript"/>
    </w:rPr>
  </w:style>
  <w:style w:type="character" w:customStyle="1" w:styleId="Symbols">
    <w:name w:val="Symbols"/>
    <w:basedOn w:val="DefaultParagraphFont"/>
    <w:rsid w:val="0083128B"/>
    <w:rPr>
      <w:rFonts w:ascii="Symbol" w:hAnsi="Symbol"/>
    </w:rPr>
  </w:style>
  <w:style w:type="character" w:customStyle="1" w:styleId="MenuOptions">
    <w:name w:val="Menu Options"/>
    <w:basedOn w:val="DefaultParagraphFont"/>
    <w:rsid w:val="0083128B"/>
    <w:rPr>
      <w:rFonts w:ascii="Arial Narrow" w:hAnsi="Arial Narrow"/>
      <w:smallCaps/>
    </w:rPr>
  </w:style>
  <w:style w:type="character" w:customStyle="1" w:styleId="Buttons">
    <w:name w:val="Buttons"/>
    <w:basedOn w:val="DefaultParagraphFont"/>
    <w:rsid w:val="0083128B"/>
    <w:rPr>
      <w:b/>
    </w:rPr>
  </w:style>
  <w:style w:type="character" w:customStyle="1" w:styleId="Underlined">
    <w:name w:val="Underlined"/>
    <w:basedOn w:val="DefaultParagraphFont"/>
    <w:rsid w:val="0083128B"/>
    <w:rPr>
      <w:u w:val="single"/>
    </w:rPr>
  </w:style>
  <w:style w:type="paragraph" w:customStyle="1" w:styleId="TableBodyTextRight">
    <w:name w:val="Table Body Text Right"/>
    <w:basedOn w:val="TableBodyText"/>
    <w:rsid w:val="0083128B"/>
    <w:pPr>
      <w:widowControl w:val="0"/>
      <w:autoSpaceDE w:val="0"/>
      <w:autoSpaceDN w:val="0"/>
      <w:adjustRightInd w:val="0"/>
      <w:jc w:val="right"/>
    </w:pPr>
    <w:rPr>
      <w:rFonts w:cs="Arial"/>
      <w:szCs w:val="18"/>
    </w:rPr>
  </w:style>
  <w:style w:type="paragraph" w:customStyle="1" w:styleId="CopyrightText">
    <w:name w:val="Copyright Text"/>
    <w:basedOn w:val="BodyText"/>
    <w:rsid w:val="0083128B"/>
    <w:rPr>
      <w:sz w:val="18"/>
    </w:rPr>
  </w:style>
  <w:style w:type="paragraph" w:customStyle="1" w:styleId="BodySmallRight">
    <w:name w:val="Body Small Right"/>
    <w:basedOn w:val="BodyTextRight"/>
    <w:rsid w:val="0083128B"/>
    <w:rPr>
      <w:sz w:val="18"/>
      <w:szCs w:val="18"/>
    </w:rPr>
  </w:style>
  <w:style w:type="paragraph" w:customStyle="1" w:styleId="MarginEdition">
    <w:name w:val="Margin Edition"/>
    <w:basedOn w:val="MarginNote"/>
    <w:rsid w:val="0083128B"/>
    <w:pPr>
      <w:spacing w:before="0" w:after="0"/>
    </w:pPr>
    <w:rPr>
      <w:rFonts w:ascii="Times New Roman" w:hAnsi="Times New Roman"/>
      <w:color w:val="999999"/>
    </w:rPr>
  </w:style>
  <w:style w:type="paragraph" w:customStyle="1" w:styleId="Spacer">
    <w:name w:val="Spacer"/>
    <w:basedOn w:val="Normal"/>
    <w:rsid w:val="0083128B"/>
    <w:rPr>
      <w:sz w:val="2"/>
      <w:szCs w:val="2"/>
    </w:rPr>
  </w:style>
  <w:style w:type="character" w:customStyle="1" w:styleId="Small">
    <w:name w:val="Small"/>
    <w:basedOn w:val="DefaultParagraphFont"/>
    <w:rsid w:val="0083128B"/>
    <w:rPr>
      <w:sz w:val="16"/>
    </w:rPr>
  </w:style>
  <w:style w:type="paragraph" w:customStyle="1" w:styleId="WideTable">
    <w:name w:val="Wide Table"/>
    <w:basedOn w:val="Normal"/>
    <w:rsid w:val="0083128B"/>
    <w:pPr>
      <w:ind w:left="-1418"/>
    </w:pPr>
    <w:rPr>
      <w:sz w:val="2"/>
      <w:szCs w:val="2"/>
    </w:rPr>
  </w:style>
  <w:style w:type="character" w:styleId="PageNumber">
    <w:name w:val="page number"/>
    <w:basedOn w:val="DefaultParagraphFont"/>
    <w:rsid w:val="0083128B"/>
  </w:style>
  <w:style w:type="paragraph" w:styleId="Quote">
    <w:name w:val="Quote"/>
    <w:basedOn w:val="Heading1"/>
    <w:link w:val="QuoteChar"/>
    <w:qFormat/>
    <w:rsid w:val="0083128B"/>
    <w:rPr>
      <w:b w:val="0"/>
      <w:sz w:val="72"/>
      <w:szCs w:val="72"/>
      <w:lang w:val="en-NZ"/>
    </w:rPr>
  </w:style>
  <w:style w:type="character" w:customStyle="1" w:styleId="QuoteChar">
    <w:name w:val="Quote Char"/>
    <w:basedOn w:val="DefaultParagraphFont"/>
    <w:link w:val="Quote"/>
    <w:rsid w:val="00831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28B"/>
    <w:pPr>
      <w:pageBreakBefore/>
    </w:pPr>
  </w:style>
  <w:style w:type="paragraph" w:customStyle="1" w:styleId="Border">
    <w:name w:val="Border"/>
    <w:basedOn w:val="Normal"/>
    <w:qFormat/>
    <w:rsid w:val="00831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28B"/>
    <w:rPr>
      <w:b/>
      <w:bCs/>
      <w:i/>
      <w:iCs/>
      <w:color w:val="auto"/>
    </w:rPr>
  </w:style>
  <w:style w:type="paragraph" w:styleId="IntenseQuote">
    <w:name w:val="Intense Quote"/>
    <w:basedOn w:val="Normal"/>
    <w:next w:val="Normal"/>
    <w:link w:val="IntenseQuoteChar"/>
    <w:uiPriority w:val="30"/>
    <w:qFormat/>
    <w:rsid w:val="00831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2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128B"/>
    <w:rPr>
      <w:smallCaps/>
      <w:color w:val="auto"/>
      <w:u w:val="single"/>
    </w:rPr>
  </w:style>
  <w:style w:type="character" w:styleId="IntenseReference">
    <w:name w:val="Intense Reference"/>
    <w:basedOn w:val="DefaultParagraphFont"/>
    <w:uiPriority w:val="32"/>
    <w:qFormat/>
    <w:rsid w:val="0083128B"/>
    <w:rPr>
      <w:b/>
      <w:bCs/>
      <w:smallCaps/>
      <w:color w:val="auto"/>
      <w:spacing w:val="5"/>
      <w:u w:val="single"/>
    </w:rPr>
  </w:style>
  <w:style w:type="paragraph" w:customStyle="1" w:styleId="2ColumnHeading">
    <w:name w:val="2Column Heading"/>
    <w:basedOn w:val="BodyText"/>
    <w:qFormat/>
    <w:rsid w:val="0083128B"/>
    <w:pPr>
      <w:spacing w:after="60"/>
      <w:ind w:left="-2268"/>
    </w:pPr>
    <w:rPr>
      <w:b/>
    </w:rPr>
  </w:style>
  <w:style w:type="paragraph" w:customStyle="1" w:styleId="Heading1TOC">
    <w:name w:val="Heading1 TOC"/>
    <w:basedOn w:val="Normal"/>
    <w:qFormat/>
    <w:rsid w:val="0083128B"/>
    <w:pPr>
      <w:spacing w:before="240" w:after="120"/>
    </w:pPr>
    <w:rPr>
      <w:rFonts w:ascii="Times New Roman" w:hAnsi="Times New Roman"/>
      <w:b/>
      <w:sz w:val="32"/>
    </w:rPr>
  </w:style>
  <w:style w:type="paragraph" w:customStyle="1" w:styleId="Heading2TOC">
    <w:name w:val="Heading2 TOC"/>
    <w:basedOn w:val="Normal"/>
    <w:qFormat/>
    <w:rsid w:val="0083128B"/>
    <w:pPr>
      <w:spacing w:before="240" w:after="60"/>
    </w:pPr>
    <w:rPr>
      <w:rFonts w:ascii="Times New Roman" w:hAnsi="Times New Roman"/>
      <w:b/>
      <w:sz w:val="28"/>
    </w:rPr>
  </w:style>
  <w:style w:type="character" w:customStyle="1" w:styleId="Underline">
    <w:name w:val="Underline"/>
    <w:basedOn w:val="DefaultParagraphFont"/>
    <w:qFormat/>
    <w:rsid w:val="0083128B"/>
    <w:rPr>
      <w:u w:val="single"/>
    </w:rPr>
  </w:style>
  <w:style w:type="character" w:customStyle="1" w:styleId="BoldandItalics">
    <w:name w:val="Bold and Italics"/>
    <w:qFormat/>
    <w:rsid w:val="0083128B"/>
    <w:rPr>
      <w:b/>
      <w:i/>
      <w:u w:val="none"/>
    </w:rPr>
  </w:style>
  <w:style w:type="paragraph" w:styleId="BalloonText">
    <w:name w:val="Balloon Text"/>
    <w:basedOn w:val="Normal"/>
    <w:link w:val="BalloonTextChar"/>
    <w:rsid w:val="0083128B"/>
    <w:rPr>
      <w:rFonts w:ascii="Tahoma" w:hAnsi="Tahoma" w:cs="Tahoma"/>
      <w:sz w:val="16"/>
      <w:szCs w:val="16"/>
    </w:rPr>
  </w:style>
  <w:style w:type="character" w:customStyle="1" w:styleId="BalloonTextChar">
    <w:name w:val="Balloon Text Char"/>
    <w:basedOn w:val="DefaultParagraphFont"/>
    <w:link w:val="BalloonText"/>
    <w:rsid w:val="008312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1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2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1039</Words>
  <Characters>6509</Characters>
  <Application>Microsoft Office Word</Application>
  <DocSecurity>0</DocSecurity>
  <Lines>227</Lines>
  <Paragraphs>100</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MEM08001B Perform wire, jig and barrel load/unload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2012-05-27T01:37:00Z</dcterms:modified>
</cp:coreProperties>
</file>