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4319" w:rsidP="00084319">
      <w:pPr>
        <w:pStyle w:val="Title"/>
      </w:pPr>
      <w:r>
        <w:fldChar w:fldCharType="begin"/>
      </w:r>
      <w:r>
        <w:instrText xml:space="preserve"> TITLE   \* MERGEFORMAT </w:instrText>
      </w:r>
      <w:r>
        <w:fldChar w:fldCharType="separate"/>
      </w:r>
      <w:r>
        <w:t>MEM07043A Identify causes of faulty aluminium extrusions</w:t>
      </w:r>
      <w:r>
        <w:fldChar w:fldCharType="end"/>
      </w:r>
    </w:p>
    <w:p w:rsidR="00084319" w:rsidP="00084319">
      <w:pPr>
        <w:pStyle w:val="Version"/>
        <w:sectPr w:rsidSect="000639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3992" w:rsidP="00063992">
      <w:pPr>
        <w:pStyle w:val="SuperHeading"/>
      </w:pPr>
      <w:r w:rsidRPr="00063992">
        <w:t>MEM07043A Identify causes of faulty aluminium extrusions</w:t>
      </w:r>
    </w:p>
    <w:p w:rsidR="00000000" w:rsidRPr="00063992" w:rsidP="00063992">
      <w:pPr>
        <w:pStyle w:val="Heading1"/>
      </w:pPr>
      <w:bookmarkStart w:id="1" w:name="O_591269"/>
      <w:bookmarkEnd w:id="1"/>
      <w:r w:rsidRPr="00063992">
        <w:t>Modification History</w:t>
      </w:r>
    </w:p>
    <w:p w:rsidR="00000000" w:rsidRPr="00063992" w:rsidP="00063992">
      <w:pPr>
        <w:pStyle w:val="BodyText"/>
      </w:pPr>
      <w:r w:rsidRPr="00063992">
        <w:t>New unit - Release 1</w:t>
      </w:r>
    </w:p>
    <w:p w:rsidR="00000000" w:rsidRPr="00063992" w:rsidP="00063992">
      <w:pPr>
        <w:pStyle w:val="AllowPageBreak"/>
      </w:pPr>
    </w:p>
    <w:p w:rsidR="00000000" w:rsidRPr="00063992" w:rsidP="00063992">
      <w:pPr>
        <w:pStyle w:val="Heading1"/>
      </w:pPr>
      <w:bookmarkStart w:id="2" w:name="O_591281"/>
      <w:bookmarkEnd w:id="2"/>
      <w:r w:rsidRPr="00063992">
        <w:t>Unit Descriptor</w:t>
      </w:r>
    </w:p>
    <w:p w:rsidR="00084319" w:rsidP="00063992">
      <w:pPr>
        <w:pStyle w:val="BodyText"/>
      </w:pPr>
      <w:r w:rsidRPr="00063992">
        <w:t>This unit of competency covers the skills and knowledge needed to systematically examine aluminium extrusions for faults and to trace the reasons for the faults. Thi</w:t>
      </w:r>
      <w:r w:rsidRPr="00063992">
        <w:t xml:space="preserve">s unit includes determining the most appropriate corrective action for the fault and, where appropriate, providing recommendations to extruder operators, die designers and die manufacturers.  </w:t>
      </w:r>
    </w:p>
    <w:p w:rsidR="00084319" w:rsidP="00063992">
      <w:pPr>
        <w:pStyle w:val="BodyText"/>
      </w:pPr>
    </w:p>
    <w:p w:rsidR="00000000" w:rsidRPr="00063992" w:rsidP="00063992">
      <w:pPr>
        <w:pStyle w:val="Heading1"/>
      </w:pPr>
      <w:bookmarkStart w:id="3" w:name="O_591280"/>
      <w:bookmarkEnd w:id="3"/>
      <w:r w:rsidRPr="00063992">
        <w:t>Application of the Unit</w:t>
      </w:r>
    </w:p>
    <w:p w:rsidR="00000000" w:rsidRPr="00063992" w:rsidP="00063992">
      <w:pPr>
        <w:pStyle w:val="BodyText"/>
      </w:pPr>
      <w:r w:rsidRPr="00063992">
        <w:t xml:space="preserve">This unit applies to </w:t>
      </w:r>
      <w:r w:rsidRPr="00063992">
        <w:t>die correctors working in an aluminium extrusion workplace who are required to investigate product fault reports, including determining the root cause of the fault, and recommending the most appropriate action. The unit applies to extrusions produced on so</w:t>
      </w:r>
      <w:r w:rsidRPr="00063992">
        <w:t xml:space="preserve">lid and hollow dies and to faults that are both die and non-die related. </w:t>
      </w:r>
    </w:p>
    <w:p w:rsidR="00000000" w:rsidRPr="00063992" w:rsidP="00063992">
      <w:pPr>
        <w:pStyle w:val="BodyText"/>
      </w:pPr>
    </w:p>
    <w:p w:rsidR="00000000" w:rsidRPr="00063992" w:rsidP="00063992">
      <w:pPr>
        <w:pStyle w:val="BodyText"/>
      </w:pPr>
      <w:r w:rsidRPr="00063992">
        <w:t>Band:</w:t>
      </w:r>
      <w:r w:rsidRPr="00063992">
        <w:tab/>
        <w:t>A</w:t>
      </w:r>
    </w:p>
    <w:p w:rsidR="00000000" w:rsidRPr="00063992" w:rsidP="00063992">
      <w:pPr>
        <w:pStyle w:val="BodyText"/>
      </w:pPr>
      <w:r w:rsidRPr="00063992">
        <w:t>Unit Weight:</w:t>
      </w:r>
      <w:r w:rsidRPr="00063992">
        <w:tab/>
        <w:t>6</w:t>
      </w:r>
    </w:p>
    <w:p w:rsidR="00000000" w:rsidRPr="00063992" w:rsidP="00063992">
      <w:pPr>
        <w:pStyle w:val="AllowPageBreak"/>
      </w:pPr>
    </w:p>
    <w:p w:rsidR="00000000" w:rsidRPr="00063992" w:rsidP="00063992">
      <w:pPr>
        <w:pStyle w:val="Heading1"/>
      </w:pPr>
      <w:bookmarkStart w:id="4" w:name="O_591279"/>
      <w:bookmarkEnd w:id="4"/>
      <w:r w:rsidRPr="00063992">
        <w:t>Licensing/Regulatory Information</w:t>
      </w:r>
    </w:p>
    <w:p w:rsidR="00000000" w:rsidRPr="00063992" w:rsidP="00063992">
      <w:pPr>
        <w:pStyle w:val="BodyText"/>
      </w:pPr>
      <w:r w:rsidRPr="00063992">
        <w:t>Not applicable.</w:t>
      </w:r>
    </w:p>
    <w:p w:rsidR="00000000" w:rsidRPr="00063992" w:rsidP="00063992">
      <w:pPr>
        <w:pStyle w:val="AllowPageBreak"/>
      </w:pPr>
    </w:p>
    <w:p w:rsidR="00000000" w:rsidRPr="00063992" w:rsidP="00063992">
      <w:pPr>
        <w:pStyle w:val="Heading1"/>
      </w:pPr>
      <w:bookmarkStart w:id="5" w:name="O_591278"/>
      <w:bookmarkEnd w:id="5"/>
      <w:r w:rsidRPr="00063992">
        <w:t>Pre-Requisites</w:t>
      </w:r>
    </w:p>
    <w:tbl>
      <w:tblPr>
        <w:tblW w:w="0" w:type="auto"/>
        <w:tblLayout w:type="fixed"/>
        <w:tblCellMar>
          <w:left w:w="62" w:type="dxa"/>
          <w:right w:w="62" w:type="dxa"/>
        </w:tblCellMar>
        <w:tblLook w:val="0000"/>
      </w:tblPr>
      <w:tblGrid>
        <w:gridCol w:w="1640"/>
        <w:gridCol w:w="7432"/>
      </w:tblGrid>
      <w:tr w:rsidTr="00063992">
        <w:tblPrEx>
          <w:tblW w:w="0" w:type="auto"/>
          <w:tblLayout w:type="fixed"/>
          <w:tblCellMar>
            <w:left w:w="62" w:type="dxa"/>
            <w:right w:w="62" w:type="dxa"/>
          </w:tblCellMar>
          <w:tblLook w:val="0000"/>
        </w:tblPrEx>
        <w:tc>
          <w:tcPr>
            <w:tcW w:w="164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MEM09002B</w:t>
            </w:r>
          </w:p>
        </w:tc>
        <w:tc>
          <w:tcPr>
            <w:tcW w:w="7432"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Interpret technical drawing</w:t>
            </w:r>
          </w:p>
        </w:tc>
      </w:tr>
      <w:tr w:rsidTr="00063992">
        <w:tblPrEx>
          <w:tblW w:w="0" w:type="auto"/>
          <w:tblLayout w:type="fixed"/>
          <w:tblCellMar>
            <w:left w:w="62" w:type="dxa"/>
            <w:right w:w="62" w:type="dxa"/>
          </w:tblCellMar>
          <w:tblLook w:val="0000"/>
        </w:tblPrEx>
        <w:tc>
          <w:tcPr>
            <w:tcW w:w="164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MEM12023A</w:t>
            </w:r>
          </w:p>
        </w:tc>
        <w:tc>
          <w:tcPr>
            <w:tcW w:w="7432"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Perform engineering measurements</w:t>
            </w:r>
          </w:p>
        </w:tc>
      </w:tr>
      <w:tr w:rsidTr="00063992">
        <w:tblPrEx>
          <w:tblW w:w="0" w:type="auto"/>
          <w:tblLayout w:type="fixed"/>
          <w:tblCellMar>
            <w:left w:w="62" w:type="dxa"/>
            <w:right w:w="62" w:type="dxa"/>
          </w:tblCellMar>
          <w:tblLook w:val="0000"/>
        </w:tblPrEx>
        <w:tc>
          <w:tcPr>
            <w:tcW w:w="164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MEM12024A</w:t>
            </w:r>
          </w:p>
        </w:tc>
        <w:tc>
          <w:tcPr>
            <w:tcW w:w="7432"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Perform computations</w:t>
            </w:r>
          </w:p>
        </w:tc>
      </w:tr>
      <w:tr w:rsidTr="00063992">
        <w:tblPrEx>
          <w:tblW w:w="0" w:type="auto"/>
          <w:tblLayout w:type="fixed"/>
          <w:tblCellMar>
            <w:left w:w="62" w:type="dxa"/>
            <w:right w:w="62" w:type="dxa"/>
          </w:tblCellMar>
          <w:tblLook w:val="0000"/>
        </w:tblPrEx>
        <w:tc>
          <w:tcPr>
            <w:tcW w:w="164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MEM15002A</w:t>
            </w:r>
          </w:p>
        </w:tc>
        <w:tc>
          <w:tcPr>
            <w:tcW w:w="7432"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Apply quality systems</w:t>
            </w:r>
          </w:p>
        </w:tc>
      </w:tr>
      <w:tr w:rsidTr="00063992">
        <w:tblPrEx>
          <w:tblW w:w="0" w:type="auto"/>
          <w:tblLayout w:type="fixed"/>
          <w:tblCellMar>
            <w:left w:w="62" w:type="dxa"/>
            <w:right w:w="62" w:type="dxa"/>
          </w:tblCellMar>
          <w:tblLook w:val="0000"/>
        </w:tblPrEx>
        <w:tc>
          <w:tcPr>
            <w:tcW w:w="164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MEM15024A</w:t>
            </w:r>
          </w:p>
        </w:tc>
        <w:tc>
          <w:tcPr>
            <w:tcW w:w="7432"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Apply quality procedures</w:t>
            </w:r>
          </w:p>
        </w:tc>
      </w:tr>
      <w:tr w:rsidTr="00063992">
        <w:tblPrEx>
          <w:tblW w:w="0" w:type="auto"/>
          <w:tblLayout w:type="fixed"/>
          <w:tblCellMar>
            <w:left w:w="62" w:type="dxa"/>
            <w:right w:w="62" w:type="dxa"/>
          </w:tblCellMar>
          <w:tblLook w:val="0000"/>
        </w:tblPrEx>
        <w:tc>
          <w:tcPr>
            <w:tcW w:w="164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MEM16006A</w:t>
            </w:r>
          </w:p>
        </w:tc>
        <w:tc>
          <w:tcPr>
            <w:tcW w:w="7432"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Organise and communicate information</w:t>
            </w:r>
          </w:p>
        </w:tc>
      </w:tr>
      <w:tr w:rsidTr="00063992">
        <w:tblPrEx>
          <w:tblW w:w="0" w:type="auto"/>
          <w:tblLayout w:type="fixed"/>
          <w:tblCellMar>
            <w:left w:w="62" w:type="dxa"/>
            <w:right w:w="62" w:type="dxa"/>
          </w:tblCellMar>
          <w:tblLook w:val="0000"/>
        </w:tblPrEx>
        <w:tc>
          <w:tcPr>
            <w:tcW w:w="164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MEM18001C</w:t>
            </w:r>
          </w:p>
        </w:tc>
        <w:tc>
          <w:tcPr>
            <w:tcW w:w="7432"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Use hand tools</w:t>
            </w:r>
          </w:p>
        </w:tc>
      </w:tr>
      <w:tr w:rsidTr="00063992">
        <w:tblPrEx>
          <w:tblW w:w="0" w:type="auto"/>
          <w:tblLayout w:type="fixed"/>
          <w:tblCellMar>
            <w:left w:w="62" w:type="dxa"/>
            <w:right w:w="62" w:type="dxa"/>
          </w:tblCellMar>
          <w:tblLook w:val="0000"/>
        </w:tblPrEx>
        <w:tc>
          <w:tcPr>
            <w:tcW w:w="164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MEM18002B</w:t>
            </w:r>
          </w:p>
        </w:tc>
        <w:tc>
          <w:tcPr>
            <w:tcW w:w="7432" w:type="dxa"/>
            <w:tcBorders>
              <w:top w:val="nil"/>
              <w:left w:val="nil"/>
              <w:bottom w:val="nil"/>
              <w:right w:val="nil"/>
            </w:tcBorders>
            <w:tcMar>
              <w:top w:w="0" w:type="dxa"/>
              <w:left w:w="62" w:type="dxa"/>
              <w:bottom w:w="0" w:type="dxa"/>
              <w:right w:w="62" w:type="dxa"/>
            </w:tcMar>
          </w:tcPr>
          <w:p w:rsidR="00000000" w:rsidRPr="00063992" w:rsidP="00063992">
            <w:pPr>
              <w:pStyle w:val="BodyText"/>
            </w:pPr>
            <w:r w:rsidRPr="00063992">
              <w:t>Use power tools/hand held operations</w:t>
            </w:r>
          </w:p>
        </w:tc>
      </w:tr>
    </w:tbl>
    <w:p w:rsidR="00000000" w:rsidRPr="00063992" w:rsidP="00063992">
      <w:pPr>
        <w:pStyle w:val="BodyText"/>
      </w:pPr>
    </w:p>
    <w:p w:rsidR="00000000" w:rsidRPr="00063992" w:rsidP="00063992">
      <w:pPr>
        <w:pStyle w:val="AllowPageBreak"/>
      </w:pPr>
    </w:p>
    <w:p w:rsidR="00000000" w:rsidRPr="00063992" w:rsidP="00063992">
      <w:pPr>
        <w:pStyle w:val="Heading1"/>
      </w:pPr>
      <w:bookmarkStart w:id="6" w:name="O_591277"/>
      <w:bookmarkEnd w:id="6"/>
      <w:r w:rsidRPr="00063992">
        <w:t>Employability Skills Information</w:t>
      </w:r>
    </w:p>
    <w:p w:rsidR="00084319" w:rsidP="00063992">
      <w:pPr>
        <w:pStyle w:val="BodyText"/>
      </w:pPr>
      <w:r w:rsidRPr="00063992">
        <w:t>This unit contains employability skills.</w:t>
      </w:r>
    </w:p>
    <w:p w:rsidR="00084319" w:rsidP="00063992">
      <w:pPr>
        <w:pStyle w:val="BodyText"/>
      </w:pPr>
    </w:p>
    <w:p w:rsidR="00000000" w:rsidRPr="00063992" w:rsidP="00063992">
      <w:pPr>
        <w:pStyle w:val="Heading1"/>
      </w:pPr>
      <w:bookmarkStart w:id="7" w:name="O_591276"/>
      <w:bookmarkEnd w:id="7"/>
      <w:r w:rsidRPr="00063992">
        <w:t>Elements and Performance Criteria Pre-Content</w:t>
      </w:r>
    </w:p>
    <w:tbl>
      <w:tblPr>
        <w:tblW w:w="0" w:type="auto"/>
        <w:tblCellMar>
          <w:left w:w="62" w:type="dxa"/>
          <w:right w:w="62" w:type="dxa"/>
        </w:tblCellMar>
        <w:tblLook w:val="0000"/>
      </w:tblPr>
      <w:tblGrid>
        <w:gridCol w:w="2576"/>
        <w:gridCol w:w="6620"/>
      </w:tblGrid>
      <w:tr w:rsidTr="000843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063992" w:rsidP="00063992">
            <w:pPr>
              <w:pStyle w:val="BodyText"/>
            </w:pPr>
            <w:r w:rsidRPr="00063992">
              <w:t>Performance criteria describe the performance needed to demonstrate achievement of the element. Where bold italicised text is used, further information is detailed in the required skills and knowledge section and the range statement. Assessment of performa</w:t>
            </w:r>
            <w:r w:rsidRPr="00063992">
              <w:t>nce is to be consistent with the evidence guide.</w:t>
            </w:r>
          </w:p>
        </w:tc>
      </w:tr>
    </w:tbl>
    <w:p w:rsidR="00084319" w:rsidP="00063992">
      <w:pPr>
        <w:pStyle w:val="BodyText"/>
      </w:pPr>
    </w:p>
    <w:p w:rsidR="00084319" w:rsidP="00063992">
      <w:pPr>
        <w:pStyle w:val="BodyText"/>
      </w:pPr>
    </w:p>
    <w:p w:rsidR="00000000" w:rsidRPr="00063992" w:rsidP="00063992">
      <w:pPr>
        <w:pStyle w:val="Heading1"/>
      </w:pPr>
      <w:bookmarkStart w:id="8" w:name="O_591275"/>
      <w:bookmarkEnd w:id="8"/>
      <w:r w:rsidRPr="0006399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639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1</w:t>
            </w:r>
          </w:p>
        </w:tc>
        <w:tc>
          <w:tcPr>
            <w:tcW w:w="1962" w:type="dxa"/>
            <w:vMerge w:val="restart"/>
            <w:tcBorders>
              <w:top w:val="nil"/>
              <w:left w:val="nil"/>
              <w:bottom w:val="nil"/>
              <w:right w:val="nil"/>
            </w:tcBorders>
            <w:tcMar>
              <w:top w:w="0" w:type="dxa"/>
              <w:left w:w="62" w:type="dxa"/>
              <w:bottom w:w="0" w:type="dxa"/>
              <w:right w:w="62" w:type="dxa"/>
            </w:tcMar>
          </w:tcPr>
          <w:p w:rsidR="00000000" w:rsidRPr="00063992" w:rsidP="00063992">
            <w:pPr>
              <w:pStyle w:val="BodyText"/>
            </w:pPr>
            <w:r w:rsidRPr="00063992">
              <w:t>Collect information on faulty extrusion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1.1</w:t>
            </w:r>
          </w:p>
        </w:tc>
        <w:tc>
          <w:tcPr>
            <w:tcW w:w="561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 xml:space="preserve">Liaise with extruder operator on die service or fault correction requests </w:t>
            </w:r>
          </w:p>
        </w:tc>
      </w:tr>
      <w:tr w:rsidTr="000639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1.2</w:t>
            </w:r>
          </w:p>
        </w:tc>
        <w:tc>
          <w:tcPr>
            <w:tcW w:w="561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Access and examine die following all relevant work health and safety (WHS) procedures</w:t>
            </w:r>
          </w:p>
        </w:tc>
      </w:tr>
      <w:tr w:rsidTr="000639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1.3</w:t>
            </w:r>
          </w:p>
        </w:tc>
        <w:tc>
          <w:tcPr>
            <w:tcW w:w="561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Examine extruder records and identify any previous die corrections</w:t>
            </w:r>
          </w:p>
        </w:tc>
      </w:tr>
      <w:tr w:rsidTr="000639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1.4</w:t>
            </w:r>
          </w:p>
        </w:tc>
        <w:tc>
          <w:tcPr>
            <w:tcW w:w="561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Consult with die designer on faults, where required</w:t>
            </w:r>
          </w:p>
        </w:tc>
      </w:tr>
      <w:tr w:rsidTr="000639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1.5</w:t>
            </w:r>
          </w:p>
        </w:tc>
        <w:tc>
          <w:tcPr>
            <w:tcW w:w="5610" w:type="dxa"/>
            <w:tcBorders>
              <w:top w:val="nil"/>
              <w:left w:val="nil"/>
              <w:bottom w:val="nil"/>
              <w:right w:val="nil"/>
            </w:tcBorders>
            <w:tcMar>
              <w:top w:w="0" w:type="dxa"/>
              <w:left w:w="62" w:type="dxa"/>
              <w:bottom w:w="0" w:type="dxa"/>
              <w:right w:w="62" w:type="dxa"/>
            </w:tcMar>
          </w:tcPr>
          <w:p w:rsidR="00000000" w:rsidRPr="00063992" w:rsidP="00063992">
            <w:pPr>
              <w:pStyle w:val="BodyText"/>
            </w:pPr>
            <w:r w:rsidRPr="00063992">
              <w:t>Examine extruder maintenance records and liaise with maintenance department, where required</w:t>
            </w:r>
          </w:p>
        </w:tc>
      </w:tr>
    </w:tbl>
    <w:p w:rsidR="00000000" w:rsidRPr="00063992" w:rsidP="00063992">
      <w:pPr>
        <w:pStyle w:val="BodyText"/>
      </w:pPr>
    </w:p>
    <w:tbl>
      <w:tblPr>
        <w:tblW w:w="0" w:type="auto"/>
        <w:tblLayout w:type="fixed"/>
        <w:tblCellMar>
          <w:left w:w="62" w:type="dxa"/>
          <w:right w:w="62" w:type="dxa"/>
        </w:tblCellMar>
        <w:tblLook w:val="0000"/>
      </w:tblPr>
      <w:tblGrid>
        <w:gridCol w:w="678"/>
        <w:gridCol w:w="1962"/>
        <w:gridCol w:w="770"/>
        <w:gridCol w:w="5610"/>
      </w:tblGrid>
      <w:tr w:rsidTr="000639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2</w:t>
            </w:r>
          </w:p>
        </w:tc>
        <w:tc>
          <w:tcPr>
            <w:tcW w:w="1962" w:type="dxa"/>
            <w:vMerge w:val="restart"/>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Interpret die drawing and specifications</w:t>
            </w:r>
          </w:p>
        </w:tc>
        <w:tc>
          <w:tcPr>
            <w:tcW w:w="77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2.1</w:t>
            </w:r>
          </w:p>
        </w:tc>
        <w:tc>
          <w:tcPr>
            <w:tcW w:w="561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Identify layout and pre-forming of die apertures</w:t>
            </w:r>
          </w:p>
        </w:tc>
      </w:tr>
      <w:tr w:rsidTr="000639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2.2</w:t>
            </w:r>
          </w:p>
        </w:tc>
        <w:tc>
          <w:tcPr>
            <w:tcW w:w="561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Identify bearing and pocket design/specification</w:t>
            </w:r>
          </w:p>
        </w:tc>
      </w:tr>
      <w:tr w:rsidTr="000639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2.3</w:t>
            </w:r>
          </w:p>
        </w:tc>
        <w:tc>
          <w:tcPr>
            <w:tcW w:w="561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Identify measurements and tolerances for bearings, die components and die support system</w:t>
            </w:r>
          </w:p>
        </w:tc>
      </w:tr>
      <w:tr w:rsidTr="000639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2.4</w:t>
            </w:r>
          </w:p>
        </w:tc>
        <w:tc>
          <w:tcPr>
            <w:tcW w:w="561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Identify bolster and spacer specification for die</w:t>
            </w:r>
          </w:p>
        </w:tc>
      </w:tr>
      <w:tr w:rsidTr="000639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2.6</w:t>
            </w:r>
          </w:p>
        </w:tc>
        <w:tc>
          <w:tcPr>
            <w:tcW w:w="561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Identify press specifications</w:t>
            </w:r>
          </w:p>
        </w:tc>
      </w:tr>
      <w:tr w:rsidTr="000639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2.7</w:t>
            </w:r>
          </w:p>
        </w:tc>
        <w:tc>
          <w:tcPr>
            <w:tcW w:w="561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 xml:space="preserve">Identify speed estimate for die </w:t>
            </w:r>
          </w:p>
        </w:tc>
      </w:tr>
      <w:tr w:rsidTr="000639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2.8</w:t>
            </w:r>
          </w:p>
        </w:tc>
        <w:tc>
          <w:tcPr>
            <w:tcW w:w="5610" w:type="dxa"/>
            <w:tcBorders>
              <w:top w:val="nil"/>
              <w:left w:val="nil"/>
              <w:bottom w:val="nil"/>
              <w:right w:val="nil"/>
            </w:tcBorders>
            <w:tcMar>
              <w:top w:w="0" w:type="dxa"/>
              <w:left w:w="62" w:type="dxa"/>
              <w:bottom w:w="0" w:type="dxa"/>
              <w:right w:w="62" w:type="dxa"/>
            </w:tcMar>
          </w:tcPr>
          <w:p w:rsidR="00000000" w:rsidRPr="00063992" w:rsidP="00063992">
            <w:pPr>
              <w:pStyle w:val="BodyText"/>
            </w:pPr>
            <w:r w:rsidRPr="00063992">
              <w:t>Identify ports and bridges for hollow dies</w:t>
            </w:r>
          </w:p>
        </w:tc>
      </w:tr>
    </w:tbl>
    <w:p w:rsidR="00000000" w:rsidRPr="00063992" w:rsidP="00063992">
      <w:pPr>
        <w:pStyle w:val="BodyText"/>
      </w:pPr>
    </w:p>
    <w:tbl>
      <w:tblPr>
        <w:tblW w:w="0" w:type="auto"/>
        <w:tblLayout w:type="fixed"/>
        <w:tblCellMar>
          <w:left w:w="62" w:type="dxa"/>
          <w:right w:w="62" w:type="dxa"/>
        </w:tblCellMar>
        <w:tblLook w:val="0000"/>
      </w:tblPr>
      <w:tblGrid>
        <w:gridCol w:w="678"/>
        <w:gridCol w:w="1962"/>
        <w:gridCol w:w="770"/>
        <w:gridCol w:w="5610"/>
      </w:tblGrid>
      <w:tr w:rsidTr="000639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3</w:t>
            </w:r>
          </w:p>
        </w:tc>
        <w:tc>
          <w:tcPr>
            <w:tcW w:w="1962" w:type="dxa"/>
            <w:vMerge w:val="restart"/>
            <w:tcBorders>
              <w:top w:val="nil"/>
              <w:left w:val="nil"/>
              <w:bottom w:val="nil"/>
              <w:right w:val="nil"/>
            </w:tcBorders>
            <w:tcMar>
              <w:top w:w="0" w:type="dxa"/>
              <w:left w:w="62" w:type="dxa"/>
              <w:bottom w:w="0" w:type="dxa"/>
              <w:right w:w="62" w:type="dxa"/>
            </w:tcMar>
          </w:tcPr>
          <w:p w:rsidR="00000000" w:rsidRPr="00063992" w:rsidP="00063992">
            <w:pPr>
              <w:pStyle w:val="BodyText"/>
            </w:pPr>
            <w:r w:rsidRPr="00063992">
              <w:t>Examine faulty extrusions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3.1</w:t>
            </w:r>
          </w:p>
        </w:tc>
        <w:tc>
          <w:tcPr>
            <w:tcW w:w="561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Check extrusions for shape distortion</w:t>
            </w:r>
          </w:p>
        </w:tc>
      </w:tr>
      <w:tr w:rsidTr="000639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3.2</w:t>
            </w:r>
          </w:p>
        </w:tc>
        <w:tc>
          <w:tcPr>
            <w:tcW w:w="561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Check extrusion measurements are to specification</w:t>
            </w:r>
          </w:p>
        </w:tc>
      </w:tr>
      <w:tr w:rsidTr="000639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3.3</w:t>
            </w:r>
          </w:p>
        </w:tc>
        <w:tc>
          <w:tcPr>
            <w:tcW w:w="561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Inspect surface finish of extrusions for defects</w:t>
            </w:r>
          </w:p>
        </w:tc>
      </w:tr>
      <w:tr w:rsidTr="000639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3.4</w:t>
            </w:r>
          </w:p>
        </w:tc>
        <w:tc>
          <w:tcPr>
            <w:tcW w:w="561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Identify whether faults apply from the start to the end of extrusion runouts</w:t>
            </w:r>
          </w:p>
        </w:tc>
      </w:tr>
      <w:tr w:rsidTr="000639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3.5</w:t>
            </w:r>
          </w:p>
        </w:tc>
        <w:tc>
          <w:tcPr>
            <w:tcW w:w="5610" w:type="dxa"/>
            <w:tcBorders>
              <w:top w:val="nil"/>
              <w:left w:val="nil"/>
              <w:bottom w:val="nil"/>
              <w:right w:val="nil"/>
            </w:tcBorders>
            <w:tcMar>
              <w:top w:w="0" w:type="dxa"/>
              <w:left w:w="62" w:type="dxa"/>
              <w:bottom w:w="0" w:type="dxa"/>
              <w:right w:w="62" w:type="dxa"/>
            </w:tcMar>
          </w:tcPr>
          <w:p w:rsidR="00000000" w:rsidRPr="00063992" w:rsidP="00063992">
            <w:pPr>
              <w:pStyle w:val="BodyText"/>
            </w:pPr>
            <w:r w:rsidRPr="00063992">
              <w:t xml:space="preserve">Make a preliminary assessment as to whether faults are related to die or die support system or other factors  </w:t>
            </w:r>
          </w:p>
        </w:tc>
      </w:tr>
    </w:tbl>
    <w:p w:rsidR="00000000" w:rsidRPr="00063992" w:rsidP="00063992">
      <w:pPr>
        <w:pStyle w:val="BodyText"/>
      </w:pPr>
    </w:p>
    <w:tbl>
      <w:tblPr>
        <w:tblW w:w="0" w:type="auto"/>
        <w:tblLayout w:type="fixed"/>
        <w:tblCellMar>
          <w:left w:w="62" w:type="dxa"/>
          <w:right w:w="62" w:type="dxa"/>
        </w:tblCellMar>
        <w:tblLook w:val="0000"/>
      </w:tblPr>
      <w:tblGrid>
        <w:gridCol w:w="678"/>
        <w:gridCol w:w="1962"/>
        <w:gridCol w:w="770"/>
        <w:gridCol w:w="5610"/>
      </w:tblGrid>
      <w:tr w:rsidTr="000639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4</w:t>
            </w:r>
          </w:p>
        </w:tc>
        <w:tc>
          <w:tcPr>
            <w:tcW w:w="1962" w:type="dxa"/>
            <w:vMerge w:val="restart"/>
            <w:tcBorders>
              <w:top w:val="nil"/>
              <w:left w:val="nil"/>
              <w:bottom w:val="nil"/>
              <w:right w:val="nil"/>
            </w:tcBorders>
            <w:tcMar>
              <w:top w:w="0" w:type="dxa"/>
              <w:left w:w="62" w:type="dxa"/>
              <w:bottom w:w="0" w:type="dxa"/>
              <w:right w:w="62" w:type="dxa"/>
            </w:tcMar>
          </w:tcPr>
          <w:p w:rsidR="00000000" w:rsidRPr="00063992" w:rsidP="00063992">
            <w:pPr>
              <w:pStyle w:val="BodyText"/>
            </w:pPr>
            <w:r w:rsidRPr="00063992">
              <w:t>Check for faults not related to die or die support system</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4.1</w:t>
            </w:r>
          </w:p>
        </w:tc>
        <w:tc>
          <w:tcPr>
            <w:tcW w:w="561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Examine die and billet heating and temperature records and confirm heating and temperature was to specification</w:t>
            </w:r>
          </w:p>
        </w:tc>
      </w:tr>
      <w:tr w:rsidTr="000639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4.2</w:t>
            </w:r>
          </w:p>
        </w:tc>
        <w:tc>
          <w:tcPr>
            <w:tcW w:w="561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Confirm extruder was run at correct speed and other settings were to specification</w:t>
            </w:r>
          </w:p>
        </w:tc>
      </w:tr>
      <w:tr w:rsidTr="000639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4.3</w:t>
            </w:r>
          </w:p>
        </w:tc>
        <w:tc>
          <w:tcPr>
            <w:tcW w:w="561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Examine billet history and determine if billet was recycled or faulty</w:t>
            </w:r>
          </w:p>
        </w:tc>
      </w:tr>
      <w:tr w:rsidTr="000639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4.4</w:t>
            </w:r>
          </w:p>
        </w:tc>
        <w:tc>
          <w:tcPr>
            <w:tcW w:w="5610" w:type="dxa"/>
            <w:tcBorders>
              <w:top w:val="nil"/>
              <w:left w:val="nil"/>
              <w:bottom w:val="nil"/>
              <w:right w:val="nil"/>
            </w:tcBorders>
            <w:tcMar>
              <w:top w:w="0" w:type="dxa"/>
              <w:left w:w="62" w:type="dxa"/>
              <w:bottom w:w="0" w:type="dxa"/>
              <w:right w:w="62" w:type="dxa"/>
            </w:tcMar>
          </w:tcPr>
          <w:p w:rsidR="00000000" w:rsidRPr="00063992" w:rsidP="00063992">
            <w:pPr>
              <w:pStyle w:val="BodyText"/>
            </w:pPr>
            <w:r w:rsidRPr="00063992">
              <w:t>Confirm with maintenance department that extruder is free of mechanical, electrical, control or structural faults</w:t>
            </w:r>
          </w:p>
        </w:tc>
      </w:tr>
    </w:tbl>
    <w:p w:rsidR="00000000" w:rsidRPr="00063992" w:rsidP="00063992">
      <w:pPr>
        <w:pStyle w:val="BodyText"/>
      </w:pPr>
    </w:p>
    <w:tbl>
      <w:tblPr>
        <w:tblW w:w="0" w:type="auto"/>
        <w:tblLayout w:type="fixed"/>
        <w:tblCellMar>
          <w:left w:w="62" w:type="dxa"/>
          <w:right w:w="62" w:type="dxa"/>
        </w:tblCellMar>
        <w:tblLook w:val="0000"/>
      </w:tblPr>
      <w:tblGrid>
        <w:gridCol w:w="678"/>
        <w:gridCol w:w="1962"/>
        <w:gridCol w:w="770"/>
        <w:gridCol w:w="5610"/>
      </w:tblGrid>
      <w:tr w:rsidTr="000639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5</w:t>
            </w:r>
          </w:p>
        </w:tc>
        <w:tc>
          <w:tcPr>
            <w:tcW w:w="1962" w:type="dxa"/>
            <w:vMerge w:val="restart"/>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 xml:space="preserve">Identify die and die support related faults </w:t>
            </w:r>
          </w:p>
        </w:tc>
        <w:tc>
          <w:tcPr>
            <w:tcW w:w="77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5.1</w:t>
            </w:r>
          </w:p>
        </w:tc>
        <w:tc>
          <w:tcPr>
            <w:tcW w:w="561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Safely access die and die support system</w:t>
            </w:r>
          </w:p>
        </w:tc>
      </w:tr>
      <w:tr w:rsidTr="000639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5.2</w:t>
            </w:r>
          </w:p>
        </w:tc>
        <w:tc>
          <w:tcPr>
            <w:tcW w:w="561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Inspect die for overall wear, dishing, damage and other defects</w:t>
            </w:r>
          </w:p>
        </w:tc>
      </w:tr>
      <w:tr w:rsidTr="000639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5.3</w:t>
            </w:r>
          </w:p>
        </w:tc>
        <w:tc>
          <w:tcPr>
            <w:tcW w:w="561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Inspect bearings for shortening, surface defects, loss of specified angle and clearances</w:t>
            </w:r>
          </w:p>
        </w:tc>
      </w:tr>
      <w:tr w:rsidTr="000639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5.4</w:t>
            </w:r>
          </w:p>
        </w:tc>
        <w:tc>
          <w:tcPr>
            <w:tcW w:w="561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Determine if d</w:t>
            </w:r>
            <w:r w:rsidRPr="00063992">
              <w:t>ie can be corrected, scrapped or returned to manufacturer</w:t>
            </w:r>
          </w:p>
        </w:tc>
      </w:tr>
      <w:tr w:rsidTr="000639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5.5</w:t>
            </w:r>
          </w:p>
        </w:tc>
        <w:tc>
          <w:tcPr>
            <w:tcW w:w="5610" w:type="dxa"/>
            <w:tcBorders>
              <w:top w:val="nil"/>
              <w:left w:val="nil"/>
              <w:bottom w:val="nil"/>
              <w:right w:val="nil"/>
            </w:tcBorders>
            <w:tcMar>
              <w:top w:w="0" w:type="dxa"/>
              <w:left w:w="62" w:type="dxa"/>
              <w:bottom w:w="0" w:type="dxa"/>
              <w:right w:w="62" w:type="dxa"/>
            </w:tcMar>
          </w:tcPr>
          <w:p w:rsidR="00000000" w:rsidRPr="00063992" w:rsidP="00063992">
            <w:pPr>
              <w:pStyle w:val="BodyText"/>
            </w:pPr>
            <w:r w:rsidRPr="00063992">
              <w:t>Inspect die support system and components for defects and die slide misalignment</w:t>
            </w:r>
          </w:p>
        </w:tc>
      </w:tr>
    </w:tbl>
    <w:p w:rsidR="00000000" w:rsidRPr="00063992" w:rsidP="00063992">
      <w:pPr>
        <w:pStyle w:val="BodyText"/>
      </w:pPr>
    </w:p>
    <w:tbl>
      <w:tblPr>
        <w:tblW w:w="0" w:type="auto"/>
        <w:tblLayout w:type="fixed"/>
        <w:tblCellMar>
          <w:left w:w="62" w:type="dxa"/>
          <w:right w:w="62" w:type="dxa"/>
        </w:tblCellMar>
        <w:tblLook w:val="0000"/>
      </w:tblPr>
      <w:tblGrid>
        <w:gridCol w:w="678"/>
        <w:gridCol w:w="1962"/>
        <w:gridCol w:w="770"/>
        <w:gridCol w:w="5610"/>
      </w:tblGrid>
      <w:tr w:rsidTr="000639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6</w:t>
            </w:r>
          </w:p>
        </w:tc>
        <w:tc>
          <w:tcPr>
            <w:tcW w:w="1962" w:type="dxa"/>
            <w:vMerge w:val="restart"/>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 xml:space="preserve">Record cause of fault and communicate as required  </w:t>
            </w:r>
          </w:p>
        </w:tc>
        <w:tc>
          <w:tcPr>
            <w:tcW w:w="77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6.1</w:t>
            </w:r>
          </w:p>
        </w:tc>
        <w:tc>
          <w:tcPr>
            <w:tcW w:w="561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Prepare recommendations for die correction and obt</w:t>
            </w:r>
            <w:r w:rsidRPr="00063992">
              <w:t>ain any required approvals</w:t>
            </w:r>
          </w:p>
        </w:tc>
      </w:tr>
      <w:tr w:rsidTr="000639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6.2</w:t>
            </w:r>
          </w:p>
        </w:tc>
        <w:tc>
          <w:tcPr>
            <w:tcW w:w="5610" w:type="dxa"/>
            <w:tcBorders>
              <w:top w:val="nil"/>
              <w:left w:val="nil"/>
              <w:bottom w:val="nil"/>
              <w:right w:val="nil"/>
            </w:tcBorders>
            <w:tcMar>
              <w:top w:w="0" w:type="dxa"/>
              <w:left w:w="62" w:type="dxa"/>
              <w:bottom w:w="0" w:type="dxa"/>
              <w:right w:w="62" w:type="dxa"/>
            </w:tcMar>
          </w:tcPr>
          <w:p w:rsidR="00000000" w:rsidRPr="00063992" w:rsidP="00063992">
            <w:pPr>
              <w:pStyle w:val="BodyText"/>
            </w:pPr>
            <w:r w:rsidRPr="00063992">
              <w:t>Prepare recommendations for any changes to process or temperature settings and distribute, as appropriate</w:t>
            </w:r>
          </w:p>
        </w:tc>
      </w:tr>
    </w:tbl>
    <w:p w:rsidR="00000000" w:rsidRPr="00063992" w:rsidP="00063992">
      <w:pPr>
        <w:pStyle w:val="BodyText"/>
      </w:pPr>
    </w:p>
    <w:p w:rsidR="00000000" w:rsidRPr="00063992" w:rsidP="00063992">
      <w:pPr>
        <w:pStyle w:val="AllowPageBreak"/>
      </w:pPr>
    </w:p>
    <w:p w:rsidR="00000000" w:rsidRPr="00063992" w:rsidP="00063992">
      <w:pPr>
        <w:pStyle w:val="Heading1"/>
      </w:pPr>
      <w:bookmarkStart w:id="9" w:name="O_591274"/>
      <w:bookmarkEnd w:id="9"/>
      <w:r w:rsidRPr="00063992">
        <w:t>Required Skills and Knowledge</w:t>
      </w:r>
    </w:p>
    <w:tbl>
      <w:tblPr>
        <w:tblW w:w="0" w:type="auto"/>
        <w:tblLayout w:type="fixed"/>
        <w:tblCellMar>
          <w:left w:w="62" w:type="dxa"/>
          <w:right w:w="62" w:type="dxa"/>
        </w:tblCellMar>
        <w:tblLook w:val="0000"/>
      </w:tblPr>
      <w:tblGrid>
        <w:gridCol w:w="9072"/>
      </w:tblGrid>
      <w:tr w:rsidTr="000639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This section describes the skills and knowledge required for this unit.</w:t>
            </w:r>
          </w:p>
        </w:tc>
      </w:tr>
      <w:tr w:rsidTr="000639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p>
        </w:tc>
      </w:tr>
      <w:tr w:rsidTr="000639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rPr>
                <w:rStyle w:val="SpecialBold"/>
              </w:rPr>
              <w:t xml:space="preserve">Required skills </w:t>
            </w:r>
          </w:p>
        </w:tc>
      </w:tr>
      <w:tr w:rsidTr="000639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63992" w:rsidP="00063992">
            <w:pPr>
              <w:pStyle w:val="BodyText"/>
            </w:pPr>
            <w:r w:rsidRPr="00063992">
              <w:t>Required skills include:</w:t>
            </w:r>
          </w:p>
          <w:p w:rsidR="00000000" w:rsidRPr="00063992" w:rsidP="00063992">
            <w:pPr>
              <w:pStyle w:val="ListBullet"/>
            </w:pPr>
            <w:r w:rsidRPr="00063992">
              <w:t>interpreting die maintenance requests for information on likely fault causes</w:t>
            </w:r>
          </w:p>
          <w:p w:rsidR="00000000" w:rsidRPr="00063992" w:rsidP="00063992">
            <w:pPr>
              <w:pStyle w:val="ListBullet"/>
            </w:pPr>
            <w:r w:rsidRPr="00063992">
              <w:t>liaising with extruder operators, die designers and die makers, and maintenance department</w:t>
            </w:r>
          </w:p>
          <w:p w:rsidR="00000000" w:rsidRPr="00063992" w:rsidP="00063992">
            <w:pPr>
              <w:pStyle w:val="ListBullet"/>
            </w:pPr>
            <w:r w:rsidRPr="00063992">
              <w:t>interpreting die drawings</w:t>
            </w:r>
          </w:p>
          <w:p w:rsidR="00000000" w:rsidRPr="00063992" w:rsidP="00063992">
            <w:pPr>
              <w:pStyle w:val="ListBullet"/>
            </w:pPr>
            <w:r w:rsidRPr="00063992">
              <w:t>interpreting production records and die maintenance records</w:t>
            </w:r>
          </w:p>
          <w:p w:rsidR="00000000" w:rsidRPr="00063992" w:rsidP="00063992">
            <w:pPr>
              <w:pStyle w:val="ListBullet"/>
            </w:pPr>
            <w:r w:rsidRPr="00063992">
              <w:t>evaluating solid die extrusion faults, including:</w:t>
            </w:r>
          </w:p>
          <w:p w:rsidR="00000000" w:rsidRPr="00063992" w:rsidP="00063992">
            <w:pPr>
              <w:pStyle w:val="ListBullet2"/>
            </w:pPr>
            <w:r w:rsidRPr="00063992">
              <w:t>loss of shape</w:t>
            </w:r>
          </w:p>
          <w:p w:rsidR="00000000" w:rsidRPr="00063992" w:rsidP="00063992">
            <w:pPr>
              <w:pStyle w:val="ListBullet2"/>
            </w:pPr>
            <w:r w:rsidRPr="00063992">
              <w:t>incorrect ext</w:t>
            </w:r>
            <w:r w:rsidRPr="00063992">
              <w:t>rusion length, width or thickness</w:t>
            </w:r>
          </w:p>
          <w:p w:rsidR="00000000" w:rsidRPr="00063992" w:rsidP="00063992">
            <w:pPr>
              <w:pStyle w:val="ListBullet2"/>
            </w:pPr>
            <w:r w:rsidRPr="00063992">
              <w:t>surface faults</w:t>
            </w:r>
          </w:p>
          <w:p w:rsidR="00000000" w:rsidRPr="00063992" w:rsidP="00063992">
            <w:pPr>
              <w:pStyle w:val="ListBullet"/>
            </w:pPr>
            <w:r w:rsidRPr="00063992">
              <w:t>evaluating hollow die extrusion faults, including:</w:t>
            </w:r>
          </w:p>
          <w:p w:rsidR="00000000" w:rsidRPr="00063992" w:rsidP="00063992">
            <w:pPr>
              <w:pStyle w:val="ListBullet2"/>
            </w:pPr>
            <w:r w:rsidRPr="00063992">
              <w:t>loss of shape</w:t>
            </w:r>
          </w:p>
          <w:p w:rsidR="00000000" w:rsidRPr="00063992" w:rsidP="00063992">
            <w:pPr>
              <w:pStyle w:val="ListBullet2"/>
            </w:pPr>
            <w:r w:rsidRPr="00063992">
              <w:t>incorrect extrusion length, width or thickness</w:t>
            </w:r>
          </w:p>
          <w:p w:rsidR="00000000" w:rsidRPr="00063992" w:rsidP="00063992">
            <w:pPr>
              <w:pStyle w:val="ListBullet2"/>
            </w:pPr>
            <w:r w:rsidRPr="00063992">
              <w:t>surface defects</w:t>
            </w:r>
          </w:p>
          <w:p w:rsidR="00000000" w:rsidRPr="00063992" w:rsidP="00063992">
            <w:pPr>
              <w:pStyle w:val="ListBullet2"/>
            </w:pPr>
            <w:r w:rsidRPr="00063992">
              <w:t>unbalanced flow through ports</w:t>
            </w:r>
          </w:p>
          <w:p w:rsidR="00000000" w:rsidRPr="00063992" w:rsidP="00063992">
            <w:pPr>
              <w:pStyle w:val="ListBullet2"/>
            </w:pPr>
            <w:r w:rsidRPr="00063992">
              <w:t>speed differences through die</w:t>
            </w:r>
          </w:p>
          <w:p w:rsidR="00000000" w:rsidRPr="00063992" w:rsidP="00063992">
            <w:pPr>
              <w:pStyle w:val="ListBullet2"/>
            </w:pPr>
            <w:r w:rsidRPr="00063992">
              <w:t>collapse of extru</w:t>
            </w:r>
            <w:r w:rsidRPr="00063992">
              <w:t>sion or extrusion features</w:t>
            </w:r>
          </w:p>
          <w:p w:rsidR="00000000" w:rsidRPr="00063992" w:rsidP="00063992">
            <w:pPr>
              <w:pStyle w:val="ListBullet"/>
            </w:pPr>
            <w:r w:rsidRPr="00063992">
              <w:t>evaluation of die support system for:</w:t>
            </w:r>
          </w:p>
          <w:p w:rsidR="00000000" w:rsidRPr="00063992" w:rsidP="00063992">
            <w:pPr>
              <w:pStyle w:val="ListBullet2"/>
            </w:pPr>
            <w:r w:rsidRPr="00063992">
              <w:t>slide alignment</w:t>
            </w:r>
          </w:p>
          <w:p w:rsidR="00000000" w:rsidRPr="00063992" w:rsidP="00063992">
            <w:pPr>
              <w:pStyle w:val="ListBullet2"/>
            </w:pPr>
            <w:r w:rsidRPr="00063992">
              <w:t>coining (impression) of bolster</w:t>
            </w:r>
          </w:p>
          <w:p w:rsidR="00000000" w:rsidP="00063992">
            <w:pPr>
              <w:pStyle w:val="ListBullet2"/>
              <w:rPr>
                <w:lang w:val="en-NZ"/>
              </w:rPr>
            </w:pPr>
            <w:r w:rsidRPr="00063992">
              <w:t>faults and incorrect tolerances and alignment of backers, feeder plates and bolsters</w:t>
            </w:r>
          </w:p>
        </w:tc>
      </w:tr>
      <w:tr w:rsidTr="000639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rPr>
                <w:rStyle w:val="SpecialBold"/>
              </w:rPr>
              <w:t xml:space="preserve">Required knowledge </w:t>
            </w:r>
          </w:p>
        </w:tc>
      </w:tr>
      <w:tr w:rsidTr="000639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63992" w:rsidP="00063992">
            <w:pPr>
              <w:pStyle w:val="BodyText"/>
            </w:pPr>
            <w:r w:rsidRPr="00063992">
              <w:t>Required knowledge includes:</w:t>
            </w:r>
          </w:p>
          <w:p w:rsidR="00000000" w:rsidRPr="00063992" w:rsidP="00063992">
            <w:pPr>
              <w:pStyle w:val="ListBullet"/>
            </w:pPr>
            <w:r w:rsidRPr="00063992">
              <w:t>aluminium extrusion process, including:</w:t>
            </w:r>
          </w:p>
          <w:p w:rsidR="00000000" w:rsidRPr="00063992" w:rsidP="00063992">
            <w:pPr>
              <w:pStyle w:val="ListBullet2"/>
            </w:pPr>
            <w:r w:rsidRPr="00063992">
              <w:t>die heating</w:t>
            </w:r>
          </w:p>
          <w:p w:rsidR="00000000" w:rsidRPr="00063992" w:rsidP="00063992">
            <w:pPr>
              <w:pStyle w:val="ListBullet2"/>
            </w:pPr>
            <w:r w:rsidRPr="00063992">
              <w:t>billet heating</w:t>
            </w:r>
          </w:p>
          <w:p w:rsidR="00000000" w:rsidRPr="00063992" w:rsidP="00063992">
            <w:pPr>
              <w:pStyle w:val="ListBullet2"/>
            </w:pPr>
            <w:r w:rsidRPr="00063992">
              <w:t>loading of dies and billets</w:t>
            </w:r>
          </w:p>
          <w:p w:rsidR="00000000" w:rsidRPr="00063992" w:rsidP="00063992">
            <w:pPr>
              <w:pStyle w:val="ListBullet2"/>
            </w:pPr>
            <w:r w:rsidRPr="00063992">
              <w:t>breakthrough control</w:t>
            </w:r>
          </w:p>
          <w:p w:rsidR="00000000" w:rsidRPr="00063992" w:rsidP="00063992">
            <w:pPr>
              <w:pStyle w:val="ListBullet2"/>
            </w:pPr>
            <w:r w:rsidRPr="00063992">
              <w:t>flow speed</w:t>
            </w:r>
          </w:p>
          <w:p w:rsidR="00000000" w:rsidRPr="00063992" w:rsidP="00063992">
            <w:pPr>
              <w:pStyle w:val="ListBullet2"/>
            </w:pPr>
            <w:r w:rsidRPr="00063992">
              <w:t>rolling</w:t>
            </w:r>
          </w:p>
          <w:p w:rsidR="00000000" w:rsidRPr="00063992" w:rsidP="00063992">
            <w:pPr>
              <w:pStyle w:val="ListBullet2"/>
            </w:pPr>
            <w:r w:rsidRPr="00063992">
              <w:t>quenching</w:t>
            </w:r>
          </w:p>
          <w:p w:rsidR="00000000" w:rsidRPr="00063992" w:rsidP="00063992">
            <w:pPr>
              <w:pStyle w:val="ListBullet2"/>
            </w:pPr>
            <w:r w:rsidRPr="00063992">
              <w:t>stretching</w:t>
            </w:r>
          </w:p>
          <w:p w:rsidR="00000000" w:rsidRPr="00063992" w:rsidP="00063992">
            <w:pPr>
              <w:pStyle w:val="ListBullet"/>
            </w:pPr>
            <w:r w:rsidRPr="00063992">
              <w:t xml:space="preserve">aluminium extrusion alloys and their extrusion performance </w:t>
            </w:r>
          </w:p>
          <w:p w:rsidR="00000000" w:rsidRPr="00063992" w:rsidP="00063992">
            <w:pPr>
              <w:pStyle w:val="ListBullet"/>
            </w:pPr>
            <w:r w:rsidRPr="00063992">
              <w:t xml:space="preserve">extruder components and controls </w:t>
            </w:r>
          </w:p>
          <w:p w:rsidR="00000000" w:rsidRPr="00063992" w:rsidP="00063992">
            <w:pPr>
              <w:pStyle w:val="ListBullet"/>
            </w:pPr>
            <w:r w:rsidRPr="00063992">
              <w:t xml:space="preserve">requirements of AS/NZS 1866:1997 Aluminium and aluminium alloys – Extruded rod, bar, solid and hollow shapes for extruded products </w:t>
            </w:r>
          </w:p>
          <w:p w:rsidR="00000000" w:rsidRPr="00063992" w:rsidP="00063992">
            <w:pPr>
              <w:pStyle w:val="ListBullet"/>
            </w:pPr>
            <w:r w:rsidRPr="00063992">
              <w:t>causes of die deformation, including:</w:t>
            </w:r>
          </w:p>
          <w:p w:rsidR="00000000" w:rsidRPr="00063992" w:rsidP="00063992">
            <w:pPr>
              <w:pStyle w:val="ListBullet2"/>
            </w:pPr>
            <w:r w:rsidRPr="00063992">
              <w:t xml:space="preserve">damaged or die </w:t>
            </w:r>
          </w:p>
          <w:p w:rsidR="00000000" w:rsidRPr="00063992" w:rsidP="00063992">
            <w:pPr>
              <w:pStyle w:val="ListBullet2"/>
            </w:pPr>
            <w:r w:rsidRPr="00063992">
              <w:t xml:space="preserve">poor or incorrect die support due to: </w:t>
            </w:r>
          </w:p>
          <w:p w:rsidR="00000000" w:rsidRPr="00063992" w:rsidP="00063992">
            <w:pPr>
              <w:pStyle w:val="ListBullet3"/>
            </w:pPr>
            <w:r w:rsidRPr="00063992">
              <w:t>poor manufacture</w:t>
            </w:r>
          </w:p>
          <w:p w:rsidR="00000000" w:rsidRPr="00063992" w:rsidP="00063992">
            <w:pPr>
              <w:pStyle w:val="ListBullet3"/>
            </w:pPr>
            <w:r w:rsidRPr="00063992">
              <w:t>wear</w:t>
            </w:r>
          </w:p>
          <w:p w:rsidR="00000000" w:rsidRPr="00063992" w:rsidP="00063992">
            <w:pPr>
              <w:pStyle w:val="ListBullet3"/>
            </w:pPr>
            <w:r w:rsidRPr="00063992">
              <w:t>incorrect component placement/selection</w:t>
            </w:r>
          </w:p>
          <w:p w:rsidR="00000000" w:rsidRPr="00063992" w:rsidP="00063992">
            <w:pPr>
              <w:pStyle w:val="ListBullet"/>
            </w:pPr>
            <w:r w:rsidRPr="00063992">
              <w:t>die and die support design and die manufacturing related faults, such as</w:t>
            </w:r>
          </w:p>
          <w:p w:rsidR="00000000" w:rsidRPr="00063992" w:rsidP="00063992">
            <w:pPr>
              <w:pStyle w:val="ListBullet2"/>
            </w:pPr>
            <w:r w:rsidRPr="00063992">
              <w:t xml:space="preserve">tolerances and clearances too tight and beyond range of realistic correction by die corrector </w:t>
            </w:r>
          </w:p>
          <w:p w:rsidR="00000000" w:rsidRPr="00063992" w:rsidP="00063992">
            <w:pPr>
              <w:pStyle w:val="ListBullet2"/>
            </w:pPr>
            <w:r w:rsidRPr="00063992">
              <w:t>tolerances and clearances too great causing components to move out of position during extrusion leading to flow blockage</w:t>
            </w:r>
          </w:p>
          <w:p w:rsidR="00000000" w:rsidRPr="00063992" w:rsidP="00063992">
            <w:pPr>
              <w:pStyle w:val="ListBullet"/>
            </w:pPr>
            <w:r w:rsidRPr="00063992">
              <w:t>reasons for die blockage, including:</w:t>
            </w:r>
          </w:p>
          <w:p w:rsidR="00000000" w:rsidRPr="00063992" w:rsidP="00063992">
            <w:pPr>
              <w:pStyle w:val="ListBullet2"/>
            </w:pPr>
            <w:r w:rsidRPr="00063992">
              <w:t>die damage</w:t>
            </w:r>
          </w:p>
          <w:p w:rsidR="00000000" w:rsidRPr="00063992" w:rsidP="00063992">
            <w:pPr>
              <w:pStyle w:val="ListBullet2"/>
            </w:pPr>
            <w:r w:rsidRPr="00063992">
              <w:t xml:space="preserve">over polishing or incorrect die polishing </w:t>
            </w:r>
          </w:p>
          <w:p w:rsidR="00000000" w:rsidRPr="00063992" w:rsidP="00063992">
            <w:pPr>
              <w:pStyle w:val="ListBullet2"/>
            </w:pPr>
            <w:r w:rsidRPr="00063992">
              <w:t xml:space="preserve">tongue bending </w:t>
            </w:r>
          </w:p>
          <w:p w:rsidR="00000000" w:rsidRPr="00063992" w:rsidP="00063992">
            <w:pPr>
              <w:pStyle w:val="ListBullet2"/>
            </w:pPr>
            <w:r w:rsidRPr="00063992">
              <w:t>bearing clearances too tig</w:t>
            </w:r>
            <w:r w:rsidRPr="00063992">
              <w:t xml:space="preserve">ht </w:t>
            </w:r>
          </w:p>
          <w:p w:rsidR="00000000" w:rsidRPr="00063992" w:rsidP="00063992">
            <w:pPr>
              <w:pStyle w:val="ListBullet2"/>
            </w:pPr>
            <w:r w:rsidRPr="00063992">
              <w:t>overheating of billet</w:t>
            </w:r>
          </w:p>
          <w:p w:rsidR="00000000" w:rsidRPr="00063992" w:rsidP="00063992">
            <w:pPr>
              <w:pStyle w:val="ListBullet"/>
            </w:pPr>
            <w:r w:rsidRPr="00063992">
              <w:t>indicators of die support faults, including:</w:t>
            </w:r>
          </w:p>
          <w:p w:rsidR="00000000" w:rsidRPr="00063992" w:rsidP="00063992">
            <w:pPr>
              <w:pStyle w:val="ListBullet2"/>
            </w:pPr>
            <w:r w:rsidRPr="00063992">
              <w:t>deflecting mandrels</w:t>
            </w:r>
          </w:p>
          <w:p w:rsidR="00000000" w:rsidRPr="00063992" w:rsidP="00063992">
            <w:pPr>
              <w:pStyle w:val="ListBullet2"/>
            </w:pPr>
            <w:r w:rsidRPr="00063992">
              <w:t>die dishing</w:t>
            </w:r>
          </w:p>
          <w:p w:rsidR="00000000" w:rsidRPr="00063992" w:rsidP="00063992">
            <w:pPr>
              <w:pStyle w:val="ListBullet2"/>
            </w:pPr>
            <w:r w:rsidRPr="00063992">
              <w:t xml:space="preserve">die movement during extrusion </w:t>
            </w:r>
          </w:p>
          <w:p w:rsidR="00000000" w:rsidRPr="00063992" w:rsidP="00063992">
            <w:pPr>
              <w:pStyle w:val="ListBullet2"/>
            </w:pPr>
            <w:r w:rsidRPr="00063992">
              <w:t>check for metal extruding inwards or outwards</w:t>
            </w:r>
          </w:p>
          <w:p w:rsidR="00000000" w:rsidRPr="00063992" w:rsidP="00063992">
            <w:pPr>
              <w:pStyle w:val="ListBullet"/>
            </w:pPr>
            <w:r w:rsidRPr="00063992">
              <w:t>effects of nitriding and re-nitriding on die performance</w:t>
            </w:r>
          </w:p>
          <w:p w:rsidR="00000000" w:rsidRPr="00063992" w:rsidP="00063992">
            <w:pPr>
              <w:pStyle w:val="ListBullet"/>
            </w:pPr>
            <w:r w:rsidRPr="00063992">
              <w:t>billet composition and billet heating procedures</w:t>
            </w:r>
          </w:p>
          <w:p w:rsidR="00000000" w:rsidRPr="00063992" w:rsidP="00063992">
            <w:pPr>
              <w:pStyle w:val="ListBullet"/>
            </w:pPr>
            <w:r w:rsidRPr="00063992">
              <w:t>changes in billet composition caused by reheating</w:t>
            </w:r>
          </w:p>
          <w:p w:rsidR="00000000" w:rsidRPr="00063992" w:rsidP="00063992">
            <w:pPr>
              <w:pStyle w:val="ListBullet"/>
            </w:pPr>
            <w:r w:rsidRPr="00063992">
              <w:t>process related faults:</w:t>
            </w:r>
          </w:p>
          <w:p w:rsidR="00000000" w:rsidRPr="00063992" w:rsidP="00063992">
            <w:pPr>
              <w:pStyle w:val="ListBullet2"/>
            </w:pPr>
            <w:r w:rsidRPr="00063992">
              <w:t>incorrect temperature settings for pre-heating of billet</w:t>
            </w:r>
          </w:p>
          <w:p w:rsidR="00000000" w:rsidRPr="00063992" w:rsidP="00063992">
            <w:pPr>
              <w:pStyle w:val="ListBullet2"/>
            </w:pPr>
            <w:r w:rsidRPr="00063992">
              <w:t>bad breakthrough control by operator (setting too fast or too high a pressu</w:t>
            </w:r>
            <w:r w:rsidRPr="00063992">
              <w:t>re):</w:t>
            </w:r>
          </w:p>
          <w:p w:rsidR="00000000" w:rsidRPr="00063992" w:rsidP="00063992">
            <w:pPr>
              <w:pStyle w:val="ListBullet3"/>
            </w:pPr>
            <w:r w:rsidRPr="00063992">
              <w:t>poor extruder settings</w:t>
            </w:r>
          </w:p>
          <w:p w:rsidR="00000000" w:rsidRPr="00063992" w:rsidP="00063992">
            <w:pPr>
              <w:pStyle w:val="ListBullet3"/>
            </w:pPr>
            <w:r w:rsidRPr="00063992">
              <w:t>speed through die too fast/slow</w:t>
            </w:r>
          </w:p>
          <w:p w:rsidR="00000000" w:rsidRPr="00063992" w:rsidP="00063992">
            <w:pPr>
              <w:pStyle w:val="ListBullet2"/>
            </w:pPr>
            <w:r w:rsidRPr="00063992">
              <w:t>fouling of section on relief</w:t>
            </w:r>
          </w:p>
          <w:p w:rsidR="00000000" w:rsidRPr="00063992" w:rsidP="00063992">
            <w:pPr>
              <w:pStyle w:val="ListBullet2"/>
            </w:pPr>
            <w:r w:rsidRPr="00063992">
              <w:t xml:space="preserve">unsuitable support of extrusion after exiting die </w:t>
            </w:r>
          </w:p>
          <w:p w:rsidR="00000000" w:rsidRPr="00063992" w:rsidP="00063992">
            <w:pPr>
              <w:pStyle w:val="ListBullet2"/>
            </w:pPr>
            <w:r w:rsidRPr="00063992">
              <w:t xml:space="preserve">poor/incorrect quenching </w:t>
            </w:r>
          </w:p>
          <w:p w:rsidR="00000000" w:rsidRPr="00063992" w:rsidP="00063992">
            <w:pPr>
              <w:pStyle w:val="ListBullet2"/>
            </w:pPr>
            <w:r w:rsidRPr="00063992">
              <w:t>faults not subject to action by die corrector</w:t>
            </w:r>
          </w:p>
          <w:p w:rsidR="00000000" w:rsidRPr="00063992" w:rsidP="00063992">
            <w:pPr>
              <w:pStyle w:val="ListBullet2"/>
            </w:pPr>
            <w:r w:rsidRPr="00063992">
              <w:t>poor quality billet</w:t>
            </w:r>
          </w:p>
          <w:p w:rsidR="00000000" w:rsidRPr="00063992" w:rsidP="00063992">
            <w:pPr>
              <w:pStyle w:val="ListBullet2"/>
            </w:pPr>
            <w:r w:rsidRPr="00063992">
              <w:t>mechanical/electrical fault with extruder</w:t>
            </w:r>
          </w:p>
          <w:p w:rsidR="00000000" w:rsidRPr="00063992" w:rsidP="00063992">
            <w:pPr>
              <w:pStyle w:val="ListBullet"/>
            </w:pPr>
            <w:r w:rsidRPr="00063992">
              <w:t>types of extrusion faults and their relationship to die correction techniques and die correction limitations, including:</w:t>
            </w:r>
          </w:p>
          <w:p w:rsidR="00000000" w:rsidRPr="00063992" w:rsidP="00063992">
            <w:pPr>
              <w:pStyle w:val="ListBullet2"/>
            </w:pPr>
            <w:r w:rsidRPr="00063992">
              <w:t>shape distortion:</w:t>
            </w:r>
          </w:p>
          <w:p w:rsidR="00000000" w:rsidRPr="00063992" w:rsidP="00063992">
            <w:pPr>
              <w:pStyle w:val="ListBullet3"/>
            </w:pPr>
            <w:r w:rsidRPr="00063992">
              <w:t>during extrusion</w:t>
            </w:r>
          </w:p>
          <w:p w:rsidR="00000000" w:rsidRPr="00063992" w:rsidP="00063992">
            <w:pPr>
              <w:pStyle w:val="ListBullet3"/>
            </w:pPr>
            <w:r w:rsidRPr="00063992">
              <w:t>on exit from die</w:t>
            </w:r>
          </w:p>
          <w:p w:rsidR="00000000" w:rsidRPr="00063992" w:rsidP="00063992">
            <w:pPr>
              <w:pStyle w:val="ListBullet3"/>
            </w:pPr>
            <w:r w:rsidRPr="00063992">
              <w:t>loss during quenching</w:t>
            </w:r>
          </w:p>
          <w:p w:rsidR="00000000" w:rsidRPr="00063992" w:rsidP="00063992">
            <w:pPr>
              <w:pStyle w:val="ListBullet2"/>
            </w:pPr>
            <w:r w:rsidRPr="00063992">
              <w:t>length overruns</w:t>
            </w:r>
          </w:p>
          <w:p w:rsidR="00000000" w:rsidRPr="00063992" w:rsidP="00063992">
            <w:pPr>
              <w:pStyle w:val="ListBullet2"/>
            </w:pPr>
            <w:r w:rsidRPr="00063992">
              <w:t>section collapse</w:t>
            </w:r>
          </w:p>
          <w:p w:rsidR="00000000" w:rsidRPr="00063992" w:rsidP="00063992">
            <w:pPr>
              <w:pStyle w:val="ListBullet2"/>
            </w:pPr>
            <w:r w:rsidRPr="00063992">
              <w:t>surface faults, such as:</w:t>
            </w:r>
          </w:p>
          <w:p w:rsidR="00000000" w:rsidRPr="00063992" w:rsidP="00063992">
            <w:pPr>
              <w:pStyle w:val="ListBullet3"/>
            </w:pPr>
            <w:r w:rsidRPr="00063992">
              <w:t>breakdown</w:t>
            </w:r>
          </w:p>
          <w:p w:rsidR="00000000" w:rsidRPr="00063992" w:rsidP="00063992">
            <w:pPr>
              <w:pStyle w:val="ListBullet3"/>
            </w:pPr>
            <w:r w:rsidRPr="00063992">
              <w:t>pickup</w:t>
            </w:r>
          </w:p>
          <w:p w:rsidR="00000000" w:rsidRPr="00063992" w:rsidP="00063992">
            <w:pPr>
              <w:pStyle w:val="ListBullet3"/>
            </w:pPr>
            <w:r w:rsidRPr="00063992">
              <w:t>tearing</w:t>
            </w:r>
          </w:p>
          <w:p w:rsidR="00000000" w:rsidRPr="00063992" w:rsidP="00063992">
            <w:pPr>
              <w:pStyle w:val="ListBullet3"/>
            </w:pPr>
            <w:r w:rsidRPr="00063992">
              <w:t>streaking</w:t>
            </w:r>
          </w:p>
          <w:p w:rsidR="00000000" w:rsidRPr="00063992" w:rsidP="00063992">
            <w:pPr>
              <w:pStyle w:val="ListBullet3"/>
            </w:pPr>
            <w:r w:rsidRPr="00063992">
              <w:t>die lines</w:t>
            </w:r>
          </w:p>
        </w:tc>
      </w:tr>
    </w:tbl>
    <w:p w:rsidR="00000000" w:rsidRPr="00063992" w:rsidP="00063992">
      <w:pPr>
        <w:pStyle w:val="BodyText"/>
      </w:pPr>
    </w:p>
    <w:p w:rsidR="00000000" w:rsidRPr="00063992" w:rsidP="00063992">
      <w:pPr>
        <w:pStyle w:val="AllowPageBreak"/>
      </w:pPr>
    </w:p>
    <w:p w:rsidR="00000000" w:rsidRPr="00063992" w:rsidP="00063992">
      <w:pPr>
        <w:pStyle w:val="Heading1"/>
      </w:pPr>
      <w:bookmarkStart w:id="10" w:name="O_591273"/>
      <w:bookmarkEnd w:id="10"/>
      <w:r w:rsidRPr="00063992">
        <w:t>Evidence Guide</w:t>
      </w:r>
    </w:p>
    <w:tbl>
      <w:tblPr>
        <w:tblW w:w="0" w:type="auto"/>
        <w:tblLayout w:type="fixed"/>
        <w:tblCellMar>
          <w:left w:w="62" w:type="dxa"/>
          <w:right w:w="62" w:type="dxa"/>
        </w:tblCellMar>
        <w:tblLook w:val="0000"/>
      </w:tblPr>
      <w:tblGrid>
        <w:gridCol w:w="3648"/>
        <w:gridCol w:w="5352"/>
      </w:tblGrid>
      <w:tr w:rsidTr="0006399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The evidence guide provides advice on assessment and must be read in conjunction with the performance criteria required skills and knowledge range statement and the Assessment Guidelines for the Training Package.</w:t>
            </w:r>
          </w:p>
        </w:tc>
      </w:tr>
      <w:tr w:rsidTr="00063992">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rPr>
                <w:rStyle w:val="SpecialBold"/>
              </w:rPr>
              <w:t>Overview of assessment</w:t>
            </w:r>
          </w:p>
        </w:tc>
        <w:tc>
          <w:tcPr>
            <w:tcW w:w="5352"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A person who demon</w:t>
            </w:r>
            <w:r w:rsidRPr="00063992">
              <w:t>strates competency in this unit must be able to take a systematic approach to the identification of the cause of faults in aluminium extrusions and to determine the appropriate action to remedy the fault.</w:t>
            </w:r>
          </w:p>
        </w:tc>
      </w:tr>
      <w:tr w:rsidTr="00063992">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rPr>
                <w:rStyle w:val="SpecialBold"/>
              </w:rPr>
              <w:t>Critical aspects for assessment and evidence requi</w:t>
            </w:r>
            <w:r w:rsidRPr="00063992">
              <w:rPr>
                <w:rStyle w:val="SpecialBold"/>
              </w:rPr>
              <w:t>red to demonstrate competency in this unit</w:t>
            </w:r>
          </w:p>
        </w:tc>
        <w:tc>
          <w:tcPr>
            <w:tcW w:w="5352" w:type="dxa"/>
            <w:tcBorders>
              <w:top w:val="nil"/>
              <w:left w:val="nil"/>
              <w:bottom w:val="nil"/>
              <w:right w:val="nil"/>
            </w:tcBorders>
            <w:tcMar>
              <w:top w:w="0" w:type="dxa"/>
              <w:left w:w="62" w:type="dxa"/>
              <w:bottom w:w="0" w:type="dxa"/>
              <w:right w:w="62" w:type="dxa"/>
            </w:tcMar>
          </w:tcPr>
          <w:p w:rsidR="00000000" w:rsidRPr="00063992" w:rsidP="00063992">
            <w:pPr>
              <w:pStyle w:val="BodyText"/>
            </w:pPr>
            <w:r w:rsidRPr="00063992">
              <w:t>Assessors must be satisfied that the candidate can competently and consistently:</w:t>
            </w:r>
          </w:p>
          <w:p w:rsidR="00000000" w:rsidRPr="00063992" w:rsidP="00063992">
            <w:pPr>
              <w:pStyle w:val="ListBullet"/>
            </w:pPr>
            <w:r w:rsidRPr="00063992">
              <w:t>comply with WHS, regulatory requirements and risk management procedures</w:t>
            </w:r>
          </w:p>
          <w:p w:rsidR="00000000" w:rsidRPr="00063992" w:rsidP="00063992">
            <w:pPr>
              <w:pStyle w:val="ListBullet"/>
            </w:pPr>
            <w:r w:rsidRPr="00063992">
              <w:t>correctly identify bearings, apertures,components, and critical measurements and tolerances on die drawing</w:t>
            </w:r>
          </w:p>
          <w:p w:rsidR="00000000" w:rsidRPr="00063992" w:rsidP="00063992">
            <w:pPr>
              <w:pStyle w:val="ListBullet"/>
            </w:pPr>
            <w:r w:rsidRPr="00063992">
              <w:t>liaise with extruder operators, die designers and die makers to obtain information to assist in the identification of causes of faults</w:t>
            </w:r>
          </w:p>
          <w:p w:rsidR="00000000" w:rsidRPr="00063992" w:rsidP="00063992">
            <w:pPr>
              <w:pStyle w:val="ListBullet"/>
            </w:pPr>
            <w:r w:rsidRPr="00063992">
              <w:t xml:space="preserve">identify root </w:t>
            </w:r>
            <w:r w:rsidRPr="00063992">
              <w:t xml:space="preserve">cause of faults in both hollow and solid die extrusions </w:t>
            </w:r>
          </w:p>
          <w:p w:rsidR="00000000" w:rsidRPr="00063992" w:rsidP="00063992">
            <w:pPr>
              <w:pStyle w:val="ListBullet"/>
            </w:pPr>
            <w:r w:rsidRPr="00063992">
              <w:t>identify die, die support, process and temperature-related shape and surface faults</w:t>
            </w:r>
          </w:p>
          <w:p w:rsidR="00000000" w:rsidRPr="00063992" w:rsidP="00063992">
            <w:pPr>
              <w:pStyle w:val="ListBullet"/>
            </w:pPr>
            <w:r w:rsidRPr="00063992">
              <w:t>identify appropriate action to take to remedy extrusion faults</w:t>
            </w:r>
          </w:p>
          <w:p w:rsidR="00000000" w:rsidP="00063992">
            <w:pPr>
              <w:pStyle w:val="ListBullet"/>
              <w:rPr>
                <w:lang w:val="en-NZ"/>
              </w:rPr>
            </w:pPr>
            <w:r w:rsidRPr="00063992">
              <w:t>access, analyse and add to die history records.</w:t>
            </w:r>
          </w:p>
        </w:tc>
      </w:tr>
      <w:tr w:rsidTr="00063992">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rPr>
                <w:rStyle w:val="SpecialBold"/>
              </w:rPr>
              <w:t>Con</w:t>
            </w:r>
            <w:r w:rsidRPr="00063992">
              <w:rPr>
                <w:rStyle w:val="SpecialBold"/>
              </w:rPr>
              <w:t>text of and specific resources for assessment</w:t>
            </w:r>
          </w:p>
        </w:tc>
        <w:tc>
          <w:tcPr>
            <w:tcW w:w="5352" w:type="dxa"/>
            <w:tcBorders>
              <w:top w:val="nil"/>
              <w:left w:val="nil"/>
              <w:bottom w:val="nil"/>
              <w:right w:val="nil"/>
            </w:tcBorders>
            <w:tcMar>
              <w:top w:w="0" w:type="dxa"/>
              <w:left w:w="62" w:type="dxa"/>
              <w:bottom w:w="0" w:type="dxa"/>
              <w:right w:w="62" w:type="dxa"/>
            </w:tcMar>
          </w:tcPr>
          <w:p w:rsidR="00000000" w:rsidRPr="00063992" w:rsidP="00063992">
            <w:pPr>
              <w:pStyle w:val="ListBullet"/>
            </w:pPr>
            <w:r w:rsidRPr="00063992">
              <w:t xml:space="preserve">This unit may be assessed on the job or a combination of both on and off the job. Access to the extruder and die producing the faulty extrusions and to die and extrusion records must be possible. </w:t>
            </w:r>
          </w:p>
          <w:p w:rsidR="00000000" w:rsidRPr="00063992" w:rsidP="00063992">
            <w:pPr>
              <w:pStyle w:val="ListBullet"/>
            </w:pPr>
            <w:r w:rsidRPr="00063992">
              <w:t>Assessment m</w:t>
            </w:r>
            <w:r w:rsidRPr="00063992">
              <w:t>ust cover extrusions produced by both solid and hollow dies and across a range of extrusion shapes and faults.</w:t>
            </w:r>
          </w:p>
          <w:p w:rsidR="00000000" w:rsidRPr="00063992" w:rsidP="00063992">
            <w:pPr>
              <w:pStyle w:val="ListBullet"/>
            </w:pPr>
            <w:r w:rsidRPr="00063992">
              <w:t>The competencies covered by this unit would be demonstrated by an individual working alone or as part of a team. The assessment environment shoul</w:t>
            </w:r>
            <w:r w:rsidRPr="00063992">
              <w:t>d not disadvantage the candidate.</w:t>
            </w:r>
          </w:p>
          <w:p w:rsidR="00000000" w:rsidP="00063992">
            <w:pPr>
              <w:pStyle w:val="ListBullet"/>
              <w:rPr>
                <w:lang w:val="en-NZ"/>
              </w:rPr>
            </w:pPr>
            <w:r w:rsidRPr="00063992">
              <w:t>This unit may be assessed in conjunction with any other units addressing the safety, quality, communication, hand tools, machine operation, recording and reporting associated with die correcting.</w:t>
            </w:r>
          </w:p>
        </w:tc>
      </w:tr>
      <w:tr w:rsidTr="00063992">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rPr>
                <w:rStyle w:val="SpecialBold"/>
              </w:rPr>
              <w:t>Method of assessment</w:t>
            </w:r>
          </w:p>
        </w:tc>
        <w:tc>
          <w:tcPr>
            <w:tcW w:w="5352" w:type="dxa"/>
            <w:tcBorders>
              <w:top w:val="nil"/>
              <w:left w:val="nil"/>
              <w:bottom w:val="nil"/>
              <w:right w:val="nil"/>
            </w:tcBorders>
            <w:tcMar>
              <w:top w:w="0" w:type="dxa"/>
              <w:left w:w="62" w:type="dxa"/>
              <w:bottom w:w="0" w:type="dxa"/>
              <w:right w:w="62" w:type="dxa"/>
            </w:tcMar>
          </w:tcPr>
          <w:p w:rsidR="00000000" w:rsidRPr="00063992" w:rsidP="00063992">
            <w:pPr>
              <w:pStyle w:val="ListBullet"/>
            </w:pPr>
            <w:r w:rsidRPr="00063992">
              <w:t>Assessment must satisfy the endorsed Assessment Guidelines of the MEM05 Metal and Engineering Training Package.</w:t>
            </w:r>
          </w:p>
          <w:p w:rsidR="00000000" w:rsidRPr="00063992" w:rsidP="00063992">
            <w:pPr>
              <w:pStyle w:val="ListBullet"/>
            </w:pPr>
            <w:r w:rsidRPr="00063992">
              <w:t xml:space="preserve">Assessment methods must confirm consistency and accuracy of performance (over time and in a range of workplace relevant contexts) together with </w:t>
            </w:r>
            <w:r w:rsidRPr="00063992">
              <w:t>application of underpinning knowledge.</w:t>
            </w:r>
          </w:p>
          <w:p w:rsidR="00000000" w:rsidRPr="00063992" w:rsidP="00063992">
            <w:pPr>
              <w:pStyle w:val="ListBullet"/>
            </w:pPr>
            <w:r w:rsidRPr="00063992">
              <w:t>Assessment methods must be by direct observation of tasks and include questioning on underpinning knowledge to ensure correct interpretation and application.</w:t>
            </w:r>
          </w:p>
          <w:p w:rsidR="00000000" w:rsidRPr="00063992" w:rsidP="00063992">
            <w:pPr>
              <w:pStyle w:val="ListBullet"/>
            </w:pPr>
            <w:r w:rsidRPr="00063992">
              <w:t xml:space="preserve">Assessment may be applied under project-related conditions </w:t>
            </w:r>
            <w:r w:rsidRPr="00063992">
              <w:t>(real or simulated) and require evidence of process.</w:t>
            </w:r>
          </w:p>
          <w:p w:rsidR="00000000" w:rsidRPr="00063992" w:rsidP="00063992">
            <w:pPr>
              <w:pStyle w:val="ListBullet"/>
            </w:pPr>
            <w:r w:rsidRPr="00063992">
              <w:t>Assessment must confirm a reasonable inference that competency is not only able to be satisfied under the particular circumstance, but is able to be transferred to other circumstances.</w:t>
            </w:r>
          </w:p>
          <w:p w:rsidR="00000000" w:rsidP="00063992">
            <w:pPr>
              <w:pStyle w:val="ListBullet"/>
              <w:rPr>
                <w:lang w:val="en-NZ"/>
              </w:rPr>
            </w:pPr>
            <w:r w:rsidRPr="00063992">
              <w:t xml:space="preserve">Assessment may be </w:t>
            </w:r>
            <w:r w:rsidRPr="00063992">
              <w:t>in conjunction with assessment of other units of competency where required.</w:t>
            </w:r>
          </w:p>
        </w:tc>
      </w:tr>
      <w:tr w:rsidTr="00063992">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rPr>
                <w:rStyle w:val="SpecialBold"/>
              </w:rPr>
              <w:t>Guidance information for assessment</w:t>
            </w:r>
          </w:p>
        </w:tc>
        <w:tc>
          <w:tcPr>
            <w:tcW w:w="5352" w:type="dxa"/>
            <w:tcBorders>
              <w:top w:val="nil"/>
              <w:left w:val="nil"/>
              <w:bottom w:val="nil"/>
              <w:right w:val="nil"/>
            </w:tcBorders>
            <w:tcMar>
              <w:top w:w="0" w:type="dxa"/>
              <w:left w:w="62" w:type="dxa"/>
              <w:bottom w:w="0" w:type="dxa"/>
              <w:right w:w="62" w:type="dxa"/>
            </w:tcMar>
          </w:tcPr>
          <w:p w:rsidR="00000000" w:rsidRPr="00063992" w:rsidP="00063992">
            <w:pPr>
              <w:pStyle w:val="BodyText"/>
            </w:pPr>
            <w:r w:rsidRPr="00063992">
              <w:t>Assessment processes and techniques must be culturally appropriate and appropriate to the language and literacy capacity of the candidate and t</w:t>
            </w:r>
            <w:r w:rsidRPr="00063992">
              <w:t>he work being performed.</w:t>
            </w:r>
          </w:p>
        </w:tc>
      </w:tr>
    </w:tbl>
    <w:p w:rsidR="00084319" w:rsidP="00063992">
      <w:pPr>
        <w:pStyle w:val="BodyText"/>
      </w:pPr>
    </w:p>
    <w:p w:rsidR="00084319" w:rsidP="00063992">
      <w:pPr>
        <w:pStyle w:val="BodyText"/>
      </w:pPr>
    </w:p>
    <w:p w:rsidR="00000000" w:rsidRPr="00063992" w:rsidP="00063992">
      <w:pPr>
        <w:pStyle w:val="Heading1"/>
      </w:pPr>
      <w:bookmarkStart w:id="11" w:name="O_591272"/>
      <w:bookmarkEnd w:id="11"/>
      <w:r w:rsidRPr="00063992">
        <w:t>Range Statement</w:t>
      </w:r>
    </w:p>
    <w:tbl>
      <w:tblPr>
        <w:tblW w:w="0" w:type="auto"/>
        <w:tblLayout w:type="fixed"/>
        <w:tblCellMar>
          <w:left w:w="62" w:type="dxa"/>
          <w:right w:w="62" w:type="dxa"/>
        </w:tblCellMar>
        <w:tblLook w:val="0000"/>
      </w:tblPr>
      <w:tblGrid>
        <w:gridCol w:w="3674"/>
        <w:gridCol w:w="5398"/>
      </w:tblGrid>
      <w:tr w:rsidTr="00063992">
        <w:tblPrEx>
          <w:tblW w:w="0" w:type="auto"/>
          <w:tblLayout w:type="fixed"/>
          <w:tblCellMar>
            <w:left w:w="62" w:type="dxa"/>
            <w:right w:w="62" w:type="dxa"/>
          </w:tblCellMar>
          <w:tblLook w:val="0000"/>
        </w:tblPrEx>
        <w:tc>
          <w:tcPr>
            <w:tcW w:w="9072" w:type="dxa"/>
            <w:gridSpan w:val="2"/>
            <w:tcBorders>
              <w:top w:val="nil"/>
              <w:left w:val="nil"/>
              <w:bottom w:val="single" w:sz="6" w:space="0" w:color="auto"/>
              <w:right w:val="nil"/>
            </w:tcBorders>
            <w:tcMar>
              <w:top w:w="0" w:type="dxa"/>
              <w:left w:w="62" w:type="dxa"/>
              <w:bottom w:w="0" w:type="dxa"/>
              <w:right w:w="62" w:type="dxa"/>
            </w:tcMar>
          </w:tcPr>
          <w:p w:rsidR="00000000" w:rsidP="00063992">
            <w:pPr>
              <w:pStyle w:val="BodyText"/>
              <w:rPr>
                <w:lang w:val="en-NZ"/>
              </w:rPr>
            </w:pPr>
            <w:r w:rsidRPr="00063992">
              <w:t xml:space="preserve">The range statement relates to the unit of competency as a whole. It allows for different work environments and situations that may affect </w:t>
            </w:r>
            <w:r w:rsidRPr="00063992">
              <w:t>performance. Bold italicised wording, if used in the performance criteria, is detailed below. Essential operating conditions that may be present with training and assessment (depending on the work situation, needs of the candidate, accessibility of the ite</w:t>
            </w:r>
            <w:r w:rsidRPr="00063992">
              <w:t>m, and local industry and regional contexts) may also be included.</w:t>
            </w:r>
          </w:p>
        </w:tc>
      </w:tr>
      <w:tr w:rsidTr="00063992">
        <w:tblPrEx>
          <w:tblW w:w="0" w:type="auto"/>
          <w:tblLayout w:type="fixed"/>
          <w:tblCellMar>
            <w:left w:w="62" w:type="dxa"/>
            <w:right w:w="62" w:type="dxa"/>
          </w:tblCellMar>
          <w:tblLook w:val="0000"/>
        </w:tblPrEx>
        <w:tc>
          <w:tcPr>
            <w:tcW w:w="3674"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063992">
            <w:pPr>
              <w:pStyle w:val="BodyText"/>
              <w:rPr>
                <w:lang w:val="en-NZ"/>
              </w:rPr>
            </w:pPr>
            <w:r w:rsidRPr="00063992">
              <w:rPr>
                <w:rStyle w:val="SpecialBold"/>
              </w:rPr>
              <w:t>Die support</w:t>
            </w:r>
          </w:p>
        </w:tc>
        <w:tc>
          <w:tcPr>
            <w:tcW w:w="5398"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63992">
            <w:pPr>
              <w:pStyle w:val="BodyText"/>
              <w:rPr>
                <w:lang w:val="en-NZ"/>
              </w:rPr>
            </w:pPr>
            <w:r w:rsidRPr="00063992">
              <w:t>Die support is the specified toolstack dimensions that will support dies, according to the force the extruder can exert.</w:t>
            </w:r>
          </w:p>
        </w:tc>
      </w:tr>
      <w:tr w:rsidTr="00063992">
        <w:tblPrEx>
          <w:tblW w:w="0" w:type="auto"/>
          <w:tblLayout w:type="fixed"/>
          <w:tblCellMar>
            <w:left w:w="62" w:type="dxa"/>
            <w:right w:w="62" w:type="dxa"/>
          </w:tblCellMar>
          <w:tblLook w:val="0000"/>
        </w:tblPrEx>
        <w:tc>
          <w:tcPr>
            <w:tcW w:w="3674"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063992">
            <w:pPr>
              <w:pStyle w:val="BodyText"/>
              <w:rPr>
                <w:lang w:val="en-NZ"/>
              </w:rPr>
            </w:pPr>
            <w:r w:rsidRPr="00063992">
              <w:rPr>
                <w:rStyle w:val="SpecialBold"/>
              </w:rPr>
              <w:t>Container</w:t>
            </w:r>
          </w:p>
        </w:tc>
        <w:tc>
          <w:tcPr>
            <w:tcW w:w="5398"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63992">
            <w:pPr>
              <w:pStyle w:val="BodyText"/>
              <w:rPr>
                <w:lang w:val="en-NZ"/>
              </w:rPr>
            </w:pPr>
            <w:r w:rsidRPr="00063992">
              <w:t>The container is the part of the extruder t</w:t>
            </w:r>
            <w:r w:rsidRPr="00063992">
              <w:t>hat holds the billet and billet support components.</w:t>
            </w:r>
          </w:p>
        </w:tc>
      </w:tr>
      <w:tr w:rsidTr="00063992">
        <w:tblPrEx>
          <w:tblW w:w="0" w:type="auto"/>
          <w:tblLayout w:type="fixed"/>
          <w:tblCellMar>
            <w:left w:w="62" w:type="dxa"/>
            <w:right w:w="62" w:type="dxa"/>
          </w:tblCellMar>
          <w:tblLook w:val="0000"/>
        </w:tblPrEx>
        <w:tc>
          <w:tcPr>
            <w:tcW w:w="3674"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063992">
            <w:pPr>
              <w:pStyle w:val="BodyText"/>
              <w:rPr>
                <w:lang w:val="en-NZ"/>
              </w:rPr>
            </w:pPr>
            <w:r w:rsidRPr="00063992">
              <w:rPr>
                <w:rStyle w:val="SpecialBold"/>
              </w:rPr>
              <w:t>Support tooling</w:t>
            </w:r>
          </w:p>
        </w:tc>
        <w:tc>
          <w:tcPr>
            <w:tcW w:w="5398"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63992">
            <w:pPr>
              <w:pStyle w:val="BodyText"/>
              <w:rPr>
                <w:lang w:val="en-NZ"/>
              </w:rPr>
            </w:pPr>
            <w:r w:rsidRPr="00063992">
              <w:t xml:space="preserve">Support tooling is the name given to the various pieces of tooling (e.g. bolsters that provide stiffness to the die during extrusion).  </w:t>
            </w:r>
          </w:p>
        </w:tc>
      </w:tr>
      <w:tr w:rsidTr="00063992">
        <w:tblPrEx>
          <w:tblW w:w="0" w:type="auto"/>
          <w:tblLayout w:type="fixed"/>
          <w:tblCellMar>
            <w:left w:w="62" w:type="dxa"/>
            <w:right w:w="62" w:type="dxa"/>
          </w:tblCellMar>
          <w:tblLook w:val="0000"/>
        </w:tblPrEx>
        <w:tc>
          <w:tcPr>
            <w:tcW w:w="3674"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063992">
            <w:pPr>
              <w:pStyle w:val="BodyText"/>
              <w:rPr>
                <w:lang w:val="en-NZ"/>
              </w:rPr>
            </w:pPr>
            <w:r w:rsidRPr="00063992">
              <w:rPr>
                <w:rStyle w:val="SpecialBold"/>
              </w:rPr>
              <w:t>Die holder</w:t>
            </w:r>
          </w:p>
        </w:tc>
        <w:tc>
          <w:tcPr>
            <w:tcW w:w="5398"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63992">
            <w:pPr>
              <w:pStyle w:val="BodyText"/>
              <w:rPr>
                <w:lang w:val="en-NZ"/>
              </w:rPr>
            </w:pPr>
            <w:r w:rsidRPr="00063992">
              <w:t>Die holders accommodate the diesets (f</w:t>
            </w:r>
            <w:r w:rsidRPr="00063992">
              <w:t>eeder plate, die plate and backer). Die holders are the first components in toolstacks.</w:t>
            </w:r>
          </w:p>
        </w:tc>
      </w:tr>
      <w:tr w:rsidTr="00063992">
        <w:tblPrEx>
          <w:tblW w:w="0" w:type="auto"/>
          <w:tblLayout w:type="fixed"/>
          <w:tblCellMar>
            <w:left w:w="62" w:type="dxa"/>
            <w:right w:w="62" w:type="dxa"/>
          </w:tblCellMar>
          <w:tblLook w:val="0000"/>
        </w:tblPrEx>
        <w:tc>
          <w:tcPr>
            <w:tcW w:w="3674"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063992">
            <w:pPr>
              <w:pStyle w:val="BodyText"/>
              <w:rPr>
                <w:lang w:val="en-NZ"/>
              </w:rPr>
            </w:pPr>
            <w:r w:rsidRPr="00063992">
              <w:rPr>
                <w:rStyle w:val="SpecialBold"/>
              </w:rPr>
              <w:t>Bolster</w:t>
            </w:r>
          </w:p>
        </w:tc>
        <w:tc>
          <w:tcPr>
            <w:tcW w:w="5398"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63992">
            <w:pPr>
              <w:pStyle w:val="BodyText"/>
              <w:rPr>
                <w:lang w:val="en-NZ"/>
              </w:rPr>
            </w:pPr>
            <w:r w:rsidRPr="00063992">
              <w:t xml:space="preserve">Bolsters are deep discs of steel that provide stiffness in the toolstack to allow the die to remain flat and thus do its work properly. The </w:t>
            </w:r>
            <w:r w:rsidRPr="00063992">
              <w:t xml:space="preserve">term bolster includes any inserts designed to cut the cost of support tooling. </w:t>
            </w:r>
          </w:p>
        </w:tc>
      </w:tr>
      <w:tr w:rsidTr="00063992">
        <w:tblPrEx>
          <w:tblW w:w="0" w:type="auto"/>
          <w:tblLayout w:type="fixed"/>
          <w:tblCellMar>
            <w:left w:w="62" w:type="dxa"/>
            <w:right w:w="62" w:type="dxa"/>
          </w:tblCellMar>
          <w:tblLook w:val="0000"/>
        </w:tblPrEx>
        <w:tc>
          <w:tcPr>
            <w:tcW w:w="3674"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063992">
            <w:pPr>
              <w:pStyle w:val="BodyText"/>
              <w:rPr>
                <w:lang w:val="en-NZ"/>
              </w:rPr>
            </w:pPr>
            <w:r w:rsidRPr="00063992">
              <w:rPr>
                <w:rStyle w:val="SpecialBold"/>
              </w:rPr>
              <w:t>Die slide</w:t>
            </w:r>
          </w:p>
        </w:tc>
        <w:tc>
          <w:tcPr>
            <w:tcW w:w="5398"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63992">
            <w:pPr>
              <w:pStyle w:val="BodyText"/>
              <w:rPr>
                <w:lang w:val="en-NZ"/>
              </w:rPr>
            </w:pPr>
            <w:r w:rsidRPr="00063992">
              <w:t>The die slide is the part of the extruder that accommodates the dies and other tooling that makes up the toolstack.</w:t>
            </w:r>
          </w:p>
        </w:tc>
      </w:tr>
      <w:tr w:rsidTr="00063992">
        <w:tblPrEx>
          <w:tblW w:w="0" w:type="auto"/>
          <w:tblLayout w:type="fixed"/>
          <w:tblCellMar>
            <w:left w:w="62" w:type="dxa"/>
            <w:right w:w="62" w:type="dxa"/>
          </w:tblCellMar>
          <w:tblLook w:val="0000"/>
        </w:tblPrEx>
        <w:tc>
          <w:tcPr>
            <w:tcW w:w="3674"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063992">
            <w:pPr>
              <w:pStyle w:val="BodyText"/>
              <w:rPr>
                <w:lang w:val="en-NZ"/>
              </w:rPr>
            </w:pPr>
            <w:r w:rsidRPr="00063992">
              <w:rPr>
                <w:rStyle w:val="SpecialBold"/>
              </w:rPr>
              <w:t>Toolstack</w:t>
            </w:r>
          </w:p>
        </w:tc>
        <w:tc>
          <w:tcPr>
            <w:tcW w:w="5398"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63992">
            <w:pPr>
              <w:pStyle w:val="BodyText"/>
              <w:rPr>
                <w:lang w:val="en-NZ"/>
              </w:rPr>
            </w:pPr>
            <w:r w:rsidRPr="00063992">
              <w:t xml:space="preserve">The toolstack is the assembly of die, </w:t>
            </w:r>
            <w:r w:rsidRPr="00063992">
              <w:t>feeder plate and backer, holder and support tooling that fits into the die slide.</w:t>
            </w:r>
          </w:p>
        </w:tc>
      </w:tr>
      <w:tr w:rsidTr="00063992">
        <w:tblPrEx>
          <w:tblW w:w="0" w:type="auto"/>
          <w:tblLayout w:type="fixed"/>
          <w:tblCellMar>
            <w:left w:w="62" w:type="dxa"/>
            <w:right w:w="62" w:type="dxa"/>
          </w:tblCellMar>
          <w:tblLook w:val="0000"/>
        </w:tblPrEx>
        <w:tc>
          <w:tcPr>
            <w:tcW w:w="3674"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063992">
            <w:pPr>
              <w:pStyle w:val="BodyText"/>
              <w:rPr>
                <w:lang w:val="en-NZ"/>
              </w:rPr>
            </w:pPr>
            <w:r w:rsidRPr="00063992">
              <w:rPr>
                <w:rStyle w:val="SpecialBold"/>
              </w:rPr>
              <w:t>Die</w:t>
            </w:r>
          </w:p>
        </w:tc>
        <w:tc>
          <w:tcPr>
            <w:tcW w:w="5398"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63992">
            <w:pPr>
              <w:pStyle w:val="BodyText"/>
              <w:rPr>
                <w:lang w:val="en-NZ"/>
              </w:rPr>
            </w:pPr>
            <w:r w:rsidRPr="00063992">
              <w:t xml:space="preserve">The die is the part of the tooling that creates the extrusion shape as the metal is forced through it.  </w:t>
            </w:r>
          </w:p>
        </w:tc>
      </w:tr>
      <w:tr w:rsidTr="00063992">
        <w:tblPrEx>
          <w:tblW w:w="0" w:type="auto"/>
          <w:tblLayout w:type="fixed"/>
          <w:tblCellMar>
            <w:left w:w="62" w:type="dxa"/>
            <w:right w:w="62" w:type="dxa"/>
          </w:tblCellMar>
          <w:tblLook w:val="0000"/>
        </w:tblPrEx>
        <w:tc>
          <w:tcPr>
            <w:tcW w:w="3674"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063992">
            <w:pPr>
              <w:pStyle w:val="BodyText"/>
              <w:rPr>
                <w:lang w:val="en-NZ"/>
              </w:rPr>
            </w:pPr>
            <w:r w:rsidRPr="00063992">
              <w:rPr>
                <w:rStyle w:val="SpecialBold"/>
              </w:rPr>
              <w:t>Bearing</w:t>
            </w:r>
          </w:p>
        </w:tc>
        <w:tc>
          <w:tcPr>
            <w:tcW w:w="5398"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63992">
            <w:pPr>
              <w:pStyle w:val="BodyText"/>
              <w:rPr>
                <w:lang w:val="en-NZ"/>
              </w:rPr>
            </w:pPr>
            <w:r w:rsidRPr="00063992">
              <w:t xml:space="preserve">The die contains bearings of various lengths. Bearings </w:t>
            </w:r>
            <w:r w:rsidRPr="00063992">
              <w:t>are lands that act as frictional controls on metal flow. The bearing is an outline of the extrusion shape cut through the die to the highest precision possible.</w:t>
            </w:r>
          </w:p>
        </w:tc>
      </w:tr>
      <w:tr w:rsidTr="00063992">
        <w:tblPrEx>
          <w:tblW w:w="0" w:type="auto"/>
          <w:tblLayout w:type="fixed"/>
          <w:tblCellMar>
            <w:left w:w="62" w:type="dxa"/>
            <w:right w:w="62" w:type="dxa"/>
          </w:tblCellMar>
          <w:tblLook w:val="0000"/>
        </w:tblPrEx>
        <w:tc>
          <w:tcPr>
            <w:tcW w:w="3674"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063992">
            <w:pPr>
              <w:pStyle w:val="BodyText"/>
              <w:rPr>
                <w:lang w:val="en-NZ"/>
              </w:rPr>
            </w:pPr>
            <w:r w:rsidRPr="00063992">
              <w:rPr>
                <w:rStyle w:val="SpecialBold"/>
              </w:rPr>
              <w:t>Feeder plate</w:t>
            </w:r>
          </w:p>
        </w:tc>
        <w:tc>
          <w:tcPr>
            <w:tcW w:w="5398"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63992">
            <w:pPr>
              <w:pStyle w:val="BodyText"/>
              <w:rPr>
                <w:lang w:val="en-NZ"/>
              </w:rPr>
            </w:pPr>
            <w:r w:rsidRPr="00063992">
              <w:t>The feeder plate precedes the die and provides an additional degree of flow contr</w:t>
            </w:r>
            <w:r w:rsidRPr="00063992">
              <w:t>ol. It is also described as a control plate. It is bolted to the die and backer, forming the dieset.</w:t>
            </w:r>
          </w:p>
        </w:tc>
      </w:tr>
      <w:tr w:rsidTr="00063992">
        <w:tblPrEx>
          <w:tblW w:w="0" w:type="auto"/>
          <w:tblLayout w:type="fixed"/>
          <w:tblCellMar>
            <w:left w:w="62" w:type="dxa"/>
            <w:right w:w="62" w:type="dxa"/>
          </w:tblCellMar>
          <w:tblLook w:val="0000"/>
        </w:tblPrEx>
        <w:tc>
          <w:tcPr>
            <w:tcW w:w="3674"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063992">
            <w:pPr>
              <w:pStyle w:val="BodyText"/>
              <w:rPr>
                <w:lang w:val="en-NZ"/>
              </w:rPr>
            </w:pPr>
            <w:r w:rsidRPr="00063992">
              <w:rPr>
                <w:rStyle w:val="SpecialBold"/>
              </w:rPr>
              <w:t>Faults</w:t>
            </w:r>
          </w:p>
        </w:tc>
        <w:tc>
          <w:tcPr>
            <w:tcW w:w="5398"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RPr="00063992" w:rsidP="00063992">
            <w:pPr>
              <w:pStyle w:val="BodyText"/>
            </w:pPr>
            <w:r w:rsidRPr="00063992">
              <w:t>Faults expected to be considered by a die corrector include faults in:</w:t>
            </w:r>
          </w:p>
          <w:p w:rsidR="00000000" w:rsidRPr="00063992" w:rsidP="00063992">
            <w:pPr>
              <w:pStyle w:val="ListBullet"/>
            </w:pPr>
            <w:r w:rsidRPr="00063992">
              <w:t>dies</w:t>
            </w:r>
          </w:p>
          <w:p w:rsidR="00000000" w:rsidRPr="00063992" w:rsidP="00063992">
            <w:pPr>
              <w:pStyle w:val="ListBullet"/>
            </w:pPr>
            <w:r w:rsidRPr="00063992">
              <w:t>die support systems</w:t>
            </w:r>
          </w:p>
          <w:p w:rsidR="00000000" w:rsidRPr="00063992" w:rsidP="00063992">
            <w:pPr>
              <w:pStyle w:val="ListBullet"/>
            </w:pPr>
            <w:r w:rsidRPr="00063992">
              <w:t xml:space="preserve">billet and die heating </w:t>
            </w:r>
          </w:p>
          <w:p w:rsidR="00000000" w:rsidRPr="00063992" w:rsidP="00063992">
            <w:pPr>
              <w:pStyle w:val="ListBullet"/>
            </w:pPr>
            <w:r w:rsidRPr="00063992">
              <w:t xml:space="preserve">billet composition </w:t>
            </w:r>
          </w:p>
          <w:p w:rsidR="00000000" w:rsidRPr="00063992" w:rsidP="00063992">
            <w:pPr>
              <w:pStyle w:val="ListBullet"/>
            </w:pPr>
            <w:r w:rsidRPr="00063992">
              <w:t>extruder settings</w:t>
            </w:r>
          </w:p>
          <w:p w:rsidR="00000000" w:rsidP="00063992">
            <w:pPr>
              <w:pStyle w:val="ListBullet"/>
              <w:rPr>
                <w:lang w:val="en-NZ"/>
              </w:rPr>
            </w:pPr>
            <w:r w:rsidRPr="00063992">
              <w:t>extruder operation</w:t>
            </w:r>
          </w:p>
        </w:tc>
      </w:tr>
      <w:tr w:rsidTr="00063992">
        <w:tblPrEx>
          <w:tblW w:w="0" w:type="auto"/>
          <w:tblLayout w:type="fixed"/>
          <w:tblCellMar>
            <w:left w:w="62" w:type="dxa"/>
            <w:right w:w="62" w:type="dxa"/>
          </w:tblCellMar>
          <w:tblLook w:val="0000"/>
        </w:tblPrEx>
        <w:tc>
          <w:tcPr>
            <w:tcW w:w="3674"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063992">
            <w:pPr>
              <w:pStyle w:val="BodyText"/>
              <w:rPr>
                <w:lang w:val="en-NZ"/>
              </w:rPr>
            </w:pPr>
            <w:r w:rsidRPr="00063992">
              <w:rPr>
                <w:rStyle w:val="SpecialBold"/>
              </w:rPr>
              <w:t>Backer</w:t>
            </w:r>
          </w:p>
        </w:tc>
        <w:tc>
          <w:tcPr>
            <w:tcW w:w="5398"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63992">
            <w:pPr>
              <w:pStyle w:val="BodyText"/>
              <w:rPr>
                <w:lang w:val="en-NZ"/>
              </w:rPr>
            </w:pPr>
            <w:r w:rsidRPr="00063992">
              <w:t xml:space="preserve">The die must be given support against the force needed to make metal flow. The first item of support is the backer. </w:t>
            </w:r>
            <w:r w:rsidRPr="00063992">
              <w:t>Backer profiles are usually slightly larger than die apertures (precision cut) and are not high</w:t>
            </w:r>
            <w:r w:rsidRPr="00063992">
              <w:t xml:space="preserve"> precision items.</w:t>
            </w:r>
          </w:p>
        </w:tc>
      </w:tr>
      <w:tr w:rsidTr="00063992">
        <w:tblPrEx>
          <w:tblW w:w="0" w:type="auto"/>
          <w:tblLayout w:type="fixed"/>
          <w:tblCellMar>
            <w:left w:w="62" w:type="dxa"/>
            <w:right w:w="62" w:type="dxa"/>
          </w:tblCellMar>
          <w:tblLook w:val="0000"/>
        </w:tblPrEx>
        <w:tc>
          <w:tcPr>
            <w:tcW w:w="3674"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063992">
            <w:pPr>
              <w:pStyle w:val="BodyText"/>
              <w:rPr>
                <w:lang w:val="en-NZ"/>
              </w:rPr>
            </w:pPr>
            <w:r w:rsidRPr="00063992">
              <w:rPr>
                <w:rStyle w:val="SpecialBold"/>
              </w:rPr>
              <w:t>Platen plate</w:t>
            </w:r>
          </w:p>
        </w:tc>
        <w:tc>
          <w:tcPr>
            <w:tcW w:w="5398"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063992">
            <w:pPr>
              <w:pStyle w:val="BodyText"/>
              <w:rPr>
                <w:lang w:val="en-NZ"/>
              </w:rPr>
            </w:pPr>
            <w:r w:rsidRPr="00063992">
              <w:t>The platen plate or pressure ring is set into the front wall of the press as a replaceable feature. Platen plates take up the forces applied to the toolstack and transmit them to the extruder structure.</w:t>
            </w:r>
          </w:p>
        </w:tc>
      </w:tr>
      <w:tr w:rsidTr="00063992">
        <w:tblPrEx>
          <w:tblW w:w="0" w:type="auto"/>
          <w:tblLayout w:type="fixed"/>
          <w:tblCellMar>
            <w:left w:w="62" w:type="dxa"/>
            <w:right w:w="62" w:type="dxa"/>
          </w:tblCellMar>
          <w:tblLook w:val="0000"/>
        </w:tblPrEx>
        <w:tc>
          <w:tcPr>
            <w:tcW w:w="3674" w:type="dxa"/>
            <w:tcBorders>
              <w:top w:val="single" w:sz="6" w:space="0" w:color="auto"/>
              <w:left w:val="single" w:sz="4" w:space="0" w:color="auto"/>
              <w:bottom w:val="single" w:sz="4" w:space="0" w:color="auto"/>
              <w:right w:val="single" w:sz="6" w:space="0" w:color="auto"/>
            </w:tcBorders>
            <w:tcMar>
              <w:top w:w="0" w:type="dxa"/>
              <w:left w:w="62" w:type="dxa"/>
              <w:bottom w:w="0" w:type="dxa"/>
              <w:right w:w="62" w:type="dxa"/>
            </w:tcMar>
          </w:tcPr>
          <w:p w:rsidR="00000000" w:rsidP="00063992">
            <w:pPr>
              <w:pStyle w:val="BodyText"/>
              <w:rPr>
                <w:lang w:val="en-NZ"/>
              </w:rPr>
            </w:pPr>
            <w:r w:rsidRPr="00063992">
              <w:rPr>
                <w:rStyle w:val="SpecialBold"/>
              </w:rPr>
              <w:t xml:space="preserve">Primary and secondary bolsters </w:t>
            </w:r>
          </w:p>
        </w:tc>
        <w:tc>
          <w:tcPr>
            <w:tcW w:w="5398" w:type="dxa"/>
            <w:tcBorders>
              <w:top w:val="single" w:sz="6" w:space="0" w:color="auto"/>
              <w:left w:val="single" w:sz="6" w:space="0" w:color="auto"/>
              <w:bottom w:val="single" w:sz="4" w:space="0" w:color="auto"/>
              <w:right w:val="single" w:sz="4" w:space="0" w:color="auto"/>
            </w:tcBorders>
            <w:tcMar>
              <w:top w:w="0" w:type="dxa"/>
              <w:left w:w="62" w:type="dxa"/>
              <w:bottom w:w="0" w:type="dxa"/>
              <w:right w:w="62" w:type="dxa"/>
            </w:tcMar>
          </w:tcPr>
          <w:p w:rsidR="00000000" w:rsidRPr="00063992" w:rsidP="00063992">
            <w:pPr>
              <w:pStyle w:val="ListBullet"/>
            </w:pPr>
            <w:r w:rsidRPr="00063992">
              <w:t xml:space="preserve">Some larger press operate with a combination of single, one piece bolsters for special shapes and a split system of primary and secondary bolsters. </w:t>
            </w:r>
          </w:p>
          <w:p w:rsidR="00000000" w:rsidRPr="00063992" w:rsidP="00063992">
            <w:pPr>
              <w:pStyle w:val="ListBullet"/>
            </w:pPr>
            <w:r w:rsidRPr="00063992">
              <w:t xml:space="preserve">The primary bolster is usually deeper than the secondary and provides the </w:t>
            </w:r>
            <w:r w:rsidRPr="00063992">
              <w:t>main support. It is cut closer to the die aperture than the secondary bolster which closely follows the primary aperture so as to back it up.</w:t>
            </w:r>
          </w:p>
          <w:p w:rsidR="00000000" w:rsidRPr="00063992" w:rsidP="00063992">
            <w:pPr>
              <w:pStyle w:val="ListBullet"/>
            </w:pPr>
            <w:r w:rsidRPr="00063992">
              <w:t>Secondary bolsters are likely to be shared by several primary bolsters</w:t>
            </w:r>
          </w:p>
        </w:tc>
      </w:tr>
    </w:tbl>
    <w:p w:rsidR="00084319" w:rsidP="00063992">
      <w:pPr>
        <w:pStyle w:val="BodyText"/>
      </w:pPr>
    </w:p>
    <w:p w:rsidR="00084319" w:rsidP="00063992">
      <w:pPr>
        <w:pStyle w:val="BodyText"/>
      </w:pPr>
    </w:p>
    <w:p w:rsidR="00000000" w:rsidRPr="00063992" w:rsidP="00063992">
      <w:pPr>
        <w:pStyle w:val="Heading1"/>
      </w:pPr>
      <w:bookmarkStart w:id="12" w:name="O_591271"/>
      <w:bookmarkEnd w:id="12"/>
      <w:r w:rsidRPr="00063992">
        <w:t>Unit Sector(s)</w:t>
      </w:r>
    </w:p>
    <w:tbl>
      <w:tblPr>
        <w:tblW w:w="0" w:type="auto"/>
        <w:tblCellMar>
          <w:left w:w="62" w:type="dxa"/>
          <w:right w:w="62" w:type="dxa"/>
        </w:tblCellMar>
        <w:tblLook w:val="0000"/>
      </w:tblPr>
      <w:tblGrid>
        <w:gridCol w:w="2576"/>
        <w:gridCol w:w="6620"/>
      </w:tblGrid>
      <w:tr w:rsidTr="000843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t>Machine and process operations</w:t>
            </w:r>
          </w:p>
        </w:tc>
      </w:tr>
      <w:tr w:rsidTr="000843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3992">
            <w:pPr>
              <w:pStyle w:val="BodyText"/>
              <w:rPr>
                <w:lang w:val="en-NZ"/>
              </w:rPr>
            </w:pPr>
            <w:r w:rsidRPr="00063992">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063992" w:rsidP="00063992">
            <w:pPr>
              <w:pStyle w:val="BodyText"/>
            </w:pPr>
          </w:p>
        </w:tc>
      </w:tr>
    </w:tbl>
    <w:p w:rsidR="00000000" w:rsidRPr="00063992" w:rsidP="00063992">
      <w:pPr>
        <w:pStyle w:val="BodyText"/>
      </w:pPr>
    </w:p>
    <w:p w:rsidR="00000000" w:rsidRPr="00063992" w:rsidP="00063992">
      <w:pPr>
        <w:pStyle w:val="AllowPageBreak"/>
      </w:pPr>
    </w:p>
    <w:p w:rsidR="00000000" w:rsidRPr="00063992" w:rsidP="00063992">
      <w:pPr>
        <w:pStyle w:val="Heading1"/>
      </w:pPr>
      <w:bookmarkStart w:id="13" w:name="O_591270"/>
      <w:bookmarkEnd w:id="13"/>
      <w:r w:rsidRPr="00063992">
        <w:t>Custom Content Section</w:t>
      </w:r>
    </w:p>
    <w:p w:rsidR="00000000" w:rsidRPr="00063992" w:rsidP="00063992">
      <w:pPr>
        <w:pStyle w:val="BodyText"/>
      </w:pPr>
      <w:r w:rsidRPr="00063992">
        <w:t>Not applicable.</w:t>
      </w:r>
    </w:p>
    <w:p w:rsidR="00000000" w:rsidRPr="00063992" w:rsidP="00063992"/>
    <w:sectPr w:rsidSect="000639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9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992" w:rsidRPr="00084319" w:rsidP="000843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9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319" w:rsidP="000639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084319" w:rsidP="0006399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84319" w:rsidP="000639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9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992" w:rsidRPr="00084319" w:rsidP="0008431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9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319" w:rsidRPr="002D2AF8" w:rsidP="00063992">
    <w:pPr>
      <w:pStyle w:val="Header"/>
      <w:framePr w:wrap="around"/>
    </w:pPr>
    <w:r>
      <w:fldChar w:fldCharType="begin"/>
    </w:r>
    <w:r>
      <w:instrText xml:space="preserve"> TITLE   \* MERGEFORMAT </w:instrText>
    </w:r>
    <w:r>
      <w:fldChar w:fldCharType="separate"/>
    </w:r>
    <w:r>
      <w:t>MEM07043A Identify causes of faulty aluminium extrusions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August 2013</w:t>
    </w:r>
    <w:r>
      <w:fldChar w:fldCharType="end"/>
    </w:r>
  </w:p>
  <w:p w:rsidR="00084319" w:rsidP="000639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067C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9A0B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CE6B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9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3992"/>
    <w:pPr>
      <w:spacing w:before="360" w:after="60"/>
      <w:outlineLvl w:val="0"/>
    </w:pPr>
    <w:rPr>
      <w:sz w:val="32"/>
    </w:rPr>
  </w:style>
  <w:style w:type="paragraph" w:styleId="Heading2">
    <w:name w:val="heading 2"/>
    <w:basedOn w:val="HeadingBase"/>
    <w:next w:val="BodyText"/>
    <w:link w:val="Heading2Char"/>
    <w:qFormat/>
    <w:rsid w:val="00063992"/>
    <w:pPr>
      <w:keepLines/>
      <w:spacing w:before="240" w:after="120"/>
      <w:outlineLvl w:val="1"/>
    </w:pPr>
    <w:rPr>
      <w:sz w:val="28"/>
      <w:szCs w:val="40"/>
    </w:rPr>
  </w:style>
  <w:style w:type="paragraph" w:styleId="Heading3">
    <w:name w:val="heading 3"/>
    <w:basedOn w:val="HeadingBase"/>
    <w:next w:val="BodyText"/>
    <w:link w:val="Heading3Char"/>
    <w:qFormat/>
    <w:rsid w:val="00063992"/>
    <w:pPr>
      <w:spacing w:before="180" w:after="120"/>
      <w:outlineLvl w:val="2"/>
    </w:pPr>
    <w:rPr>
      <w:spacing w:val="-10"/>
      <w:kern w:val="32"/>
    </w:rPr>
  </w:style>
  <w:style w:type="paragraph" w:styleId="Heading4">
    <w:name w:val="heading 4"/>
    <w:basedOn w:val="HeadingBase"/>
    <w:next w:val="BodyText"/>
    <w:link w:val="Heading4Char"/>
    <w:qFormat/>
    <w:rsid w:val="00063992"/>
    <w:pPr>
      <w:spacing w:before="160" w:after="120"/>
      <w:outlineLvl w:val="3"/>
    </w:pPr>
    <w:rPr>
      <w:sz w:val="22"/>
    </w:rPr>
  </w:style>
  <w:style w:type="paragraph" w:styleId="Heading5">
    <w:name w:val="heading 5"/>
    <w:basedOn w:val="HeadingBase"/>
    <w:next w:val="Normal"/>
    <w:link w:val="Heading5Char"/>
    <w:qFormat/>
    <w:rsid w:val="00063992"/>
    <w:pPr>
      <w:spacing w:before="80"/>
      <w:outlineLvl w:val="4"/>
    </w:pPr>
    <w:rPr>
      <w:color w:val="918585"/>
      <w:sz w:val="20"/>
    </w:rPr>
  </w:style>
  <w:style w:type="paragraph" w:styleId="Heading6">
    <w:name w:val="heading 6"/>
    <w:basedOn w:val="HeadingBase"/>
    <w:next w:val="Normal"/>
    <w:link w:val="Heading6Char"/>
    <w:qFormat/>
    <w:rsid w:val="00063992"/>
    <w:pPr>
      <w:spacing w:before="60"/>
      <w:outlineLvl w:val="5"/>
    </w:pPr>
    <w:rPr>
      <w:color w:val="918585"/>
      <w:sz w:val="20"/>
    </w:rPr>
  </w:style>
  <w:style w:type="paragraph" w:styleId="Heading7">
    <w:name w:val="heading 7"/>
    <w:basedOn w:val="Normal"/>
    <w:next w:val="Normal"/>
    <w:link w:val="Heading7Char"/>
    <w:qFormat/>
    <w:rsid w:val="00063992"/>
    <w:pPr>
      <w:ind w:left="720"/>
      <w:outlineLvl w:val="6"/>
    </w:pPr>
    <w:rPr>
      <w:i/>
    </w:rPr>
  </w:style>
  <w:style w:type="paragraph" w:styleId="Heading8">
    <w:name w:val="heading 8"/>
    <w:basedOn w:val="Normal"/>
    <w:next w:val="Normal"/>
    <w:link w:val="Heading8Char"/>
    <w:qFormat/>
    <w:rsid w:val="00063992"/>
    <w:pPr>
      <w:ind w:left="720"/>
      <w:outlineLvl w:val="7"/>
    </w:pPr>
    <w:rPr>
      <w:i/>
    </w:rPr>
  </w:style>
  <w:style w:type="paragraph" w:styleId="Heading9">
    <w:name w:val="heading 9"/>
    <w:basedOn w:val="Normal"/>
    <w:next w:val="Normal"/>
    <w:link w:val="Heading9Char"/>
    <w:qFormat/>
    <w:rsid w:val="00063992"/>
    <w:pPr>
      <w:ind w:left="720"/>
      <w:outlineLvl w:val="8"/>
    </w:pPr>
    <w:rPr>
      <w:i/>
    </w:rPr>
  </w:style>
  <w:style w:type="character" w:default="1" w:styleId="DefaultParagraphFont">
    <w:name w:val="Default Paragraph Font"/>
    <w:uiPriority w:val="1"/>
    <w:unhideWhenUsed/>
    <w:rsid w:val="000639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3992"/>
  </w:style>
  <w:style w:type="character" w:customStyle="1" w:styleId="Heading1Char">
    <w:name w:val="Heading 1 Char"/>
    <w:basedOn w:val="DefaultParagraphFont"/>
    <w:link w:val="Heading1"/>
    <w:rsid w:val="00063992"/>
    <w:rPr>
      <w:rFonts w:ascii="Times New Roman" w:eastAsia="Times New Roman" w:hAnsi="Times New Roman" w:cs="Times New Roman"/>
      <w:b/>
      <w:sz w:val="32"/>
      <w:szCs w:val="20"/>
      <w:lang w:eastAsia="en-US"/>
    </w:rPr>
  </w:style>
  <w:style w:type="paragraph" w:styleId="BodyText">
    <w:name w:val="Body Text"/>
    <w:basedOn w:val="Normal"/>
    <w:link w:val="BodyTextChar"/>
    <w:rsid w:val="000639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3992"/>
    <w:rPr>
      <w:rFonts w:ascii="Times New Roman" w:eastAsia="Times New Roman" w:hAnsi="Times New Roman" w:cs="Times New Roman"/>
      <w:sz w:val="24"/>
      <w:lang w:eastAsia="en-US"/>
    </w:rPr>
  </w:style>
  <w:style w:type="paragraph" w:styleId="ListBullet">
    <w:name w:val="List Bullet"/>
    <w:basedOn w:val="List"/>
    <w:rsid w:val="00063992"/>
    <w:pPr>
      <w:numPr>
        <w:numId w:val="14"/>
      </w:numPr>
      <w:tabs>
        <w:tab w:val="clear" w:pos="340"/>
      </w:tabs>
      <w:spacing w:before="40" w:after="40"/>
    </w:pPr>
  </w:style>
  <w:style w:type="character" w:customStyle="1" w:styleId="SpecialBold">
    <w:name w:val="Special Bold"/>
    <w:basedOn w:val="DefaultParagraphFont"/>
    <w:rsid w:val="00063992"/>
    <w:rPr>
      <w:b/>
      <w:spacing w:val="0"/>
    </w:rPr>
  </w:style>
  <w:style w:type="paragraph" w:styleId="ListBullet2">
    <w:name w:val="List Bullet 2"/>
    <w:basedOn w:val="List2"/>
    <w:rsid w:val="00063992"/>
    <w:pPr>
      <w:numPr>
        <w:numId w:val="15"/>
      </w:numPr>
      <w:tabs>
        <w:tab w:val="clear" w:pos="680"/>
      </w:tabs>
    </w:pPr>
  </w:style>
  <w:style w:type="paragraph" w:customStyle="1" w:styleId="SuperHeading">
    <w:name w:val="SuperHeading"/>
    <w:basedOn w:val="Normal"/>
    <w:rsid w:val="00063992"/>
    <w:pPr>
      <w:spacing w:before="240" w:after="120"/>
      <w:outlineLvl w:val="0"/>
    </w:pPr>
    <w:rPr>
      <w:rFonts w:ascii="Times New Roman" w:hAnsi="Times New Roman"/>
      <w:b/>
      <w:sz w:val="32"/>
    </w:rPr>
  </w:style>
  <w:style w:type="paragraph" w:customStyle="1" w:styleId="AllowPageBreak">
    <w:name w:val="AllowPageBreak"/>
    <w:rsid w:val="0006399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63992"/>
    <w:pPr>
      <w:numPr>
        <w:numId w:val="3"/>
      </w:numPr>
      <w:tabs>
        <w:tab w:val="clear" w:pos="1021"/>
      </w:tabs>
      <w:ind w:left="1037" w:hanging="357"/>
    </w:pPr>
  </w:style>
  <w:style w:type="character" w:customStyle="1" w:styleId="Heading2Char">
    <w:name w:val="Heading 2 Char"/>
    <w:basedOn w:val="DefaultParagraphFont"/>
    <w:link w:val="Heading2"/>
    <w:rsid w:val="000639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39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39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39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39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39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39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3992"/>
    <w:rPr>
      <w:rFonts w:ascii="Courier New" w:eastAsia="Times New Roman" w:hAnsi="Courier New" w:cs="Times New Roman"/>
      <w:i/>
      <w:szCs w:val="20"/>
      <w:lang w:eastAsia="en-US"/>
    </w:rPr>
  </w:style>
  <w:style w:type="paragraph" w:customStyle="1" w:styleId="HeadingBase">
    <w:name w:val="Heading Base"/>
    <w:rsid w:val="000639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3992"/>
    <w:pPr>
      <w:tabs>
        <w:tab w:val="right" w:leader="dot" w:pos="9072"/>
      </w:tabs>
      <w:ind w:left="567"/>
    </w:pPr>
    <w:rPr>
      <w:szCs w:val="22"/>
    </w:rPr>
  </w:style>
  <w:style w:type="paragraph" w:customStyle="1" w:styleId="TOCBase">
    <w:name w:val="TOC Base"/>
    <w:rsid w:val="000639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3992"/>
    <w:pPr>
      <w:tabs>
        <w:tab w:val="right" w:leader="dot" w:pos="9072"/>
      </w:tabs>
      <w:spacing w:before="40" w:after="40"/>
      <w:ind w:left="284"/>
    </w:pPr>
    <w:rPr>
      <w:rFonts w:ascii="Times New Roman" w:hAnsi="Times New Roman"/>
    </w:rPr>
  </w:style>
  <w:style w:type="paragraph" w:styleId="TOC1">
    <w:name w:val="toc 1"/>
    <w:basedOn w:val="TOCBase"/>
    <w:next w:val="Normal"/>
    <w:rsid w:val="000639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39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3992"/>
    <w:rPr>
      <w:rFonts w:ascii="Times New Roman" w:eastAsia="Times New Roman" w:hAnsi="Times New Roman" w:cs="Times New Roman"/>
      <w:sz w:val="16"/>
      <w:lang w:eastAsia="en-US"/>
    </w:rPr>
  </w:style>
  <w:style w:type="paragraph" w:styleId="Title">
    <w:name w:val="Title"/>
    <w:basedOn w:val="HeadingBase"/>
    <w:link w:val="TitleChar"/>
    <w:qFormat/>
    <w:rsid w:val="00063992"/>
    <w:pPr>
      <w:spacing w:before="5040"/>
      <w:jc w:val="center"/>
    </w:pPr>
    <w:rPr>
      <w:sz w:val="48"/>
      <w:szCs w:val="72"/>
      <w:lang w:val="en-US"/>
    </w:rPr>
  </w:style>
  <w:style w:type="character" w:customStyle="1" w:styleId="TitleChar">
    <w:name w:val="Title Char"/>
    <w:basedOn w:val="DefaultParagraphFont"/>
    <w:link w:val="Title"/>
    <w:rsid w:val="000639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3992"/>
    <w:pPr>
      <w:tabs>
        <w:tab w:val="left" w:pos="3600"/>
        <w:tab w:val="left" w:pos="3958"/>
      </w:tabs>
    </w:pPr>
  </w:style>
  <w:style w:type="paragraph" w:styleId="List">
    <w:name w:val="List"/>
    <w:basedOn w:val="BodyText"/>
    <w:next w:val="BodyText"/>
    <w:rsid w:val="00063992"/>
    <w:pPr>
      <w:tabs>
        <w:tab w:val="left" w:pos="340"/>
      </w:tabs>
      <w:spacing w:before="60" w:after="60"/>
      <w:ind w:left="340" w:hanging="340"/>
    </w:pPr>
  </w:style>
  <w:style w:type="paragraph" w:customStyle="1" w:styleId="Note">
    <w:name w:val="Note"/>
    <w:basedOn w:val="BodyText"/>
    <w:rsid w:val="000639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3992"/>
    <w:pPr>
      <w:framePr w:wrap="auto" w:hAnchor="text" w:y="6049"/>
    </w:pPr>
    <w:rPr>
      <w:color w:val="000000"/>
      <w:sz w:val="40"/>
    </w:rPr>
  </w:style>
  <w:style w:type="paragraph" w:customStyle="1" w:styleId="TOCTitle">
    <w:name w:val="TOCTitle"/>
    <w:basedOn w:val="Heading1"/>
    <w:rsid w:val="00063992"/>
    <w:pPr>
      <w:spacing w:after="240"/>
      <w:jc w:val="center"/>
      <w:outlineLvl w:val="9"/>
    </w:pPr>
    <w:rPr>
      <w:caps/>
    </w:rPr>
  </w:style>
  <w:style w:type="paragraph" w:customStyle="1" w:styleId="Version">
    <w:name w:val="Version"/>
    <w:rsid w:val="000639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3992"/>
    <w:pPr>
      <w:keepNext w:val="0"/>
      <w:tabs>
        <w:tab w:val="right" w:pos="4176"/>
      </w:tabs>
      <w:ind w:left="198" w:hanging="198"/>
    </w:pPr>
    <w:rPr>
      <w:rFonts w:ascii="Garamond" w:hAnsi="Garamond"/>
    </w:rPr>
  </w:style>
  <w:style w:type="paragraph" w:styleId="IndexHeading">
    <w:name w:val="index heading"/>
    <w:basedOn w:val="Normal"/>
    <w:next w:val="Index1"/>
    <w:semiHidden/>
    <w:rsid w:val="00063992"/>
    <w:pPr>
      <w:spacing w:before="120" w:after="120"/>
    </w:pPr>
    <w:rPr>
      <w:rFonts w:ascii="Arial" w:hAnsi="Arial"/>
      <w:b/>
      <w:color w:val="918585"/>
      <w:sz w:val="24"/>
    </w:rPr>
  </w:style>
  <w:style w:type="paragraph" w:styleId="Header">
    <w:name w:val="header"/>
    <w:basedOn w:val="Normal"/>
    <w:link w:val="HeaderChar"/>
    <w:rsid w:val="000639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3992"/>
    <w:rPr>
      <w:rFonts w:ascii="Times New Roman" w:eastAsia="Times New Roman" w:hAnsi="Times New Roman" w:cs="Times New Roman"/>
      <w:sz w:val="16"/>
      <w:szCs w:val="20"/>
      <w:lang w:val="en-GB" w:eastAsia="en-US"/>
    </w:rPr>
  </w:style>
  <w:style w:type="paragraph" w:customStyle="1" w:styleId="Chapter">
    <w:name w:val="Chapter"/>
    <w:basedOn w:val="Normal"/>
    <w:rsid w:val="00063992"/>
    <w:pPr>
      <w:spacing w:before="240"/>
    </w:pPr>
    <w:rPr>
      <w:rFonts w:ascii="Times New Roman" w:hAnsi="Times New Roman"/>
      <w:smallCaps/>
      <w:spacing w:val="80"/>
      <w:sz w:val="28"/>
    </w:rPr>
  </w:style>
  <w:style w:type="paragraph" w:customStyle="1" w:styleId="InChapter">
    <w:name w:val="InChapter"/>
    <w:basedOn w:val="Heading3"/>
    <w:rsid w:val="00063992"/>
    <w:pPr>
      <w:spacing w:after="240"/>
      <w:outlineLvl w:val="9"/>
    </w:pPr>
    <w:rPr>
      <w:noProof/>
    </w:rPr>
  </w:style>
  <w:style w:type="paragraph" w:styleId="Index2">
    <w:name w:val="index 2"/>
    <w:basedOn w:val="Normal"/>
    <w:next w:val="Normal"/>
    <w:semiHidden/>
    <w:rsid w:val="00063992"/>
    <w:pPr>
      <w:tabs>
        <w:tab w:val="right" w:pos="4176"/>
      </w:tabs>
      <w:ind w:left="568" w:hanging="284"/>
    </w:pPr>
    <w:rPr>
      <w:rFonts w:ascii="Garamond" w:hAnsi="Garamond"/>
    </w:rPr>
  </w:style>
  <w:style w:type="paragraph" w:customStyle="1" w:styleId="Byline">
    <w:name w:val="Byline"/>
    <w:rsid w:val="000639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3992"/>
    <w:pPr>
      <w:tabs>
        <w:tab w:val="clear" w:pos="3600"/>
        <w:tab w:val="clear" w:pos="3958"/>
      </w:tabs>
      <w:jc w:val="right"/>
    </w:pPr>
  </w:style>
  <w:style w:type="character" w:styleId="Emphasis">
    <w:name w:val="Emphasis"/>
    <w:basedOn w:val="DefaultParagraphFont"/>
    <w:qFormat/>
    <w:rsid w:val="00063992"/>
    <w:rPr>
      <w:i/>
    </w:rPr>
  </w:style>
  <w:style w:type="paragraph" w:styleId="Caption">
    <w:name w:val="caption"/>
    <w:basedOn w:val="BodyText"/>
    <w:next w:val="Normal"/>
    <w:qFormat/>
    <w:rsid w:val="00063992"/>
    <w:pPr>
      <w:framePr w:w="2268" w:hSpace="181" w:vSpace="181" w:wrap="around" w:vAnchor="text" w:hAnchor="page" w:x="1135" w:y="285" w:anchorLock="1"/>
    </w:pPr>
    <w:rPr>
      <w:i/>
    </w:rPr>
  </w:style>
  <w:style w:type="paragraph" w:customStyle="1" w:styleId="MiniTOCTitle">
    <w:name w:val="MiniTOCTitle"/>
    <w:basedOn w:val="Heading4"/>
    <w:rsid w:val="00063992"/>
    <w:pPr>
      <w:spacing w:before="240"/>
      <w:outlineLvl w:val="9"/>
    </w:pPr>
    <w:rPr>
      <w:noProof/>
      <w:sz w:val="24"/>
    </w:rPr>
  </w:style>
  <w:style w:type="paragraph" w:customStyle="1" w:styleId="MiniTOCItem">
    <w:name w:val="MiniTOCItem"/>
    <w:basedOn w:val="ListBullet"/>
    <w:rsid w:val="00063992"/>
    <w:pPr>
      <w:numPr>
        <w:numId w:val="0"/>
      </w:numPr>
      <w:tabs>
        <w:tab w:val="right" w:leader="dot" w:pos="6521"/>
      </w:tabs>
      <w:spacing w:before="0" w:after="0"/>
    </w:pPr>
  </w:style>
  <w:style w:type="paragraph" w:customStyle="1" w:styleId="TOFTitle">
    <w:name w:val="TOFTitle"/>
    <w:basedOn w:val="TOCTitle"/>
    <w:rsid w:val="00063992"/>
  </w:style>
  <w:style w:type="paragraph" w:styleId="TableofFigures">
    <w:name w:val="table of figures"/>
    <w:basedOn w:val="Normal"/>
    <w:next w:val="Normal"/>
    <w:semiHidden/>
    <w:rsid w:val="00063992"/>
    <w:pPr>
      <w:tabs>
        <w:tab w:val="right" w:leader="dot" w:pos="9072"/>
      </w:tabs>
      <w:ind w:left="970" w:hanging="403"/>
    </w:pPr>
    <w:rPr>
      <w:rFonts w:ascii="Times New Roman" w:hAnsi="Times New Roman"/>
      <w:b/>
    </w:rPr>
  </w:style>
  <w:style w:type="paragraph" w:styleId="ListNumber">
    <w:name w:val="List Number"/>
    <w:basedOn w:val="List"/>
    <w:rsid w:val="00063992"/>
    <w:pPr>
      <w:numPr>
        <w:numId w:val="12"/>
      </w:numPr>
    </w:pPr>
  </w:style>
  <w:style w:type="character" w:customStyle="1" w:styleId="WingdingSymbols">
    <w:name w:val="Wingding Symbols"/>
    <w:rsid w:val="00063992"/>
    <w:rPr>
      <w:rFonts w:ascii="Wingdings" w:hAnsi="Wingdings"/>
    </w:rPr>
  </w:style>
  <w:style w:type="paragraph" w:customStyle="1" w:styleId="TableHeading">
    <w:name w:val="Table Heading"/>
    <w:basedOn w:val="HeadingBase"/>
    <w:rsid w:val="00063992"/>
    <w:pPr>
      <w:keepLines/>
      <w:pBdr>
        <w:bottom w:val="single" w:sz="6" w:space="1" w:color="918585"/>
      </w:pBdr>
      <w:spacing w:before="240"/>
    </w:pPr>
  </w:style>
  <w:style w:type="character" w:customStyle="1" w:styleId="HotSpot">
    <w:name w:val="HotSpot"/>
    <w:rsid w:val="00063992"/>
    <w:rPr>
      <w:color w:val="0033CC"/>
      <w:u w:val="none"/>
    </w:rPr>
  </w:style>
  <w:style w:type="paragraph" w:customStyle="1" w:styleId="BodyTextRight">
    <w:name w:val="Body Text Right"/>
    <w:basedOn w:val="BodyText"/>
    <w:rsid w:val="00063992"/>
    <w:pPr>
      <w:spacing w:before="0" w:after="0"/>
      <w:jc w:val="right"/>
    </w:pPr>
  </w:style>
  <w:style w:type="paragraph" w:styleId="Index3">
    <w:name w:val="index 3"/>
    <w:basedOn w:val="ListNumber2"/>
    <w:next w:val="Normal"/>
    <w:semiHidden/>
    <w:rsid w:val="00063992"/>
    <w:pPr>
      <w:numPr>
        <w:numId w:val="0"/>
      </w:numPr>
      <w:tabs>
        <w:tab w:val="right" w:leader="dot" w:pos="4176"/>
      </w:tabs>
    </w:pPr>
  </w:style>
  <w:style w:type="paragraph" w:styleId="ListNumber2">
    <w:name w:val="List Number 2"/>
    <w:basedOn w:val="List2"/>
    <w:rsid w:val="00063992"/>
    <w:pPr>
      <w:numPr>
        <w:numId w:val="11"/>
      </w:numPr>
      <w:tabs>
        <w:tab w:val="clear" w:pos="1060"/>
      </w:tabs>
    </w:pPr>
  </w:style>
  <w:style w:type="paragraph" w:customStyle="1" w:styleId="MarginNote">
    <w:name w:val="Margin Note"/>
    <w:basedOn w:val="BodyText"/>
    <w:rsid w:val="000639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39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39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3992"/>
    <w:rPr>
      <w:sz w:val="32"/>
    </w:rPr>
  </w:style>
  <w:style w:type="paragraph" w:customStyle="1" w:styleId="HeadingProcedure">
    <w:name w:val="Heading Procedure"/>
    <w:basedOn w:val="HeadingBase"/>
    <w:next w:val="Normal"/>
    <w:rsid w:val="00063992"/>
    <w:pPr>
      <w:tabs>
        <w:tab w:val="left" w:pos="0"/>
      </w:tabs>
      <w:spacing w:before="120" w:after="60"/>
    </w:pPr>
    <w:rPr>
      <w:i/>
      <w:color w:val="918585"/>
      <w:sz w:val="22"/>
    </w:rPr>
  </w:style>
  <w:style w:type="paragraph" w:customStyle="1" w:styleId="TableBodyText">
    <w:name w:val="Table Body Text"/>
    <w:basedOn w:val="BodyText"/>
    <w:rsid w:val="00063992"/>
    <w:pPr>
      <w:spacing w:before="60" w:after="60"/>
    </w:pPr>
  </w:style>
  <w:style w:type="paragraph" w:styleId="ListContinue">
    <w:name w:val="List Continue"/>
    <w:basedOn w:val="List"/>
    <w:rsid w:val="00063992"/>
    <w:pPr>
      <w:ind w:firstLine="0"/>
    </w:pPr>
  </w:style>
  <w:style w:type="paragraph" w:customStyle="1" w:styleId="ListNote">
    <w:name w:val="List Note"/>
    <w:basedOn w:val="List"/>
    <w:rsid w:val="00063992"/>
    <w:pPr>
      <w:pBdr>
        <w:top w:val="single" w:sz="6" w:space="2" w:color="918585"/>
        <w:bottom w:val="single" w:sz="6" w:space="2" w:color="918585"/>
      </w:pBdr>
      <w:tabs>
        <w:tab w:val="left" w:pos="1021"/>
      </w:tabs>
      <w:ind w:firstLine="0"/>
    </w:pPr>
  </w:style>
  <w:style w:type="paragraph" w:customStyle="1" w:styleId="Warning">
    <w:name w:val="Warning"/>
    <w:basedOn w:val="BodyText"/>
    <w:rsid w:val="00063992"/>
    <w:pPr>
      <w:shd w:val="clear" w:color="auto" w:fill="D9D9D9"/>
      <w:tabs>
        <w:tab w:val="left" w:pos="992"/>
      </w:tabs>
      <w:ind w:left="119" w:right="119"/>
    </w:pPr>
    <w:rPr>
      <w:sz w:val="20"/>
    </w:rPr>
  </w:style>
  <w:style w:type="paragraph" w:customStyle="1" w:styleId="MarginIcons">
    <w:name w:val="Margin Icons"/>
    <w:basedOn w:val="BodyText"/>
    <w:rsid w:val="000639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3992"/>
    <w:rPr>
      <w:rFonts w:ascii="Courier New" w:hAnsi="Courier New"/>
    </w:rPr>
  </w:style>
  <w:style w:type="paragraph" w:customStyle="1" w:styleId="NoteBullet">
    <w:name w:val="Note Bullet"/>
    <w:basedOn w:val="Note"/>
    <w:rsid w:val="00063992"/>
    <w:pPr>
      <w:tabs>
        <w:tab w:val="clear" w:pos="680"/>
      </w:tabs>
      <w:spacing w:before="60" w:after="60"/>
    </w:pPr>
  </w:style>
  <w:style w:type="paragraph" w:customStyle="1" w:styleId="SubHeading2">
    <w:name w:val="SubHeading2"/>
    <w:basedOn w:val="HeadingBase"/>
    <w:rsid w:val="00063992"/>
    <w:pPr>
      <w:spacing w:before="240" w:after="60"/>
    </w:pPr>
    <w:rPr>
      <w:sz w:val="20"/>
    </w:rPr>
  </w:style>
  <w:style w:type="paragraph" w:customStyle="1" w:styleId="SubHeading1">
    <w:name w:val="SubHeading1"/>
    <w:basedOn w:val="HeadingBase"/>
    <w:rsid w:val="00063992"/>
    <w:pPr>
      <w:spacing w:before="240" w:after="60"/>
    </w:pPr>
    <w:rPr>
      <w:color w:val="918585"/>
      <w:sz w:val="22"/>
    </w:rPr>
  </w:style>
  <w:style w:type="paragraph" w:customStyle="1" w:styleId="SideHeading">
    <w:name w:val="Side Heading"/>
    <w:basedOn w:val="HeadingBase"/>
    <w:rsid w:val="000639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3992"/>
    <w:pPr>
      <w:numPr>
        <w:numId w:val="13"/>
      </w:numPr>
    </w:pPr>
  </w:style>
  <w:style w:type="paragraph" w:styleId="PlainText">
    <w:name w:val="Plain Text"/>
    <w:basedOn w:val="Normal"/>
    <w:link w:val="PlainTextChar"/>
    <w:rsid w:val="00063992"/>
    <w:rPr>
      <w:sz w:val="20"/>
    </w:rPr>
  </w:style>
  <w:style w:type="character" w:customStyle="1" w:styleId="PlainTextChar">
    <w:name w:val="Plain Text Char"/>
    <w:basedOn w:val="DefaultParagraphFont"/>
    <w:link w:val="PlainText"/>
    <w:rsid w:val="00063992"/>
    <w:rPr>
      <w:rFonts w:ascii="Courier New" w:eastAsia="Times New Roman" w:hAnsi="Courier New" w:cs="Times New Roman"/>
      <w:sz w:val="20"/>
      <w:szCs w:val="20"/>
      <w:lang w:eastAsia="en-US"/>
    </w:rPr>
  </w:style>
  <w:style w:type="character" w:customStyle="1" w:styleId="MenuOption">
    <w:name w:val="Menu Option"/>
    <w:basedOn w:val="DefaultParagraphFont"/>
    <w:rsid w:val="00063992"/>
    <w:rPr>
      <w:b/>
      <w:smallCaps/>
    </w:rPr>
  </w:style>
  <w:style w:type="paragraph" w:customStyle="1" w:styleId="TableListNumber">
    <w:name w:val="Table List Number"/>
    <w:basedOn w:val="ListNumber"/>
    <w:rsid w:val="00063992"/>
    <w:pPr>
      <w:numPr>
        <w:numId w:val="0"/>
      </w:numPr>
    </w:pPr>
  </w:style>
  <w:style w:type="paragraph" w:styleId="TOC4">
    <w:name w:val="toc 4"/>
    <w:basedOn w:val="TOCBase"/>
    <w:next w:val="Normal"/>
    <w:semiHidden/>
    <w:rsid w:val="00063992"/>
    <w:pPr>
      <w:tabs>
        <w:tab w:val="right" w:leader="dot" w:pos="9071"/>
      </w:tabs>
      <w:ind w:left="1701"/>
    </w:pPr>
  </w:style>
  <w:style w:type="paragraph" w:customStyle="1" w:styleId="ListAlpha">
    <w:name w:val="List Alpha"/>
    <w:basedOn w:val="List"/>
    <w:rsid w:val="00063992"/>
    <w:pPr>
      <w:numPr>
        <w:numId w:val="10"/>
      </w:numPr>
    </w:pPr>
  </w:style>
  <w:style w:type="paragraph" w:customStyle="1" w:styleId="ListAlpha2">
    <w:name w:val="List Alpha 2"/>
    <w:basedOn w:val="List2"/>
    <w:rsid w:val="00063992"/>
    <w:pPr>
      <w:numPr>
        <w:numId w:val="9"/>
      </w:numPr>
    </w:pPr>
  </w:style>
  <w:style w:type="paragraph" w:styleId="List2">
    <w:name w:val="List 2"/>
    <w:basedOn w:val="BodyText"/>
    <w:rsid w:val="00063992"/>
    <w:pPr>
      <w:tabs>
        <w:tab w:val="left" w:pos="680"/>
      </w:tabs>
      <w:spacing w:before="60" w:after="60"/>
      <w:ind w:left="680" w:hanging="340"/>
    </w:pPr>
  </w:style>
  <w:style w:type="paragraph" w:styleId="List3">
    <w:name w:val="List 3"/>
    <w:basedOn w:val="BodyText"/>
    <w:rsid w:val="00063992"/>
    <w:pPr>
      <w:tabs>
        <w:tab w:val="left" w:pos="1021"/>
      </w:tabs>
      <w:spacing w:before="60" w:after="60"/>
      <w:ind w:left="1020" w:hanging="340"/>
    </w:pPr>
  </w:style>
  <w:style w:type="paragraph" w:styleId="List4">
    <w:name w:val="List 4"/>
    <w:basedOn w:val="BodyText"/>
    <w:rsid w:val="00063992"/>
    <w:pPr>
      <w:tabs>
        <w:tab w:val="left" w:pos="1361"/>
      </w:tabs>
      <w:spacing w:before="60" w:after="60"/>
      <w:ind w:left="1361" w:hanging="340"/>
    </w:pPr>
  </w:style>
  <w:style w:type="paragraph" w:styleId="List5">
    <w:name w:val="List 5"/>
    <w:basedOn w:val="BodyText"/>
    <w:rsid w:val="00063992"/>
    <w:pPr>
      <w:tabs>
        <w:tab w:val="left" w:pos="1701"/>
      </w:tabs>
      <w:spacing w:before="60" w:after="60"/>
      <w:ind w:left="1701" w:hanging="340"/>
    </w:pPr>
  </w:style>
  <w:style w:type="paragraph" w:styleId="ListBullet4">
    <w:name w:val="List Bullet 4"/>
    <w:basedOn w:val="List4"/>
    <w:rsid w:val="00063992"/>
    <w:pPr>
      <w:numPr>
        <w:numId w:val="4"/>
      </w:numPr>
    </w:pPr>
  </w:style>
  <w:style w:type="paragraph" w:styleId="ListBullet5">
    <w:name w:val="List Bullet 5"/>
    <w:basedOn w:val="List5"/>
    <w:rsid w:val="00063992"/>
    <w:pPr>
      <w:numPr>
        <w:numId w:val="5"/>
      </w:numPr>
    </w:pPr>
  </w:style>
  <w:style w:type="paragraph" w:styleId="ListContinue2">
    <w:name w:val="List Continue 2"/>
    <w:basedOn w:val="List2"/>
    <w:rsid w:val="00063992"/>
    <w:pPr>
      <w:ind w:firstLine="0"/>
    </w:pPr>
  </w:style>
  <w:style w:type="paragraph" w:styleId="ListContinue3">
    <w:name w:val="List Continue 3"/>
    <w:basedOn w:val="List3"/>
    <w:rsid w:val="00063992"/>
    <w:pPr>
      <w:ind w:left="1021" w:firstLine="0"/>
    </w:pPr>
  </w:style>
  <w:style w:type="paragraph" w:styleId="ListContinue4">
    <w:name w:val="List Continue 4"/>
    <w:basedOn w:val="List4"/>
    <w:rsid w:val="00063992"/>
    <w:pPr>
      <w:ind w:firstLine="0"/>
    </w:pPr>
  </w:style>
  <w:style w:type="paragraph" w:styleId="ListContinue5">
    <w:name w:val="List Continue 5"/>
    <w:basedOn w:val="List5"/>
    <w:rsid w:val="00063992"/>
    <w:pPr>
      <w:ind w:firstLine="0"/>
    </w:pPr>
  </w:style>
  <w:style w:type="paragraph" w:styleId="ListNumber3">
    <w:name w:val="List Number 3"/>
    <w:basedOn w:val="List3"/>
    <w:rsid w:val="00063992"/>
    <w:pPr>
      <w:numPr>
        <w:numId w:val="6"/>
      </w:numPr>
    </w:pPr>
  </w:style>
  <w:style w:type="paragraph" w:styleId="ListNumber4">
    <w:name w:val="List Number 4"/>
    <w:basedOn w:val="List4"/>
    <w:rsid w:val="00063992"/>
    <w:pPr>
      <w:numPr>
        <w:numId w:val="7"/>
      </w:numPr>
    </w:pPr>
  </w:style>
  <w:style w:type="paragraph" w:styleId="ListNumber5">
    <w:name w:val="List Number 5"/>
    <w:basedOn w:val="List5"/>
    <w:rsid w:val="00063992"/>
    <w:pPr>
      <w:numPr>
        <w:numId w:val="8"/>
      </w:numPr>
    </w:pPr>
  </w:style>
  <w:style w:type="paragraph" w:styleId="BlockText">
    <w:name w:val="Block Text"/>
    <w:basedOn w:val="Normal"/>
    <w:rsid w:val="00063992"/>
    <w:pPr>
      <w:spacing w:after="120"/>
      <w:ind w:left="1440" w:right="1440"/>
    </w:pPr>
  </w:style>
  <w:style w:type="character" w:customStyle="1" w:styleId="Subscript">
    <w:name w:val="Subscript"/>
    <w:basedOn w:val="DefaultParagraphFont"/>
    <w:rsid w:val="00063992"/>
    <w:rPr>
      <w:sz w:val="16"/>
      <w:vertAlign w:val="subscript"/>
    </w:rPr>
  </w:style>
  <w:style w:type="character" w:customStyle="1" w:styleId="Superscript">
    <w:name w:val="Superscript"/>
    <w:basedOn w:val="DefaultParagraphFont"/>
    <w:rsid w:val="00063992"/>
    <w:rPr>
      <w:sz w:val="16"/>
      <w:vertAlign w:val="superscript"/>
    </w:rPr>
  </w:style>
  <w:style w:type="character" w:customStyle="1" w:styleId="Symbols">
    <w:name w:val="Symbols"/>
    <w:basedOn w:val="DefaultParagraphFont"/>
    <w:rsid w:val="00063992"/>
    <w:rPr>
      <w:rFonts w:ascii="Symbol" w:hAnsi="Symbol"/>
    </w:rPr>
  </w:style>
  <w:style w:type="character" w:customStyle="1" w:styleId="MenuOptions">
    <w:name w:val="Menu Options"/>
    <w:basedOn w:val="DefaultParagraphFont"/>
    <w:rsid w:val="00063992"/>
    <w:rPr>
      <w:rFonts w:ascii="Arial Narrow" w:hAnsi="Arial Narrow"/>
      <w:smallCaps/>
    </w:rPr>
  </w:style>
  <w:style w:type="character" w:customStyle="1" w:styleId="Buttons">
    <w:name w:val="Buttons"/>
    <w:basedOn w:val="DefaultParagraphFont"/>
    <w:rsid w:val="00063992"/>
    <w:rPr>
      <w:b/>
    </w:rPr>
  </w:style>
  <w:style w:type="character" w:customStyle="1" w:styleId="Underlined">
    <w:name w:val="Underlined"/>
    <w:basedOn w:val="DefaultParagraphFont"/>
    <w:rsid w:val="00063992"/>
    <w:rPr>
      <w:u w:val="single"/>
    </w:rPr>
  </w:style>
  <w:style w:type="paragraph" w:customStyle="1" w:styleId="TableBodyTextRight">
    <w:name w:val="Table Body Text Right"/>
    <w:basedOn w:val="TableBodyText"/>
    <w:rsid w:val="00063992"/>
    <w:pPr>
      <w:widowControl w:val="0"/>
      <w:autoSpaceDE w:val="0"/>
      <w:autoSpaceDN w:val="0"/>
      <w:adjustRightInd w:val="0"/>
      <w:jc w:val="right"/>
    </w:pPr>
    <w:rPr>
      <w:rFonts w:cs="Arial"/>
      <w:szCs w:val="18"/>
    </w:rPr>
  </w:style>
  <w:style w:type="paragraph" w:customStyle="1" w:styleId="CopyrightText">
    <w:name w:val="Copyright Text"/>
    <w:basedOn w:val="BodyText"/>
    <w:rsid w:val="00063992"/>
    <w:rPr>
      <w:sz w:val="18"/>
    </w:rPr>
  </w:style>
  <w:style w:type="paragraph" w:customStyle="1" w:styleId="BodySmallRight">
    <w:name w:val="Body Small Right"/>
    <w:basedOn w:val="BodyTextRight"/>
    <w:rsid w:val="00063992"/>
    <w:rPr>
      <w:sz w:val="18"/>
      <w:szCs w:val="18"/>
    </w:rPr>
  </w:style>
  <w:style w:type="paragraph" w:customStyle="1" w:styleId="MarginEdition">
    <w:name w:val="Margin Edition"/>
    <w:basedOn w:val="MarginNote"/>
    <w:rsid w:val="00063992"/>
    <w:pPr>
      <w:spacing w:before="0" w:after="0"/>
    </w:pPr>
    <w:rPr>
      <w:rFonts w:ascii="Times New Roman" w:hAnsi="Times New Roman"/>
      <w:color w:val="999999"/>
    </w:rPr>
  </w:style>
  <w:style w:type="paragraph" w:customStyle="1" w:styleId="Spacer">
    <w:name w:val="Spacer"/>
    <w:basedOn w:val="Normal"/>
    <w:rsid w:val="00063992"/>
    <w:rPr>
      <w:sz w:val="2"/>
      <w:szCs w:val="2"/>
    </w:rPr>
  </w:style>
  <w:style w:type="character" w:customStyle="1" w:styleId="Small">
    <w:name w:val="Small"/>
    <w:basedOn w:val="DefaultParagraphFont"/>
    <w:rsid w:val="00063992"/>
    <w:rPr>
      <w:sz w:val="16"/>
    </w:rPr>
  </w:style>
  <w:style w:type="paragraph" w:customStyle="1" w:styleId="WideTable">
    <w:name w:val="Wide Table"/>
    <w:basedOn w:val="Normal"/>
    <w:rsid w:val="00063992"/>
    <w:pPr>
      <w:ind w:left="-1418"/>
    </w:pPr>
    <w:rPr>
      <w:sz w:val="2"/>
      <w:szCs w:val="2"/>
    </w:rPr>
  </w:style>
  <w:style w:type="character" w:styleId="PageNumber">
    <w:name w:val="page number"/>
    <w:basedOn w:val="DefaultParagraphFont"/>
    <w:rsid w:val="00063992"/>
  </w:style>
  <w:style w:type="paragraph" w:styleId="Quote">
    <w:name w:val="Quote"/>
    <w:basedOn w:val="Heading1"/>
    <w:link w:val="QuoteChar"/>
    <w:qFormat/>
    <w:rsid w:val="00063992"/>
    <w:rPr>
      <w:b w:val="0"/>
      <w:sz w:val="72"/>
      <w:szCs w:val="72"/>
      <w:lang w:val="en-NZ"/>
    </w:rPr>
  </w:style>
  <w:style w:type="character" w:customStyle="1" w:styleId="QuoteChar">
    <w:name w:val="Quote Char"/>
    <w:basedOn w:val="DefaultParagraphFont"/>
    <w:link w:val="Quote"/>
    <w:rsid w:val="000639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3992"/>
    <w:pPr>
      <w:pageBreakBefore/>
    </w:pPr>
  </w:style>
  <w:style w:type="paragraph" w:customStyle="1" w:styleId="Border">
    <w:name w:val="Border"/>
    <w:basedOn w:val="Normal"/>
    <w:qFormat/>
    <w:rsid w:val="000639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3992"/>
    <w:rPr>
      <w:b/>
      <w:bCs/>
      <w:i/>
      <w:iCs/>
      <w:color w:val="auto"/>
    </w:rPr>
  </w:style>
  <w:style w:type="paragraph" w:styleId="IntenseQuote">
    <w:name w:val="Intense Quote"/>
    <w:basedOn w:val="Normal"/>
    <w:next w:val="Normal"/>
    <w:link w:val="IntenseQuoteChar"/>
    <w:uiPriority w:val="30"/>
    <w:qFormat/>
    <w:rsid w:val="000639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39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3992"/>
    <w:rPr>
      <w:smallCaps/>
      <w:color w:val="auto"/>
      <w:u w:val="single"/>
    </w:rPr>
  </w:style>
  <w:style w:type="character" w:styleId="IntenseReference">
    <w:name w:val="Intense Reference"/>
    <w:basedOn w:val="DefaultParagraphFont"/>
    <w:uiPriority w:val="32"/>
    <w:qFormat/>
    <w:rsid w:val="00063992"/>
    <w:rPr>
      <w:b/>
      <w:bCs/>
      <w:smallCaps/>
      <w:color w:val="auto"/>
      <w:spacing w:val="5"/>
      <w:u w:val="single"/>
    </w:rPr>
  </w:style>
  <w:style w:type="paragraph" w:customStyle="1" w:styleId="2ColumnHeading">
    <w:name w:val="2Column Heading"/>
    <w:basedOn w:val="BodyText"/>
    <w:qFormat/>
    <w:rsid w:val="00063992"/>
    <w:pPr>
      <w:spacing w:after="60"/>
      <w:ind w:left="-2268"/>
    </w:pPr>
    <w:rPr>
      <w:b/>
    </w:rPr>
  </w:style>
  <w:style w:type="paragraph" w:customStyle="1" w:styleId="Heading1TOC">
    <w:name w:val="Heading1 TOC"/>
    <w:basedOn w:val="Normal"/>
    <w:qFormat/>
    <w:rsid w:val="00063992"/>
    <w:pPr>
      <w:spacing w:before="240" w:after="120"/>
    </w:pPr>
    <w:rPr>
      <w:rFonts w:ascii="Times New Roman" w:hAnsi="Times New Roman"/>
      <w:b/>
      <w:sz w:val="32"/>
    </w:rPr>
  </w:style>
  <w:style w:type="paragraph" w:customStyle="1" w:styleId="Heading2TOC">
    <w:name w:val="Heading2 TOC"/>
    <w:basedOn w:val="Normal"/>
    <w:qFormat/>
    <w:rsid w:val="00063992"/>
    <w:pPr>
      <w:spacing w:before="240" w:after="60"/>
    </w:pPr>
    <w:rPr>
      <w:rFonts w:ascii="Times New Roman" w:hAnsi="Times New Roman"/>
      <w:b/>
      <w:sz w:val="28"/>
    </w:rPr>
  </w:style>
  <w:style w:type="character" w:customStyle="1" w:styleId="Underline">
    <w:name w:val="Underline"/>
    <w:basedOn w:val="DefaultParagraphFont"/>
    <w:qFormat/>
    <w:rsid w:val="00063992"/>
    <w:rPr>
      <w:u w:val="single"/>
    </w:rPr>
  </w:style>
  <w:style w:type="character" w:customStyle="1" w:styleId="BoldandItalics">
    <w:name w:val="Bold and Italics"/>
    <w:qFormat/>
    <w:rsid w:val="00063992"/>
    <w:rPr>
      <w:b/>
      <w:i/>
      <w:u w:val="none"/>
    </w:rPr>
  </w:style>
  <w:style w:type="paragraph" w:styleId="BalloonText">
    <w:name w:val="Balloon Text"/>
    <w:basedOn w:val="Normal"/>
    <w:link w:val="BalloonTextChar"/>
    <w:rsid w:val="00063992"/>
    <w:rPr>
      <w:rFonts w:ascii="Tahoma" w:hAnsi="Tahoma" w:cs="Tahoma"/>
      <w:sz w:val="16"/>
      <w:szCs w:val="16"/>
    </w:rPr>
  </w:style>
  <w:style w:type="character" w:customStyle="1" w:styleId="BalloonTextChar">
    <w:name w:val="Balloon Text Char"/>
    <w:basedOn w:val="DefaultParagraphFont"/>
    <w:link w:val="BalloonText"/>
    <w:rsid w:val="000639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39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39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3992"/>
    <w:rPr>
      <w:b/>
      <w:color w:val="660033"/>
      <w:spacing w:val="0"/>
    </w:rPr>
  </w:style>
  <w:style w:type="paragraph" w:customStyle="1" w:styleId="Nameditemlist">
    <w:name w:val="Named item list"/>
    <w:basedOn w:val="BodyText"/>
    <w:qFormat/>
    <w:rsid w:val="0006399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1985</Words>
  <Characters>11518</Characters>
  <Application>Microsoft Office Word</Application>
  <DocSecurity>0</DocSecurity>
  <Lines>475</Lines>
  <Paragraphs>259</Paragraphs>
  <ScaleCrop>false</ScaleCrop>
  <Company>Author-it Software Corporation Ltd.</Company>
  <LinksUpToDate>false</LinksUpToDate>
  <CharactersWithSpaces>13384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MEM07043A Identify causes of faulty aluminium extrusions</dc:title>
  <dc:subject>Approved</dc:subject>
  <dc:creator>Manufacturing Skills Australia</dc:creator>
  <cp:keywords>Release 1</cp:keywords>
  <dc:description>Review Date: 12 April 2008</dc:description>
  <cp:lastModifiedBy>TPCMS</cp:lastModifiedBy>
  <cp:revision>3</cp:revision>
  <dcterms:created xsi:type="dcterms:W3CDTF">2013-08-26T17:39:42Z</dcterms:created>
  <dcterms:modified xsi:type="dcterms:W3CDTF">2013-08-26T06:58:00Z</dcterms:modified>
</cp:coreProperties>
</file>