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596" w:rsidP="00217596">
      <w:pPr>
        <w:pStyle w:val="Title"/>
      </w:pPr>
      <w:r>
        <w:fldChar w:fldCharType="begin"/>
      </w:r>
      <w:r>
        <w:instrText xml:space="preserve"> TITLE   \* MERGEFORMAT </w:instrText>
      </w:r>
      <w:r>
        <w:fldChar w:fldCharType="separate"/>
      </w:r>
      <w:r>
        <w:t>MEM07011B Perform complex milling operations</w:t>
      </w:r>
      <w:r>
        <w:fldChar w:fldCharType="end"/>
      </w:r>
    </w:p>
    <w:p w:rsidR="00217596" w:rsidP="00217596">
      <w:pPr>
        <w:pStyle w:val="Version"/>
        <w:sectPr w:rsidSect="00EB0E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EFF" w:rsidP="00EB0EFF">
      <w:pPr>
        <w:pStyle w:val="SuperHeading"/>
      </w:pPr>
      <w:r w:rsidRPr="00EB0EFF">
        <w:t>MEM07011B Perform complex milling operations</w:t>
      </w:r>
    </w:p>
    <w:p w:rsidR="00000000" w:rsidRPr="00EB0EFF" w:rsidP="00EB0EFF">
      <w:pPr>
        <w:pStyle w:val="Heading1"/>
      </w:pPr>
      <w:bookmarkStart w:id="1" w:name="O_272058"/>
      <w:bookmarkEnd w:id="1"/>
      <w:r w:rsidRPr="00EB0EFF">
        <w:t>Modification History</w:t>
      </w:r>
    </w:p>
    <w:p w:rsidR="00000000" w:rsidRPr="00EB0EFF" w:rsidP="00EB0EFF">
      <w:pPr>
        <w:pStyle w:val="BodyText"/>
      </w:pPr>
      <w:r w:rsidRPr="00EB0EFF">
        <w:t>Not Applicable</w:t>
      </w:r>
    </w:p>
    <w:p w:rsidR="00000000" w:rsidRPr="00EB0EFF" w:rsidP="00EB0EFF">
      <w:pPr>
        <w:pStyle w:val="AllowPageBreak"/>
      </w:pPr>
    </w:p>
    <w:p w:rsidR="00000000" w:rsidRPr="00EB0EFF" w:rsidP="00EB0EFF">
      <w:pPr>
        <w:pStyle w:val="Heading1"/>
      </w:pPr>
      <w:bookmarkStart w:id="2" w:name="O_210844"/>
      <w:bookmarkEnd w:id="2"/>
      <w:r w:rsidRPr="00EB0EFF">
        <w:t>Unit Descriptor</w:t>
      </w:r>
    </w:p>
    <w:tbl>
      <w:tblPr>
        <w:tblW w:w="0" w:type="auto"/>
        <w:tblLayout w:type="fixed"/>
        <w:tblCellMar>
          <w:left w:w="62" w:type="dxa"/>
          <w:right w:w="62" w:type="dxa"/>
        </w:tblCellMar>
        <w:tblLook w:val="0000"/>
      </w:tblPr>
      <w:tblGrid>
        <w:gridCol w:w="2673"/>
        <w:gridCol w:w="5849"/>
      </w:tblGrid>
      <w:tr w:rsidTr="0021759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This unit covers performing complex milling operations, including gear cutting and helical milling of a rang</w:t>
            </w:r>
            <w:r w:rsidRPr="00EB0EFF">
              <w:t>e of materials.</w:t>
            </w:r>
          </w:p>
        </w:tc>
      </w:tr>
    </w:tbl>
    <w:p w:rsidR="00217596" w:rsidP="00EB0EFF">
      <w:pPr>
        <w:pStyle w:val="BodyText"/>
      </w:pPr>
    </w:p>
    <w:p w:rsidR="00217596" w:rsidP="00EB0EFF">
      <w:pPr>
        <w:pStyle w:val="BodyText"/>
      </w:pPr>
    </w:p>
    <w:p w:rsidR="00000000" w:rsidRPr="00EB0EFF" w:rsidP="00EB0EFF">
      <w:pPr>
        <w:pStyle w:val="Heading1"/>
      </w:pPr>
      <w:bookmarkStart w:id="3" w:name="O_210848"/>
      <w:bookmarkEnd w:id="3"/>
      <w:r w:rsidRPr="00EB0EFF">
        <w:t>Application of the Unit</w:t>
      </w:r>
    </w:p>
    <w:tbl>
      <w:tblPr>
        <w:tblW w:w="0" w:type="auto"/>
        <w:tblLayout w:type="fixed"/>
        <w:tblCellMar>
          <w:left w:w="62" w:type="dxa"/>
          <w:right w:w="62" w:type="dxa"/>
        </w:tblCellMar>
        <w:tblLook w:val="0000"/>
      </w:tblPr>
      <w:tblGrid>
        <w:gridCol w:w="2745"/>
        <w:gridCol w:w="5777"/>
      </w:tblGrid>
      <w:tr w:rsidTr="0021759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 xml:space="preserve">This unit applies to a range of complex milling operations including those jobs requiring high precision or quality across a range of materials </w:t>
            </w:r>
            <w:r w:rsidRPr="00EB0EFF">
              <w:t>including non-standard metals and alloys. It also includes those operations requiring complex calculations.</w:t>
            </w:r>
          </w:p>
          <w:p w:rsidR="00000000" w:rsidRPr="00EB0EFF" w:rsidP="00EB0EFF">
            <w:pPr>
              <w:pStyle w:val="BodyText"/>
            </w:pPr>
          </w:p>
          <w:p w:rsidR="00000000" w:rsidRPr="00EB0EFF" w:rsidP="00EB0EFF">
            <w:pPr>
              <w:pStyle w:val="BodyText"/>
            </w:pPr>
            <w:r w:rsidRPr="00EB0EFF">
              <w:rPr>
                <w:rStyle w:val="SpecialBold"/>
              </w:rPr>
              <w:t>Band</w:t>
            </w:r>
            <w:r w:rsidRPr="00EB0EFF">
              <w:t>:</w:t>
            </w:r>
            <w:r w:rsidRPr="00EB0EFF">
              <w:tab/>
            </w:r>
            <w:r w:rsidRPr="00EB0EFF">
              <w:rPr>
                <w:rStyle w:val="SpecialBold"/>
              </w:rPr>
              <w:t>A</w:t>
            </w:r>
          </w:p>
          <w:p w:rsidR="00000000" w:rsidRPr="00EB0EFF" w:rsidP="00EB0EFF">
            <w:pPr>
              <w:pStyle w:val="BodyText"/>
            </w:pPr>
            <w:r w:rsidRPr="00EB0EFF">
              <w:rPr>
                <w:rStyle w:val="SpecialBold"/>
              </w:rPr>
              <w:t>Unit Weight</w:t>
            </w:r>
            <w:r w:rsidRPr="00EB0EFF">
              <w:t>:</w:t>
            </w:r>
            <w:r w:rsidRPr="00EB0EFF">
              <w:tab/>
            </w:r>
            <w:r w:rsidRPr="00EB0EFF">
              <w:rPr>
                <w:rStyle w:val="SpecialBold"/>
              </w:rPr>
              <w:t>4</w:t>
            </w:r>
          </w:p>
        </w:tc>
      </w:tr>
    </w:tbl>
    <w:p w:rsidR="00217596" w:rsidP="00EB0EFF">
      <w:pPr>
        <w:pStyle w:val="BodyText"/>
      </w:pPr>
    </w:p>
    <w:p w:rsidR="00217596" w:rsidP="00EB0EFF">
      <w:pPr>
        <w:pStyle w:val="BodyText"/>
      </w:pPr>
    </w:p>
    <w:p w:rsidR="00000000" w:rsidRPr="00EB0EFF" w:rsidP="00EB0EFF">
      <w:pPr>
        <w:pStyle w:val="Heading1"/>
      </w:pPr>
      <w:bookmarkStart w:id="4" w:name="O_280318"/>
      <w:bookmarkEnd w:id="4"/>
      <w:r w:rsidRPr="00EB0EFF">
        <w:t>Licensing/Regulatory Information</w:t>
      </w:r>
    </w:p>
    <w:p w:rsidR="00000000" w:rsidRPr="00EB0EFF" w:rsidP="00EB0EFF">
      <w:pPr>
        <w:pStyle w:val="BodyText"/>
      </w:pPr>
      <w:r w:rsidRPr="00EB0EFF">
        <w:t>Not Applicable</w:t>
      </w:r>
    </w:p>
    <w:p w:rsidR="00000000" w:rsidRPr="00EB0EFF" w:rsidP="00EB0EFF">
      <w:pPr>
        <w:pStyle w:val="AllowPageBreak"/>
      </w:pPr>
    </w:p>
    <w:p w:rsidR="00000000" w:rsidRPr="00EB0EFF" w:rsidP="00EB0EFF">
      <w:pPr>
        <w:pStyle w:val="Heading1"/>
      </w:pPr>
      <w:bookmarkStart w:id="5" w:name="O_210846"/>
      <w:bookmarkEnd w:id="5"/>
      <w:r w:rsidRPr="00EB0EFF">
        <w:t>Pre-Requisites</w:t>
      </w:r>
    </w:p>
    <w:tbl>
      <w:tblPr>
        <w:tblW w:w="0" w:type="auto"/>
        <w:tblLayout w:type="fixed"/>
        <w:tblCellMar>
          <w:left w:w="62" w:type="dxa"/>
          <w:right w:w="62" w:type="dxa"/>
        </w:tblCellMar>
        <w:tblLook w:val="0000"/>
      </w:tblPr>
      <w:tblGrid>
        <w:gridCol w:w="2712"/>
        <w:gridCol w:w="2207"/>
        <w:gridCol w:w="3603"/>
      </w:tblGrid>
      <w:tr w:rsidTr="00217596">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p>
        </w:tc>
      </w:tr>
      <w:tr w:rsidTr="0021759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 xml:space="preserve">MEM07005C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Perform general machining</w:t>
            </w:r>
          </w:p>
        </w:tc>
      </w:tr>
      <w:tr w:rsidTr="0021759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 xml:space="preserve">MEM07007C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Perform milling operations</w:t>
            </w:r>
          </w:p>
        </w:tc>
      </w:tr>
      <w:tr w:rsidTr="0021759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Interpret technical drawing</w:t>
            </w:r>
          </w:p>
        </w:tc>
      </w:tr>
      <w:tr w:rsidTr="0021759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 xml:space="preserve">MEM12003B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 xml:space="preserve">Perform precision mechanical </w:t>
            </w:r>
            <w:r w:rsidRPr="00EB0EFF">
              <w:t>measurement</w:t>
            </w:r>
          </w:p>
        </w:tc>
      </w:tr>
      <w:tr w:rsidTr="0021759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Perform engineering measurements</w:t>
            </w:r>
          </w:p>
        </w:tc>
      </w:tr>
      <w:tr w:rsidTr="0021759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Perform computations</w:t>
            </w:r>
          </w:p>
        </w:tc>
      </w:tr>
      <w:tr w:rsidTr="0021759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Use hand tools</w:t>
            </w:r>
          </w:p>
        </w:tc>
      </w:tr>
    </w:tbl>
    <w:p w:rsidR="00217596" w:rsidP="00EB0EFF">
      <w:pPr>
        <w:pStyle w:val="BodyText"/>
      </w:pPr>
    </w:p>
    <w:p w:rsidR="00217596" w:rsidP="00EB0EFF">
      <w:pPr>
        <w:pStyle w:val="BodyText"/>
      </w:pPr>
    </w:p>
    <w:p w:rsidR="00000000" w:rsidRPr="00EB0EFF" w:rsidP="00EB0EFF">
      <w:pPr>
        <w:pStyle w:val="Heading1"/>
      </w:pPr>
      <w:bookmarkStart w:id="6" w:name="O_210845"/>
      <w:bookmarkEnd w:id="6"/>
      <w:r w:rsidRPr="00EB0EFF">
        <w:t>Employability Skills Information</w:t>
      </w:r>
    </w:p>
    <w:tbl>
      <w:tblPr>
        <w:tblW w:w="0" w:type="auto"/>
        <w:tblLayout w:type="fixed"/>
        <w:tblCellMar>
          <w:left w:w="62" w:type="dxa"/>
          <w:right w:w="62" w:type="dxa"/>
        </w:tblCellMar>
        <w:tblLook w:val="0000"/>
      </w:tblPr>
      <w:tblGrid>
        <w:gridCol w:w="2802"/>
        <w:gridCol w:w="5720"/>
      </w:tblGrid>
      <w:tr w:rsidTr="002175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This unit contains employability skills.</w:t>
            </w:r>
          </w:p>
        </w:tc>
      </w:tr>
    </w:tbl>
    <w:p w:rsidR="00217596" w:rsidP="00EB0EFF">
      <w:pPr>
        <w:pStyle w:val="BodyText"/>
      </w:pPr>
    </w:p>
    <w:p w:rsidR="00217596" w:rsidP="00EB0EFF">
      <w:pPr>
        <w:pStyle w:val="BodyText"/>
      </w:pPr>
    </w:p>
    <w:p w:rsidR="00000000" w:rsidRPr="00EB0EFF" w:rsidP="00EB0EFF">
      <w:pPr>
        <w:pStyle w:val="Heading1"/>
      </w:pPr>
      <w:bookmarkStart w:id="7" w:name="O_290104"/>
      <w:bookmarkEnd w:id="7"/>
      <w:r w:rsidRPr="00EB0EFF">
        <w:t>Elements and Performance Criteria Pre-Content</w:t>
      </w:r>
    </w:p>
    <w:tbl>
      <w:tblPr>
        <w:tblW w:w="0" w:type="auto"/>
        <w:tblLayout w:type="fixed"/>
        <w:tblCellMar>
          <w:left w:w="62" w:type="dxa"/>
          <w:right w:w="62" w:type="dxa"/>
        </w:tblCellMar>
        <w:tblLook w:val="0000"/>
      </w:tblPr>
      <w:tblGrid>
        <w:gridCol w:w="2537"/>
        <w:gridCol w:w="5985"/>
      </w:tblGrid>
      <w:tr w:rsidTr="0021759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Performance criteria describe the performance needed to demonstrate achievement of the element. Where bold italicised text is used, further information is detailed in the required skills and</w:t>
            </w:r>
            <w:r w:rsidRPr="00EB0EFF">
              <w:t xml:space="preserve"> knowledge section and the range statement. Assessment of performance is to be consistent with the evidence guide.</w:t>
            </w:r>
          </w:p>
        </w:tc>
      </w:tr>
    </w:tbl>
    <w:p w:rsidR="00000000" w:rsidRPr="00EB0EFF" w:rsidP="00EB0EFF">
      <w:pPr>
        <w:pStyle w:val="BodyText"/>
      </w:pPr>
    </w:p>
    <w:p w:rsidR="00000000" w:rsidRPr="00EB0EFF" w:rsidP="00EB0EFF">
      <w:pPr>
        <w:pStyle w:val="AllowPageBreak"/>
      </w:pPr>
    </w:p>
    <w:p w:rsidR="00000000" w:rsidRPr="00EB0EFF" w:rsidP="00EB0EFF">
      <w:pPr>
        <w:pStyle w:val="Heading1"/>
      </w:pPr>
      <w:bookmarkStart w:id="8" w:name="O_236771"/>
      <w:bookmarkEnd w:id="8"/>
      <w:r w:rsidRPr="00EB0EFF">
        <w:t>Elements and Performance Criteria</w:t>
      </w:r>
    </w:p>
    <w:tbl>
      <w:tblPr>
        <w:tblW w:w="0" w:type="auto"/>
        <w:tblLayout w:type="fixed"/>
        <w:tblCellMar>
          <w:left w:w="62" w:type="dxa"/>
          <w:right w:w="62" w:type="dxa"/>
        </w:tblCellMar>
        <w:tblLook w:val="0000"/>
      </w:tblPr>
      <w:tblGrid>
        <w:gridCol w:w="2537"/>
        <w:gridCol w:w="5985"/>
      </w:tblGrid>
      <w:tr w:rsidTr="00217596">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PERFORMANCE CRITERIA</w:t>
            </w:r>
          </w:p>
        </w:tc>
      </w:tr>
      <w:tr w:rsidTr="0021759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List"/>
              <w:rPr>
                <w:lang w:val="en-NZ"/>
              </w:rPr>
            </w:pPr>
            <w:r w:rsidRPr="00EB0EFF">
              <w:t>1.</w:t>
            </w:r>
            <w:r w:rsidRPr="00EB0EFF">
              <w:tab/>
              <w:t>Select milling cutters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List2"/>
            </w:pPr>
            <w:r w:rsidRPr="00EB0EFF">
              <w:t>1.1.</w:t>
            </w:r>
            <w:r w:rsidRPr="00EB0EFF">
              <w:tab/>
            </w:r>
            <w:r w:rsidRPr="00EB0EFF">
              <w:t>Correct milling cutter/s are selected for required operation.</w:t>
            </w:r>
          </w:p>
          <w:p w:rsidR="00000000" w:rsidRPr="00EB0EFF" w:rsidP="00EB0EFF">
            <w:pPr>
              <w:pStyle w:val="List2"/>
            </w:pPr>
            <w:r w:rsidRPr="00EB0EFF">
              <w:t>1.2.</w:t>
            </w:r>
            <w:r w:rsidRPr="00EB0EFF">
              <w:tab/>
              <w:t>Correct cutter inserts are selected as required using International Standard Organisation standards and mounted in cutter blank.</w:t>
            </w:r>
          </w:p>
          <w:p w:rsidR="00000000" w:rsidP="00EB0EFF">
            <w:pPr>
              <w:pStyle w:val="List2"/>
              <w:rPr>
                <w:lang w:val="en-NZ"/>
              </w:rPr>
            </w:pPr>
            <w:r w:rsidRPr="00EB0EFF">
              <w:t>1.3.</w:t>
            </w:r>
            <w:r w:rsidRPr="00EB0EFF">
              <w:tab/>
              <w:t>Cutter is mounted to machine spindle and checked for co</w:t>
            </w:r>
            <w:r w:rsidRPr="00EB0EFF">
              <w:t>ncentricity.</w:t>
            </w:r>
          </w:p>
        </w:tc>
      </w:tr>
      <w:tr w:rsidTr="0021759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List"/>
              <w:rPr>
                <w:lang w:val="en-NZ"/>
              </w:rPr>
            </w:pPr>
            <w:r w:rsidRPr="00EB0EFF">
              <w:t>2.</w:t>
            </w:r>
            <w:r w:rsidRPr="00EB0EFF">
              <w:tab/>
              <w:t>Set up 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List2"/>
            </w:pPr>
            <w:r w:rsidRPr="00EB0EFF">
              <w:t>2.1.</w:t>
            </w:r>
            <w:r w:rsidRPr="00EB0EFF">
              <w:tab/>
              <w:t>Cutting parameters and steps required to mill given component/s are identified.</w:t>
            </w:r>
          </w:p>
          <w:p w:rsidR="00000000" w:rsidRPr="00EB0EFF" w:rsidP="00EB0EFF">
            <w:pPr>
              <w:pStyle w:val="List2"/>
            </w:pPr>
            <w:r w:rsidRPr="00EB0EFF">
              <w:t>2.2.</w:t>
            </w:r>
            <w:r w:rsidRPr="00EB0EFF">
              <w:tab/>
              <w:t>Machine is set up with appropriate accessories as required for milling operation.</w:t>
            </w:r>
          </w:p>
          <w:p w:rsidR="00000000" w:rsidP="00EB0EFF">
            <w:pPr>
              <w:pStyle w:val="List2"/>
              <w:rPr>
                <w:lang w:val="en-NZ"/>
              </w:rPr>
            </w:pPr>
            <w:r w:rsidRPr="00EB0EFF">
              <w:t>2.3.</w:t>
            </w:r>
            <w:r w:rsidRPr="00EB0EFF">
              <w:tab/>
              <w:t>Work is set up to required level of accuracy.</w:t>
            </w:r>
          </w:p>
        </w:tc>
      </w:tr>
      <w:tr w:rsidTr="0021759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List"/>
              <w:rPr>
                <w:lang w:val="en-NZ"/>
              </w:rPr>
            </w:pPr>
            <w:r w:rsidRPr="00EB0EFF">
              <w:t>3.</w:t>
            </w:r>
            <w:r w:rsidRPr="00EB0EFF">
              <w:tab/>
            </w:r>
            <w:r w:rsidRPr="00EB0EFF">
              <w:t>Perform complex milling</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List2"/>
            </w:pPr>
            <w:r w:rsidRPr="00EB0EFF">
              <w:t>3.1.</w:t>
            </w:r>
            <w:r w:rsidRPr="00EB0EFF">
              <w:tab/>
              <w:t>Components are milled and associated calculations are performed as necessary to achieve specification.</w:t>
            </w:r>
          </w:p>
          <w:p w:rsidR="00000000" w:rsidRPr="00EB0EFF" w:rsidP="00EB0EFF">
            <w:pPr>
              <w:pStyle w:val="List2"/>
            </w:pPr>
            <w:r w:rsidRPr="00EB0EFF">
              <w:t>3.2.</w:t>
            </w:r>
            <w:r w:rsidRPr="00EB0EFF">
              <w:tab/>
              <w:t>Components are verified using appropriate precision measuring equipment and reworked as necessary to meet specification</w:t>
            </w:r>
            <w:r w:rsidRPr="00EB0EFF">
              <w:t>.</w:t>
            </w:r>
          </w:p>
        </w:tc>
      </w:tr>
    </w:tbl>
    <w:p w:rsidR="00217596" w:rsidP="00EB0EFF">
      <w:pPr>
        <w:pStyle w:val="BodyText"/>
      </w:pPr>
    </w:p>
    <w:p w:rsidR="00217596" w:rsidP="00EB0EFF">
      <w:pPr>
        <w:pStyle w:val="BodyText"/>
      </w:pPr>
    </w:p>
    <w:p w:rsidR="00000000" w:rsidRPr="00EB0EFF" w:rsidP="00EB0EFF">
      <w:pPr>
        <w:pStyle w:val="Heading1"/>
      </w:pPr>
      <w:bookmarkStart w:id="9" w:name="O_260721"/>
      <w:bookmarkEnd w:id="9"/>
      <w:r w:rsidRPr="00EB0EFF">
        <w:t>Required Skills and Knowledge</w:t>
      </w:r>
    </w:p>
    <w:tbl>
      <w:tblPr>
        <w:tblW w:w="0" w:type="auto"/>
        <w:tblLayout w:type="fixed"/>
        <w:tblCellMar>
          <w:left w:w="62" w:type="dxa"/>
          <w:right w:w="62" w:type="dxa"/>
        </w:tblCellMar>
        <w:tblLook w:val="0000"/>
      </w:tblPr>
      <w:tblGrid>
        <w:gridCol w:w="8522"/>
      </w:tblGrid>
      <w:tr w:rsidTr="002175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REQUIRED SKILLS AND KNOWLEDGE</w:t>
            </w:r>
          </w:p>
        </w:tc>
      </w:tr>
      <w:tr w:rsidTr="002175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This section describes the skills and knowledge required for this unit.</w:t>
            </w:r>
          </w:p>
        </w:tc>
      </w:tr>
      <w:tr w:rsidTr="002175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Required skills</w:t>
            </w:r>
          </w:p>
        </w:tc>
      </w:tr>
      <w:tr w:rsidTr="002175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Look for evidence that confirms skills in:</w:t>
            </w:r>
          </w:p>
          <w:p w:rsidR="00000000" w:rsidRPr="00EB0EFF" w:rsidP="00EB0EFF">
            <w:pPr>
              <w:pStyle w:val="ListBullet"/>
            </w:pPr>
            <w:r w:rsidRPr="00EB0EFF">
              <w:t>reading, interpreting and following information on written job instructions, specifications, standard operating procedures, charts, lists, drawings and other applicable reference documents</w:t>
            </w:r>
          </w:p>
          <w:p w:rsidR="00000000" w:rsidRPr="00EB0EFF" w:rsidP="00EB0EFF">
            <w:pPr>
              <w:pStyle w:val="ListBullet"/>
            </w:pPr>
            <w:r w:rsidRPr="00EB0EFF">
              <w:t>planning and sequencing operations</w:t>
            </w:r>
          </w:p>
          <w:p w:rsidR="00000000" w:rsidRPr="00EB0EFF" w:rsidP="00EB0EFF">
            <w:pPr>
              <w:pStyle w:val="ListBullet"/>
            </w:pPr>
            <w:r w:rsidRPr="00EB0EFF">
              <w:t>checking and clarifying work rel</w:t>
            </w:r>
            <w:r w:rsidRPr="00EB0EFF">
              <w:t>ated information</w:t>
            </w:r>
          </w:p>
          <w:p w:rsidR="00000000" w:rsidRPr="00EB0EFF" w:rsidP="00EB0EFF">
            <w:pPr>
              <w:pStyle w:val="ListBullet"/>
            </w:pPr>
            <w:r w:rsidRPr="00EB0EFF">
              <w:t>setting up work to the required level of accuracy</w:t>
            </w:r>
          </w:p>
          <w:p w:rsidR="00000000" w:rsidRPr="00EB0EFF" w:rsidP="00EB0EFF">
            <w:pPr>
              <w:pStyle w:val="ListBullet"/>
            </w:pPr>
            <w:r w:rsidRPr="00EB0EFF">
              <w:t>determining cutting parameters</w:t>
            </w:r>
          </w:p>
          <w:p w:rsidR="00000000" w:rsidRPr="00EB0EFF" w:rsidP="00EB0EFF">
            <w:pPr>
              <w:pStyle w:val="ListBullet"/>
            </w:pPr>
            <w:r w:rsidRPr="00EB0EFF">
              <w:t>selecting the correct milling cutter inserts for the cutting parameters in accordance with ISO standards</w:t>
            </w:r>
          </w:p>
          <w:p w:rsidR="00000000" w:rsidRPr="00EB0EFF" w:rsidP="00EB0EFF">
            <w:pPr>
              <w:pStyle w:val="ListBullet"/>
            </w:pPr>
            <w:r w:rsidRPr="00EB0EFF">
              <w:t xml:space="preserve">calculating cutting parameters such as speeds, feeds </w:t>
            </w:r>
            <w:r w:rsidRPr="00EB0EFF">
              <w:t>and ratios</w:t>
            </w:r>
          </w:p>
          <w:p w:rsidR="00000000" w:rsidRPr="00EB0EFF" w:rsidP="00EB0EFF">
            <w:pPr>
              <w:pStyle w:val="ListBullet"/>
            </w:pPr>
            <w:r w:rsidRPr="00EB0EFF">
              <w:t>setting up gear trains according to calculations and standard operating procedures</w:t>
            </w:r>
          </w:p>
          <w:p w:rsidR="00000000" w:rsidRPr="00EB0EFF" w:rsidP="00EB0EFF">
            <w:pPr>
              <w:pStyle w:val="ListBullet"/>
            </w:pPr>
            <w:r w:rsidRPr="00EB0EFF">
              <w:t xml:space="preserve">safely operating milling machine </w:t>
            </w:r>
          </w:p>
          <w:p w:rsidR="00000000" w:rsidP="00EB0EFF">
            <w:pPr>
              <w:pStyle w:val="ListBullet"/>
              <w:rPr>
                <w:lang w:val="en-NZ"/>
              </w:rPr>
            </w:pPr>
            <w:r w:rsidRPr="00EB0EFF">
              <w:t>performing complex milling operations using dividing heads and omniversal tables</w:t>
            </w:r>
          </w:p>
        </w:tc>
      </w:tr>
      <w:tr w:rsidTr="002175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Required knowledge</w:t>
            </w:r>
          </w:p>
        </w:tc>
      </w:tr>
      <w:tr w:rsidTr="002175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Look for evidence that con</w:t>
            </w:r>
            <w:r w:rsidRPr="00EB0EFF">
              <w:t>firms knowledge of:</w:t>
            </w:r>
          </w:p>
          <w:p w:rsidR="00000000" w:rsidRPr="00EB0EFF" w:rsidP="00EB0EFF">
            <w:pPr>
              <w:pStyle w:val="ListBullet"/>
            </w:pPr>
            <w:r w:rsidRPr="00EB0EFF">
              <w:t>precision measuring equipment and their applications</w:t>
            </w:r>
          </w:p>
          <w:p w:rsidR="00000000" w:rsidRPr="00EB0EFF" w:rsidP="00EB0EFF">
            <w:pPr>
              <w:pStyle w:val="ListBullet"/>
            </w:pPr>
            <w:r w:rsidRPr="00EB0EFF">
              <w:t>procedures for accurately setting up work</w:t>
            </w:r>
          </w:p>
          <w:p w:rsidR="00000000" w:rsidRPr="00EB0EFF" w:rsidP="00EB0EFF">
            <w:pPr>
              <w:pStyle w:val="ListBullet"/>
            </w:pPr>
            <w:r w:rsidRPr="00EB0EFF">
              <w:t>ISO standards applicable to milling cutter inserts</w:t>
            </w:r>
          </w:p>
          <w:p w:rsidR="00000000" w:rsidRPr="00EB0EFF" w:rsidP="00EB0EFF">
            <w:pPr>
              <w:pStyle w:val="ListBullet"/>
            </w:pPr>
            <w:r w:rsidRPr="00EB0EFF">
              <w:t>procedures for milling components such as racks and gears</w:t>
            </w:r>
          </w:p>
          <w:p w:rsidR="00000000" w:rsidRPr="00EB0EFF" w:rsidP="00EB0EFF">
            <w:pPr>
              <w:pStyle w:val="ListBullet"/>
            </w:pPr>
            <w:r w:rsidRPr="00EB0EFF">
              <w:t>calculations, geometry and formulae relating complex milling activities</w:t>
            </w:r>
          </w:p>
          <w:p w:rsidR="00000000" w:rsidRPr="00EB0EFF" w:rsidP="00EB0EFF">
            <w:pPr>
              <w:pStyle w:val="ListBullet"/>
            </w:pPr>
            <w:r w:rsidRPr="00EB0EFF">
              <w:t>accessories used for complex milling</w:t>
            </w:r>
          </w:p>
          <w:p w:rsidR="00000000" w:rsidRPr="00EB0EFF" w:rsidP="00EB0EFF">
            <w:pPr>
              <w:pStyle w:val="ListBullet"/>
            </w:pPr>
            <w:r w:rsidRPr="00EB0EFF">
              <w:t>the applications and use of omniversal tables and differential dividing heads to complex milling operations</w:t>
            </w:r>
          </w:p>
          <w:p w:rsidR="00000000" w:rsidRPr="00EB0EFF" w:rsidP="00EB0EFF">
            <w:pPr>
              <w:pStyle w:val="ListBullet"/>
            </w:pPr>
            <w:r w:rsidRPr="00EB0EFF">
              <w:t>hazards and control measures associated</w:t>
            </w:r>
            <w:r w:rsidRPr="00EB0EFF">
              <w:t xml:space="preserve"> with complex milling operations, including housekeeping</w:t>
            </w:r>
          </w:p>
          <w:p w:rsidR="00000000" w:rsidRPr="00EB0EFF" w:rsidP="00EB0EFF">
            <w:pPr>
              <w:pStyle w:val="ListBullet"/>
            </w:pPr>
            <w:r w:rsidRPr="00EB0EFF">
              <w:t>safe work practices and procedures</w:t>
            </w:r>
          </w:p>
        </w:tc>
      </w:tr>
    </w:tbl>
    <w:p w:rsidR="00217596" w:rsidP="00EB0EFF">
      <w:pPr>
        <w:pStyle w:val="BodyText"/>
      </w:pPr>
    </w:p>
    <w:p w:rsidR="00217596" w:rsidP="00EB0EFF">
      <w:pPr>
        <w:pStyle w:val="BodyText"/>
      </w:pPr>
    </w:p>
    <w:p w:rsidR="00000000" w:rsidRPr="00EB0EFF" w:rsidP="00EB0EFF">
      <w:pPr>
        <w:pStyle w:val="AllowPageBreak"/>
      </w:pPr>
    </w:p>
    <w:p w:rsidR="00000000" w:rsidRPr="00EB0EFF" w:rsidP="00EB0EFF">
      <w:pPr>
        <w:pStyle w:val="Heading1"/>
      </w:pPr>
      <w:bookmarkStart w:id="10" w:name="O_244755"/>
      <w:bookmarkEnd w:id="10"/>
      <w:r w:rsidRPr="00EB0EFF">
        <w:t>Evidence Guide</w:t>
      </w:r>
    </w:p>
    <w:tbl>
      <w:tblPr>
        <w:tblW w:w="9570" w:type="dxa"/>
        <w:tblLayout w:type="fixed"/>
        <w:tblCellMar>
          <w:left w:w="62" w:type="dxa"/>
          <w:right w:w="62" w:type="dxa"/>
        </w:tblCellMar>
        <w:tblLook w:val="0000"/>
      </w:tblPr>
      <w:tblGrid>
        <w:gridCol w:w="3908"/>
        <w:gridCol w:w="5662"/>
      </w:tblGrid>
      <w:tr w:rsidTr="002175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EVIDENCE GUIDE</w:t>
            </w:r>
          </w:p>
        </w:tc>
      </w:tr>
      <w:tr w:rsidTr="002175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The evidence guide provides advice on assessment and must be read in conjunction with the performance criteria, required skills and knowledge, range statement and the Assessment Guidelines for the Training Package.</w:t>
            </w:r>
          </w:p>
        </w:tc>
      </w:tr>
      <w:tr w:rsidTr="00217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A person who demonstrates competency in this unit must be able to perform complex milling operations. Competency in this unit cannot be claimed until all prerequisites have been satisfied.</w:t>
            </w:r>
          </w:p>
        </w:tc>
      </w:tr>
      <w:tr w:rsidTr="00217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Critical aspects for assessment and evidence required to demonstra</w:t>
            </w:r>
            <w:r w:rsidRPr="00EB0EFF">
              <w:rPr>
                <w:rStyle w:val="SpecialBold"/>
              </w:rPr>
              <w:t>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Assessors must be satisfied that the candidate can competently and consistently perform all elements of the unit as specified by the criteria, including required knowledge, and be capable of applying the competency in new and dif</w:t>
            </w:r>
            <w:r w:rsidRPr="00EB0EFF">
              <w:t>ferent situations and contexts.</w:t>
            </w:r>
          </w:p>
        </w:tc>
      </w:tr>
      <w:tr w:rsidTr="00217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This unit may be assessed on the job, off the job or a combination of both on and off the job. Where assessment occurs off the job, that is the candidate is not in productive</w:t>
            </w:r>
            <w:r w:rsidRPr="00EB0EFF">
              <w:t xml:space="preserve"> work, then an appropriate simulation must be used where the range of conditions reflects realistic workplace situations. The competencies covered by this unit would be demonstrated by an individual working alone or as part of a team. The assessment enviro</w:t>
            </w:r>
            <w:r w:rsidRPr="00EB0EFF">
              <w:t xml:space="preserve">nment should not disadvantage the candidate. </w:t>
            </w:r>
          </w:p>
          <w:p w:rsidR="00000000" w:rsidP="00EB0EFF">
            <w:pPr>
              <w:pStyle w:val="BodyText"/>
              <w:rPr>
                <w:lang w:val="en-NZ"/>
              </w:rPr>
            </w:pPr>
            <w:r w:rsidRPr="00EB0EFF">
              <w:t>This unit could be assessed in conjunction with any other units addressing the safety, quality, communication, materials handling, recording and reporting associated with performing complex milling operations o</w:t>
            </w:r>
            <w:r w:rsidRPr="00EB0EFF">
              <w:t>r other units requiring the exercise of the skills and knowledge covered by this unit.</w:t>
            </w:r>
          </w:p>
        </w:tc>
      </w:tr>
      <w:tr w:rsidTr="00217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Assessors should gather a range of evidence that is valid, sufficient, current and authentic. Evidence can be gathered through a variety of ways in</w:t>
            </w:r>
            <w:r w:rsidRPr="00EB0EFF">
              <w:t>cluding direct observation, supervisor's reports, project work, samples and questioning. Questioning techniques should not require language, literacy and numeracy skills beyond those required in this unit of competency. The candidate must have access to al</w:t>
            </w:r>
            <w:r w:rsidRPr="00EB0EFF">
              <w:t>l tools, equipment, materials and documentation required. The candidate must be permitted to refer to any relevant workplace procedures, product and manufacturing specifications, codes, standards, manuals and reference materials.</w:t>
            </w:r>
          </w:p>
        </w:tc>
      </w:tr>
      <w:tr w:rsidTr="002175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 xml:space="preserve">Guidance information for </w:t>
            </w:r>
            <w:r w:rsidRPr="00EB0EFF">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p>
        </w:tc>
      </w:tr>
    </w:tbl>
    <w:p w:rsidR="00217596" w:rsidP="00EB0EFF">
      <w:pPr>
        <w:pStyle w:val="BodyText"/>
      </w:pPr>
    </w:p>
    <w:p w:rsidR="00217596" w:rsidP="00EB0EFF">
      <w:pPr>
        <w:pStyle w:val="BodyText"/>
      </w:pPr>
    </w:p>
    <w:p w:rsidR="00000000" w:rsidRPr="00EB0EFF" w:rsidP="00EB0EFF">
      <w:pPr>
        <w:pStyle w:val="Heading1"/>
      </w:pPr>
      <w:bookmarkStart w:id="11" w:name="O_252738"/>
      <w:bookmarkEnd w:id="11"/>
      <w:r w:rsidRPr="00EB0EFF">
        <w:t>Range Statement</w:t>
      </w:r>
    </w:p>
    <w:tbl>
      <w:tblPr>
        <w:tblW w:w="0" w:type="auto"/>
        <w:tblLayout w:type="fixed"/>
        <w:tblCellMar>
          <w:left w:w="62" w:type="dxa"/>
          <w:right w:w="62" w:type="dxa"/>
        </w:tblCellMar>
        <w:tblLook w:val="0000"/>
      </w:tblPr>
      <w:tblGrid>
        <w:gridCol w:w="3545"/>
        <w:gridCol w:w="4977"/>
      </w:tblGrid>
      <w:tr w:rsidTr="002175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RANGE STATEMENT</w:t>
            </w:r>
          </w:p>
        </w:tc>
      </w:tr>
      <w:tr w:rsidTr="002175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 xml:space="preserve">The range statement relates to the unit of competency as a whole. It allows for different work environments and situations that may affect </w:t>
            </w:r>
            <w:r w:rsidRPr="00EB0EFF">
              <w:t>performance. Bold italicised wording, if used in the performance criteria, is detailed below. Essential operating conditions that may be present with training and assessment (depending on the work situation, needs of the candidate, accessibility of the ite</w:t>
            </w:r>
            <w:r w:rsidRPr="00EB0EFF">
              <w:t>m, and local industry and regional contexts) may also be included.</w:t>
            </w:r>
          </w:p>
        </w:tc>
      </w:tr>
      <w:tr w:rsidTr="0021759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Complex milling operations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Cutting of spur gears, racks, helical gears, radial uniform rise cam lobes etc.</w:t>
            </w:r>
          </w:p>
        </w:tc>
      </w:tr>
      <w:tr w:rsidTr="0021759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Milling cutter</w:t>
            </w:r>
            <w:r w:rsidRPr="00EB0EFF">
              <w:t>/</w:t>
            </w:r>
            <w:r w:rsidRPr="00EB0EFF">
              <w:rPr>
                <w:rStyle w:val="SpecialBold"/>
              </w:rPr>
              <w:t>cutters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Ganged cutters, form cutters etc.</w:t>
            </w:r>
          </w:p>
        </w:tc>
      </w:tr>
      <w:tr w:rsidTr="0021759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Set up</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t>Set up is verified using instruments such as dial test indicators and sine bars etc.</w:t>
            </w:r>
          </w:p>
        </w:tc>
      </w:tr>
      <w:tr w:rsidTr="00217596">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Appropriate accessories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Omniversal tables, differential dividing heads etc.</w:t>
            </w:r>
          </w:p>
        </w:tc>
      </w:tr>
    </w:tbl>
    <w:p w:rsidR="00217596" w:rsidP="00EB0EFF">
      <w:pPr>
        <w:pStyle w:val="BodyText"/>
      </w:pPr>
    </w:p>
    <w:p w:rsidR="00217596" w:rsidP="00EB0EFF">
      <w:pPr>
        <w:pStyle w:val="BodyText"/>
      </w:pPr>
    </w:p>
    <w:p w:rsidR="00000000" w:rsidRPr="00EB0EFF" w:rsidP="00EB0EFF">
      <w:pPr>
        <w:pStyle w:val="Heading1"/>
      </w:pPr>
      <w:bookmarkStart w:id="12" w:name="O_210850"/>
      <w:bookmarkEnd w:id="12"/>
      <w:r w:rsidRPr="00EB0EFF">
        <w:t>Unit Sector(s)</w:t>
      </w:r>
    </w:p>
    <w:tbl>
      <w:tblPr>
        <w:tblW w:w="0" w:type="auto"/>
        <w:tblLayout w:type="fixed"/>
        <w:tblCellMar>
          <w:left w:w="62" w:type="dxa"/>
          <w:right w:w="62" w:type="dxa"/>
        </w:tblCellMar>
        <w:tblLook w:val="0000"/>
      </w:tblPr>
      <w:tblGrid>
        <w:gridCol w:w="2654"/>
        <w:gridCol w:w="5868"/>
      </w:tblGrid>
      <w:tr w:rsidTr="002175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p>
        </w:tc>
      </w:tr>
    </w:tbl>
    <w:p w:rsidR="00217596" w:rsidP="00EB0EFF">
      <w:pPr>
        <w:pStyle w:val="BodyText"/>
      </w:pPr>
    </w:p>
    <w:p w:rsidR="00217596" w:rsidP="00EB0EFF">
      <w:pPr>
        <w:pStyle w:val="BodyText"/>
      </w:pPr>
    </w:p>
    <w:p w:rsidR="00000000" w:rsidRPr="00EB0EFF" w:rsidP="00EB0EFF">
      <w:pPr>
        <w:pStyle w:val="Heading1"/>
      </w:pPr>
      <w:bookmarkStart w:id="13" w:name="O_210847"/>
      <w:bookmarkEnd w:id="13"/>
      <w:r w:rsidRPr="00EB0EFF">
        <w:t>Co-requisite units</w:t>
      </w:r>
    </w:p>
    <w:tbl>
      <w:tblPr>
        <w:tblW w:w="0" w:type="auto"/>
        <w:tblLayout w:type="fixed"/>
        <w:tblCellMar>
          <w:left w:w="62" w:type="dxa"/>
          <w:right w:w="62" w:type="dxa"/>
        </w:tblCellMar>
        <w:tblLook w:val="0000"/>
      </w:tblPr>
      <w:tblGrid>
        <w:gridCol w:w="2641"/>
        <w:gridCol w:w="1322"/>
        <w:gridCol w:w="4559"/>
      </w:tblGrid>
      <w:tr w:rsidTr="002175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p>
        </w:tc>
      </w:tr>
      <w:tr w:rsidTr="002175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p>
        </w:tc>
      </w:tr>
      <w:tr w:rsidTr="002175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p>
        </w:tc>
      </w:tr>
    </w:tbl>
    <w:p w:rsidR="00217596" w:rsidP="00EB0EFF">
      <w:pPr>
        <w:pStyle w:val="BodyText"/>
      </w:pPr>
    </w:p>
    <w:p w:rsidR="00217596" w:rsidP="00EB0EFF">
      <w:pPr>
        <w:pStyle w:val="BodyText"/>
      </w:pPr>
    </w:p>
    <w:p w:rsidR="00000000" w:rsidRPr="00EB0EFF" w:rsidP="00EB0EFF">
      <w:pPr>
        <w:pStyle w:val="Heading1"/>
      </w:pPr>
      <w:bookmarkStart w:id="14" w:name="O_210849"/>
      <w:bookmarkEnd w:id="14"/>
      <w:r w:rsidRPr="00EB0EFF">
        <w:t>Competency field</w:t>
      </w:r>
    </w:p>
    <w:tbl>
      <w:tblPr>
        <w:tblW w:w="0" w:type="auto"/>
        <w:tblLayout w:type="fixed"/>
        <w:tblCellMar>
          <w:left w:w="62" w:type="dxa"/>
          <w:right w:w="62" w:type="dxa"/>
        </w:tblCellMar>
        <w:tblLook w:val="0000"/>
      </w:tblPr>
      <w:tblGrid>
        <w:gridCol w:w="2777"/>
        <w:gridCol w:w="5745"/>
      </w:tblGrid>
      <w:tr w:rsidTr="0021759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EFF">
            <w:pPr>
              <w:pStyle w:val="BodyText"/>
              <w:rPr>
                <w:lang w:val="en-NZ"/>
              </w:rPr>
            </w:pPr>
            <w:r w:rsidRPr="00EB0EF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EFF" w:rsidP="00EB0EFF">
            <w:pPr>
              <w:pStyle w:val="BodyText"/>
            </w:pPr>
            <w:r w:rsidRPr="00EB0EFF">
              <w:t>Machine and process operations</w:t>
            </w:r>
          </w:p>
        </w:tc>
      </w:tr>
    </w:tbl>
    <w:p w:rsidR="00217596" w:rsidP="00EB0EFF">
      <w:pPr>
        <w:pStyle w:val="BodyText"/>
      </w:pPr>
    </w:p>
    <w:p w:rsidR="00217596" w:rsidP="00EB0EFF">
      <w:pPr>
        <w:pStyle w:val="BodyText"/>
      </w:pPr>
    </w:p>
    <w:p w:rsidR="00000000" w:rsidRPr="00EB0EFF" w:rsidP="00EB0EFF"/>
    <w:sectPr w:rsidSect="00EB0E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596" w:rsidP="002175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596" w:rsidP="00EB0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7596" w:rsidP="00EB0E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7596" w:rsidP="00EB0E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596" w:rsidP="002175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596" w:rsidP="00EB0EFF">
    <w:pPr>
      <w:pStyle w:val="Header"/>
      <w:framePr w:wrap="around"/>
    </w:pPr>
    <w:r>
      <w:fldChar w:fldCharType="begin"/>
    </w:r>
    <w:r>
      <w:instrText xml:space="preserve"> TITLE   \* MERGEFORMAT </w:instrText>
    </w:r>
    <w:r>
      <w:fldChar w:fldCharType="separate"/>
    </w:r>
    <w:r>
      <w:t>MEM07011B Perform complex milling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7596" w:rsidP="00EB0E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ACE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6A9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E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0EFF"/>
    <w:pPr>
      <w:spacing w:before="360" w:after="60"/>
      <w:outlineLvl w:val="0"/>
    </w:pPr>
    <w:rPr>
      <w:sz w:val="32"/>
    </w:rPr>
  </w:style>
  <w:style w:type="paragraph" w:styleId="Heading2">
    <w:name w:val="heading 2"/>
    <w:basedOn w:val="HeadingBase"/>
    <w:next w:val="BodyText"/>
    <w:link w:val="Heading2Char"/>
    <w:qFormat/>
    <w:rsid w:val="00EB0EFF"/>
    <w:pPr>
      <w:keepLines/>
      <w:spacing w:before="240" w:after="120"/>
      <w:outlineLvl w:val="1"/>
    </w:pPr>
    <w:rPr>
      <w:sz w:val="28"/>
      <w:szCs w:val="40"/>
    </w:rPr>
  </w:style>
  <w:style w:type="paragraph" w:styleId="Heading3">
    <w:name w:val="heading 3"/>
    <w:basedOn w:val="HeadingBase"/>
    <w:next w:val="BodyText"/>
    <w:link w:val="Heading3Char"/>
    <w:qFormat/>
    <w:rsid w:val="00EB0EFF"/>
    <w:pPr>
      <w:spacing w:before="180" w:after="120"/>
      <w:outlineLvl w:val="2"/>
    </w:pPr>
    <w:rPr>
      <w:spacing w:val="-10"/>
      <w:kern w:val="32"/>
    </w:rPr>
  </w:style>
  <w:style w:type="paragraph" w:styleId="Heading4">
    <w:name w:val="heading 4"/>
    <w:basedOn w:val="HeadingBase"/>
    <w:next w:val="BodyText"/>
    <w:link w:val="Heading4Char"/>
    <w:qFormat/>
    <w:rsid w:val="00EB0EFF"/>
    <w:pPr>
      <w:spacing w:before="160" w:after="120"/>
      <w:outlineLvl w:val="3"/>
    </w:pPr>
    <w:rPr>
      <w:sz w:val="22"/>
    </w:rPr>
  </w:style>
  <w:style w:type="paragraph" w:styleId="Heading5">
    <w:name w:val="heading 5"/>
    <w:basedOn w:val="HeadingBase"/>
    <w:next w:val="Normal"/>
    <w:link w:val="Heading5Char"/>
    <w:qFormat/>
    <w:rsid w:val="00EB0EFF"/>
    <w:pPr>
      <w:spacing w:before="80"/>
      <w:outlineLvl w:val="4"/>
    </w:pPr>
    <w:rPr>
      <w:color w:val="918585"/>
      <w:sz w:val="20"/>
    </w:rPr>
  </w:style>
  <w:style w:type="paragraph" w:styleId="Heading6">
    <w:name w:val="heading 6"/>
    <w:basedOn w:val="HeadingBase"/>
    <w:next w:val="Normal"/>
    <w:link w:val="Heading6Char"/>
    <w:qFormat/>
    <w:rsid w:val="00EB0EFF"/>
    <w:pPr>
      <w:spacing w:before="60"/>
      <w:outlineLvl w:val="5"/>
    </w:pPr>
    <w:rPr>
      <w:color w:val="918585"/>
      <w:sz w:val="20"/>
    </w:rPr>
  </w:style>
  <w:style w:type="paragraph" w:styleId="Heading7">
    <w:name w:val="heading 7"/>
    <w:basedOn w:val="Normal"/>
    <w:next w:val="Normal"/>
    <w:link w:val="Heading7Char"/>
    <w:qFormat/>
    <w:rsid w:val="00EB0EFF"/>
    <w:pPr>
      <w:ind w:left="720"/>
      <w:outlineLvl w:val="6"/>
    </w:pPr>
    <w:rPr>
      <w:i/>
    </w:rPr>
  </w:style>
  <w:style w:type="paragraph" w:styleId="Heading8">
    <w:name w:val="heading 8"/>
    <w:basedOn w:val="Normal"/>
    <w:next w:val="Normal"/>
    <w:link w:val="Heading8Char"/>
    <w:qFormat/>
    <w:rsid w:val="00EB0EFF"/>
    <w:pPr>
      <w:ind w:left="720"/>
      <w:outlineLvl w:val="7"/>
    </w:pPr>
    <w:rPr>
      <w:i/>
    </w:rPr>
  </w:style>
  <w:style w:type="paragraph" w:styleId="Heading9">
    <w:name w:val="heading 9"/>
    <w:basedOn w:val="Normal"/>
    <w:next w:val="Normal"/>
    <w:link w:val="Heading9Char"/>
    <w:qFormat/>
    <w:rsid w:val="00EB0EFF"/>
    <w:pPr>
      <w:ind w:left="720"/>
      <w:outlineLvl w:val="8"/>
    </w:pPr>
    <w:rPr>
      <w:i/>
    </w:rPr>
  </w:style>
  <w:style w:type="character" w:default="1" w:styleId="DefaultParagraphFont">
    <w:name w:val="Default Paragraph Font"/>
    <w:uiPriority w:val="1"/>
    <w:unhideWhenUsed/>
    <w:rsid w:val="00EB0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EFF"/>
  </w:style>
  <w:style w:type="character" w:customStyle="1" w:styleId="Heading1Char">
    <w:name w:val="Heading 1 Char"/>
    <w:basedOn w:val="DefaultParagraphFont"/>
    <w:link w:val="Heading1"/>
    <w:rsid w:val="00EB0EFF"/>
    <w:rPr>
      <w:rFonts w:ascii="Times New Roman" w:eastAsia="Times New Roman" w:hAnsi="Times New Roman" w:cs="Times New Roman"/>
      <w:b/>
      <w:sz w:val="32"/>
      <w:szCs w:val="20"/>
      <w:lang w:eastAsia="en-US"/>
    </w:rPr>
  </w:style>
  <w:style w:type="paragraph" w:styleId="BodyText">
    <w:name w:val="Body Text"/>
    <w:basedOn w:val="Normal"/>
    <w:link w:val="BodyTextChar"/>
    <w:rsid w:val="00EB0E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EFF"/>
    <w:rPr>
      <w:rFonts w:ascii="Times New Roman" w:eastAsia="Times New Roman" w:hAnsi="Times New Roman" w:cs="Times New Roman"/>
      <w:sz w:val="24"/>
      <w:lang w:val="en-US" w:eastAsia="en-US"/>
    </w:rPr>
  </w:style>
  <w:style w:type="paragraph" w:styleId="Footer">
    <w:name w:val="footer"/>
    <w:basedOn w:val="Normal"/>
    <w:link w:val="FooterChar"/>
    <w:rsid w:val="00EB0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EFF"/>
    <w:rPr>
      <w:rFonts w:ascii="Times New Roman" w:eastAsia="Times New Roman" w:hAnsi="Times New Roman" w:cs="Times New Roman"/>
      <w:sz w:val="16"/>
      <w:lang w:val="en-US" w:eastAsia="en-US"/>
    </w:rPr>
  </w:style>
  <w:style w:type="paragraph" w:styleId="List">
    <w:name w:val="List"/>
    <w:basedOn w:val="BodyText"/>
    <w:next w:val="BodyText"/>
    <w:rsid w:val="00EB0EFF"/>
    <w:pPr>
      <w:tabs>
        <w:tab w:val="left" w:pos="340"/>
      </w:tabs>
      <w:spacing w:before="60" w:after="60"/>
      <w:ind w:left="340" w:hanging="340"/>
    </w:pPr>
  </w:style>
  <w:style w:type="paragraph" w:styleId="ListBullet">
    <w:name w:val="List Bullet"/>
    <w:basedOn w:val="List"/>
    <w:rsid w:val="00EB0EFF"/>
    <w:pPr>
      <w:numPr>
        <w:numId w:val="12"/>
      </w:numPr>
      <w:tabs>
        <w:tab w:val="clear" w:pos="340"/>
      </w:tabs>
      <w:spacing w:before="40" w:after="40"/>
    </w:pPr>
  </w:style>
  <w:style w:type="character" w:customStyle="1" w:styleId="SpecialBold">
    <w:name w:val="Special Bold"/>
    <w:basedOn w:val="DefaultParagraphFont"/>
    <w:rsid w:val="00EB0EFF"/>
    <w:rPr>
      <w:b/>
      <w:spacing w:val="0"/>
    </w:rPr>
  </w:style>
  <w:style w:type="paragraph" w:styleId="Header">
    <w:name w:val="header"/>
    <w:basedOn w:val="Normal"/>
    <w:link w:val="HeaderChar"/>
    <w:rsid w:val="00EB0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E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0EFF"/>
    <w:pPr>
      <w:spacing w:before="240" w:after="120"/>
      <w:outlineLvl w:val="0"/>
    </w:pPr>
    <w:rPr>
      <w:rFonts w:ascii="Times New Roman" w:hAnsi="Times New Roman"/>
      <w:b/>
      <w:sz w:val="28"/>
    </w:rPr>
  </w:style>
  <w:style w:type="paragraph" w:customStyle="1" w:styleId="AllowPageBreak">
    <w:name w:val="AllowPageBreak"/>
    <w:rsid w:val="00EB0E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0EFF"/>
    <w:pPr>
      <w:tabs>
        <w:tab w:val="left" w:pos="680"/>
      </w:tabs>
      <w:spacing w:before="60" w:after="60"/>
      <w:ind w:left="680" w:hanging="340"/>
    </w:pPr>
  </w:style>
  <w:style w:type="character" w:customStyle="1" w:styleId="Heading2Char">
    <w:name w:val="Heading 2 Char"/>
    <w:basedOn w:val="DefaultParagraphFont"/>
    <w:link w:val="Heading2"/>
    <w:rsid w:val="00EB0E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E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E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E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E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0E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0EFF"/>
    <w:rPr>
      <w:rFonts w:ascii="Courier New" w:eastAsia="Times New Roman" w:hAnsi="Courier New" w:cs="Times New Roman"/>
      <w:i/>
      <w:szCs w:val="20"/>
      <w:lang w:val="en-US" w:eastAsia="en-US"/>
    </w:rPr>
  </w:style>
  <w:style w:type="paragraph" w:customStyle="1" w:styleId="HeadingBase">
    <w:name w:val="Heading Base"/>
    <w:rsid w:val="00EB0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EFF"/>
    <w:pPr>
      <w:tabs>
        <w:tab w:val="right" w:leader="dot" w:pos="9072"/>
      </w:tabs>
      <w:ind w:left="567"/>
    </w:pPr>
    <w:rPr>
      <w:szCs w:val="22"/>
    </w:rPr>
  </w:style>
  <w:style w:type="paragraph" w:customStyle="1" w:styleId="TOCBase">
    <w:name w:val="TOC Base"/>
    <w:rsid w:val="00EB0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EFF"/>
    <w:pPr>
      <w:tabs>
        <w:tab w:val="right" w:leader="dot" w:pos="9072"/>
      </w:tabs>
      <w:spacing w:before="40" w:after="40"/>
      <w:ind w:left="284"/>
    </w:pPr>
    <w:rPr>
      <w:rFonts w:ascii="Times New Roman" w:hAnsi="Times New Roman"/>
    </w:rPr>
  </w:style>
  <w:style w:type="paragraph" w:styleId="TOC1">
    <w:name w:val="toc 1"/>
    <w:basedOn w:val="TOCBase"/>
    <w:next w:val="Normal"/>
    <w:rsid w:val="00EB0E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EFF"/>
    <w:pPr>
      <w:spacing w:before="5040"/>
      <w:jc w:val="center"/>
    </w:pPr>
    <w:rPr>
      <w:sz w:val="48"/>
      <w:szCs w:val="72"/>
      <w:lang w:val="en-US"/>
    </w:rPr>
  </w:style>
  <w:style w:type="character" w:customStyle="1" w:styleId="TitleChar">
    <w:name w:val="Title Char"/>
    <w:basedOn w:val="DefaultParagraphFont"/>
    <w:link w:val="Title"/>
    <w:rsid w:val="00EB0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EFF"/>
    <w:pPr>
      <w:tabs>
        <w:tab w:val="left" w:pos="3600"/>
        <w:tab w:val="left" w:pos="3958"/>
      </w:tabs>
    </w:pPr>
  </w:style>
  <w:style w:type="paragraph" w:customStyle="1" w:styleId="Note">
    <w:name w:val="Note"/>
    <w:basedOn w:val="BodyText"/>
    <w:rsid w:val="00EB0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EFF"/>
    <w:pPr>
      <w:framePr w:wrap="auto" w:hAnchor="text" w:y="6049"/>
    </w:pPr>
    <w:rPr>
      <w:color w:val="000000"/>
      <w:sz w:val="40"/>
    </w:rPr>
  </w:style>
  <w:style w:type="paragraph" w:customStyle="1" w:styleId="TOCTitle">
    <w:name w:val="TOCTitle"/>
    <w:basedOn w:val="Heading1"/>
    <w:rsid w:val="00EB0EFF"/>
    <w:pPr>
      <w:spacing w:after="240"/>
      <w:jc w:val="center"/>
      <w:outlineLvl w:val="9"/>
    </w:pPr>
    <w:rPr>
      <w:caps/>
    </w:rPr>
  </w:style>
  <w:style w:type="paragraph" w:customStyle="1" w:styleId="Version">
    <w:name w:val="Version"/>
    <w:rsid w:val="00EB0E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EFF"/>
    <w:pPr>
      <w:numPr>
        <w:numId w:val="13"/>
      </w:numPr>
      <w:tabs>
        <w:tab w:val="clear" w:pos="680"/>
      </w:tabs>
    </w:pPr>
  </w:style>
  <w:style w:type="paragraph" w:styleId="Index1">
    <w:name w:val="index 1"/>
    <w:basedOn w:val="Normal"/>
    <w:next w:val="Normal"/>
    <w:semiHidden/>
    <w:rsid w:val="00EB0EFF"/>
    <w:pPr>
      <w:keepNext w:val="0"/>
      <w:tabs>
        <w:tab w:val="right" w:pos="4176"/>
      </w:tabs>
      <w:ind w:left="198" w:hanging="198"/>
    </w:pPr>
    <w:rPr>
      <w:rFonts w:ascii="Garamond" w:hAnsi="Garamond"/>
    </w:rPr>
  </w:style>
  <w:style w:type="paragraph" w:styleId="IndexHeading">
    <w:name w:val="index heading"/>
    <w:basedOn w:val="Normal"/>
    <w:next w:val="Index1"/>
    <w:semiHidden/>
    <w:rsid w:val="00EB0EFF"/>
    <w:pPr>
      <w:spacing w:before="120" w:after="120"/>
    </w:pPr>
    <w:rPr>
      <w:rFonts w:ascii="Arial" w:hAnsi="Arial"/>
      <w:b/>
      <w:color w:val="918585"/>
      <w:sz w:val="24"/>
    </w:rPr>
  </w:style>
  <w:style w:type="paragraph" w:customStyle="1" w:styleId="Chapter">
    <w:name w:val="Chapter"/>
    <w:basedOn w:val="Normal"/>
    <w:rsid w:val="00EB0EFF"/>
    <w:pPr>
      <w:spacing w:before="240"/>
    </w:pPr>
    <w:rPr>
      <w:rFonts w:ascii="Times New Roman" w:hAnsi="Times New Roman"/>
      <w:smallCaps/>
      <w:spacing w:val="80"/>
      <w:sz w:val="28"/>
    </w:rPr>
  </w:style>
  <w:style w:type="paragraph" w:customStyle="1" w:styleId="InChapter">
    <w:name w:val="InChapter"/>
    <w:basedOn w:val="Heading3"/>
    <w:rsid w:val="00EB0EFF"/>
    <w:pPr>
      <w:spacing w:after="240"/>
      <w:outlineLvl w:val="9"/>
    </w:pPr>
    <w:rPr>
      <w:noProof/>
    </w:rPr>
  </w:style>
  <w:style w:type="paragraph" w:styleId="Index2">
    <w:name w:val="index 2"/>
    <w:basedOn w:val="Normal"/>
    <w:next w:val="Normal"/>
    <w:semiHidden/>
    <w:rsid w:val="00EB0EFF"/>
    <w:pPr>
      <w:tabs>
        <w:tab w:val="right" w:pos="4176"/>
      </w:tabs>
      <w:ind w:left="568" w:hanging="284"/>
    </w:pPr>
    <w:rPr>
      <w:rFonts w:ascii="Garamond" w:hAnsi="Garamond"/>
    </w:rPr>
  </w:style>
  <w:style w:type="paragraph" w:customStyle="1" w:styleId="Byline">
    <w:name w:val="Byline"/>
    <w:rsid w:val="00EB0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EFF"/>
    <w:pPr>
      <w:tabs>
        <w:tab w:val="clear" w:pos="3600"/>
        <w:tab w:val="clear" w:pos="3958"/>
      </w:tabs>
      <w:jc w:val="right"/>
    </w:pPr>
  </w:style>
  <w:style w:type="character" w:styleId="Emphasis">
    <w:name w:val="Emphasis"/>
    <w:basedOn w:val="DefaultParagraphFont"/>
    <w:qFormat/>
    <w:rsid w:val="00EB0EFF"/>
    <w:rPr>
      <w:i/>
    </w:rPr>
  </w:style>
  <w:style w:type="paragraph" w:styleId="Caption">
    <w:name w:val="caption"/>
    <w:basedOn w:val="BodyText"/>
    <w:next w:val="Normal"/>
    <w:qFormat/>
    <w:rsid w:val="00EB0EFF"/>
    <w:pPr>
      <w:framePr w:w="2268" w:hSpace="181" w:vSpace="181" w:wrap="around" w:vAnchor="text" w:hAnchor="page" w:x="1135" w:y="285" w:anchorLock="1"/>
    </w:pPr>
    <w:rPr>
      <w:i/>
    </w:rPr>
  </w:style>
  <w:style w:type="paragraph" w:customStyle="1" w:styleId="MiniTOCTitle">
    <w:name w:val="MiniTOCTitle"/>
    <w:basedOn w:val="Heading4"/>
    <w:rsid w:val="00EB0EFF"/>
    <w:pPr>
      <w:spacing w:before="240"/>
      <w:outlineLvl w:val="9"/>
    </w:pPr>
    <w:rPr>
      <w:noProof/>
      <w:sz w:val="24"/>
    </w:rPr>
  </w:style>
  <w:style w:type="paragraph" w:customStyle="1" w:styleId="MiniTOCItem">
    <w:name w:val="MiniTOCItem"/>
    <w:basedOn w:val="ListBullet"/>
    <w:rsid w:val="00EB0EFF"/>
    <w:pPr>
      <w:numPr>
        <w:numId w:val="0"/>
      </w:numPr>
      <w:tabs>
        <w:tab w:val="right" w:leader="dot" w:pos="6521"/>
      </w:tabs>
      <w:spacing w:before="0" w:after="0"/>
    </w:pPr>
  </w:style>
  <w:style w:type="paragraph" w:customStyle="1" w:styleId="TOFTitle">
    <w:name w:val="TOFTitle"/>
    <w:basedOn w:val="TOCTitle"/>
    <w:rsid w:val="00EB0EFF"/>
  </w:style>
  <w:style w:type="paragraph" w:styleId="TableofFigures">
    <w:name w:val="table of figures"/>
    <w:basedOn w:val="Normal"/>
    <w:next w:val="Normal"/>
    <w:semiHidden/>
    <w:rsid w:val="00EB0EFF"/>
    <w:pPr>
      <w:tabs>
        <w:tab w:val="right" w:leader="dot" w:pos="9072"/>
      </w:tabs>
      <w:ind w:left="970" w:hanging="403"/>
    </w:pPr>
    <w:rPr>
      <w:rFonts w:ascii="Times New Roman" w:hAnsi="Times New Roman"/>
      <w:b/>
    </w:rPr>
  </w:style>
  <w:style w:type="paragraph" w:styleId="ListNumber">
    <w:name w:val="List Number"/>
    <w:basedOn w:val="List"/>
    <w:rsid w:val="00EB0EFF"/>
    <w:pPr>
      <w:numPr>
        <w:numId w:val="10"/>
      </w:numPr>
    </w:pPr>
  </w:style>
  <w:style w:type="character" w:customStyle="1" w:styleId="WingdingSymbols">
    <w:name w:val="Wingding Symbols"/>
    <w:rsid w:val="00EB0EFF"/>
    <w:rPr>
      <w:rFonts w:ascii="Wingdings" w:hAnsi="Wingdings"/>
    </w:rPr>
  </w:style>
  <w:style w:type="paragraph" w:customStyle="1" w:styleId="TableHeading">
    <w:name w:val="Table Heading"/>
    <w:basedOn w:val="HeadingBase"/>
    <w:rsid w:val="00EB0EFF"/>
    <w:pPr>
      <w:keepLines/>
      <w:pBdr>
        <w:bottom w:val="single" w:sz="6" w:space="1" w:color="918585"/>
      </w:pBdr>
      <w:spacing w:before="240"/>
    </w:pPr>
  </w:style>
  <w:style w:type="character" w:customStyle="1" w:styleId="HotSpot">
    <w:name w:val="HotSpot"/>
    <w:rsid w:val="00EB0EFF"/>
    <w:rPr>
      <w:color w:val="0033CC"/>
      <w:u w:val="none"/>
    </w:rPr>
  </w:style>
  <w:style w:type="paragraph" w:customStyle="1" w:styleId="BodyTextRight">
    <w:name w:val="Body Text Right"/>
    <w:basedOn w:val="BodyText"/>
    <w:rsid w:val="00EB0EFF"/>
    <w:pPr>
      <w:spacing w:before="0" w:after="0"/>
      <w:jc w:val="right"/>
    </w:pPr>
  </w:style>
  <w:style w:type="paragraph" w:styleId="Index3">
    <w:name w:val="index 3"/>
    <w:basedOn w:val="ListNumber2"/>
    <w:next w:val="Normal"/>
    <w:semiHidden/>
    <w:rsid w:val="00EB0EFF"/>
    <w:pPr>
      <w:numPr>
        <w:numId w:val="0"/>
      </w:numPr>
      <w:tabs>
        <w:tab w:val="right" w:leader="dot" w:pos="4176"/>
      </w:tabs>
    </w:pPr>
  </w:style>
  <w:style w:type="paragraph" w:styleId="ListNumber2">
    <w:name w:val="List Number 2"/>
    <w:basedOn w:val="List2"/>
    <w:rsid w:val="00EB0EFF"/>
    <w:pPr>
      <w:numPr>
        <w:numId w:val="9"/>
      </w:numPr>
      <w:tabs>
        <w:tab w:val="clear" w:pos="1060"/>
      </w:tabs>
    </w:pPr>
  </w:style>
  <w:style w:type="paragraph" w:customStyle="1" w:styleId="MarginNote">
    <w:name w:val="Margin Note"/>
    <w:basedOn w:val="BodyText"/>
    <w:rsid w:val="00EB0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E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0EFF"/>
    <w:rPr>
      <w:sz w:val="32"/>
    </w:rPr>
  </w:style>
  <w:style w:type="paragraph" w:customStyle="1" w:styleId="HeadingProcedure">
    <w:name w:val="Heading Procedure"/>
    <w:basedOn w:val="HeadingBase"/>
    <w:next w:val="Normal"/>
    <w:rsid w:val="00EB0EFF"/>
    <w:pPr>
      <w:tabs>
        <w:tab w:val="left" w:pos="0"/>
      </w:tabs>
      <w:spacing w:before="120" w:after="60"/>
    </w:pPr>
    <w:rPr>
      <w:i/>
      <w:color w:val="918585"/>
      <w:sz w:val="22"/>
    </w:rPr>
  </w:style>
  <w:style w:type="paragraph" w:customStyle="1" w:styleId="TableBodyText">
    <w:name w:val="Table Body Text"/>
    <w:basedOn w:val="BodyText"/>
    <w:rsid w:val="00EB0EFF"/>
    <w:pPr>
      <w:spacing w:before="60" w:after="60"/>
    </w:pPr>
  </w:style>
  <w:style w:type="paragraph" w:styleId="ListContinue">
    <w:name w:val="List Continue"/>
    <w:basedOn w:val="List"/>
    <w:rsid w:val="00EB0EFF"/>
    <w:pPr>
      <w:ind w:firstLine="0"/>
    </w:pPr>
  </w:style>
  <w:style w:type="paragraph" w:customStyle="1" w:styleId="ListNote">
    <w:name w:val="List Note"/>
    <w:basedOn w:val="List"/>
    <w:rsid w:val="00EB0EFF"/>
    <w:pPr>
      <w:pBdr>
        <w:top w:val="single" w:sz="6" w:space="2" w:color="918585"/>
        <w:bottom w:val="single" w:sz="6" w:space="2" w:color="918585"/>
      </w:pBdr>
      <w:tabs>
        <w:tab w:val="left" w:pos="1021"/>
      </w:tabs>
      <w:ind w:firstLine="0"/>
    </w:pPr>
  </w:style>
  <w:style w:type="paragraph" w:customStyle="1" w:styleId="Warning">
    <w:name w:val="Warning"/>
    <w:basedOn w:val="BodyText"/>
    <w:rsid w:val="00EB0EFF"/>
    <w:pPr>
      <w:shd w:val="clear" w:color="auto" w:fill="D9D9D9"/>
      <w:tabs>
        <w:tab w:val="left" w:pos="992"/>
      </w:tabs>
      <w:ind w:left="119" w:right="119"/>
    </w:pPr>
    <w:rPr>
      <w:sz w:val="20"/>
    </w:rPr>
  </w:style>
  <w:style w:type="paragraph" w:customStyle="1" w:styleId="MarginIcons">
    <w:name w:val="Margin Icons"/>
    <w:basedOn w:val="BodyText"/>
    <w:rsid w:val="00EB0E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EFF"/>
    <w:rPr>
      <w:rFonts w:ascii="Courier New" w:hAnsi="Courier New"/>
    </w:rPr>
  </w:style>
  <w:style w:type="paragraph" w:customStyle="1" w:styleId="NoteBullet">
    <w:name w:val="Note Bullet"/>
    <w:basedOn w:val="Note"/>
    <w:rsid w:val="00EB0EFF"/>
    <w:pPr>
      <w:tabs>
        <w:tab w:val="clear" w:pos="680"/>
      </w:tabs>
      <w:spacing w:before="60" w:after="60"/>
    </w:pPr>
  </w:style>
  <w:style w:type="paragraph" w:customStyle="1" w:styleId="SubHeading2">
    <w:name w:val="SubHeading2"/>
    <w:basedOn w:val="HeadingBase"/>
    <w:rsid w:val="00EB0EFF"/>
    <w:pPr>
      <w:spacing w:before="240" w:after="60"/>
    </w:pPr>
    <w:rPr>
      <w:sz w:val="20"/>
    </w:rPr>
  </w:style>
  <w:style w:type="paragraph" w:customStyle="1" w:styleId="SubHeading1">
    <w:name w:val="SubHeading1"/>
    <w:basedOn w:val="HeadingBase"/>
    <w:rsid w:val="00EB0EFF"/>
    <w:pPr>
      <w:spacing w:before="240" w:after="60"/>
    </w:pPr>
    <w:rPr>
      <w:color w:val="918585"/>
      <w:sz w:val="22"/>
    </w:rPr>
  </w:style>
  <w:style w:type="paragraph" w:customStyle="1" w:styleId="SideHeading">
    <w:name w:val="Side Heading"/>
    <w:basedOn w:val="HeadingBase"/>
    <w:rsid w:val="00EB0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EFF"/>
    <w:pPr>
      <w:tabs>
        <w:tab w:val="num" w:pos="360"/>
      </w:tabs>
    </w:pPr>
  </w:style>
  <w:style w:type="paragraph" w:styleId="PlainText">
    <w:name w:val="Plain Text"/>
    <w:basedOn w:val="Normal"/>
    <w:link w:val="PlainTextChar"/>
    <w:rsid w:val="00EB0EFF"/>
    <w:rPr>
      <w:sz w:val="20"/>
    </w:rPr>
  </w:style>
  <w:style w:type="character" w:customStyle="1" w:styleId="PlainTextChar">
    <w:name w:val="Plain Text Char"/>
    <w:basedOn w:val="DefaultParagraphFont"/>
    <w:link w:val="PlainText"/>
    <w:rsid w:val="00EB0E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0EFF"/>
    <w:rPr>
      <w:b/>
      <w:smallCaps/>
    </w:rPr>
  </w:style>
  <w:style w:type="paragraph" w:customStyle="1" w:styleId="TableListNumber">
    <w:name w:val="Table List Number"/>
    <w:basedOn w:val="ListNumber"/>
    <w:rsid w:val="00EB0EFF"/>
    <w:pPr>
      <w:numPr>
        <w:numId w:val="0"/>
      </w:numPr>
    </w:pPr>
  </w:style>
  <w:style w:type="paragraph" w:styleId="TOC4">
    <w:name w:val="toc 4"/>
    <w:basedOn w:val="TOCBase"/>
    <w:next w:val="Normal"/>
    <w:semiHidden/>
    <w:rsid w:val="00EB0EFF"/>
    <w:pPr>
      <w:tabs>
        <w:tab w:val="right" w:leader="dot" w:pos="9071"/>
      </w:tabs>
      <w:ind w:left="1701"/>
    </w:pPr>
  </w:style>
  <w:style w:type="paragraph" w:customStyle="1" w:styleId="ListAlpha">
    <w:name w:val="List Alpha"/>
    <w:basedOn w:val="List"/>
    <w:rsid w:val="00EB0EFF"/>
    <w:pPr>
      <w:numPr>
        <w:numId w:val="8"/>
      </w:numPr>
    </w:pPr>
  </w:style>
  <w:style w:type="paragraph" w:customStyle="1" w:styleId="ListAlpha2">
    <w:name w:val="List Alpha 2"/>
    <w:basedOn w:val="List2"/>
    <w:rsid w:val="00EB0EFF"/>
    <w:pPr>
      <w:numPr>
        <w:numId w:val="7"/>
      </w:numPr>
    </w:pPr>
  </w:style>
  <w:style w:type="paragraph" w:styleId="List3">
    <w:name w:val="List 3"/>
    <w:basedOn w:val="BodyText"/>
    <w:rsid w:val="00EB0EFF"/>
    <w:pPr>
      <w:tabs>
        <w:tab w:val="left" w:pos="1021"/>
      </w:tabs>
      <w:spacing w:before="60" w:after="60"/>
      <w:ind w:left="1020" w:hanging="340"/>
    </w:pPr>
  </w:style>
  <w:style w:type="paragraph" w:styleId="List4">
    <w:name w:val="List 4"/>
    <w:basedOn w:val="BodyText"/>
    <w:rsid w:val="00EB0EFF"/>
    <w:pPr>
      <w:tabs>
        <w:tab w:val="left" w:pos="1361"/>
      </w:tabs>
      <w:spacing w:before="60" w:after="60"/>
      <w:ind w:left="1361" w:hanging="340"/>
    </w:pPr>
  </w:style>
  <w:style w:type="paragraph" w:styleId="List5">
    <w:name w:val="List 5"/>
    <w:basedOn w:val="BodyText"/>
    <w:rsid w:val="00EB0EFF"/>
    <w:pPr>
      <w:tabs>
        <w:tab w:val="left" w:pos="1701"/>
      </w:tabs>
      <w:spacing w:before="60" w:after="60"/>
      <w:ind w:left="1701" w:hanging="340"/>
    </w:pPr>
  </w:style>
  <w:style w:type="paragraph" w:styleId="ListBullet3">
    <w:name w:val="List Bullet 3"/>
    <w:basedOn w:val="List3"/>
    <w:rsid w:val="00EB0EFF"/>
    <w:pPr>
      <w:numPr>
        <w:numId w:val="14"/>
      </w:numPr>
      <w:tabs>
        <w:tab w:val="clear" w:pos="1021"/>
      </w:tabs>
      <w:ind w:left="1037" w:hanging="357"/>
    </w:pPr>
  </w:style>
  <w:style w:type="paragraph" w:styleId="ListBullet4">
    <w:name w:val="List Bullet 4"/>
    <w:basedOn w:val="List4"/>
    <w:rsid w:val="00EB0EFF"/>
    <w:pPr>
      <w:numPr>
        <w:numId w:val="2"/>
      </w:numPr>
    </w:pPr>
  </w:style>
  <w:style w:type="paragraph" w:styleId="ListBullet5">
    <w:name w:val="List Bullet 5"/>
    <w:basedOn w:val="List5"/>
    <w:rsid w:val="00EB0EFF"/>
    <w:pPr>
      <w:numPr>
        <w:numId w:val="3"/>
      </w:numPr>
    </w:pPr>
  </w:style>
  <w:style w:type="paragraph" w:styleId="ListContinue2">
    <w:name w:val="List Continue 2"/>
    <w:basedOn w:val="List2"/>
    <w:rsid w:val="00EB0EFF"/>
    <w:pPr>
      <w:ind w:firstLine="0"/>
    </w:pPr>
  </w:style>
  <w:style w:type="paragraph" w:styleId="ListContinue3">
    <w:name w:val="List Continue 3"/>
    <w:basedOn w:val="List3"/>
    <w:rsid w:val="00EB0EFF"/>
    <w:pPr>
      <w:ind w:left="1021" w:firstLine="0"/>
    </w:pPr>
  </w:style>
  <w:style w:type="paragraph" w:styleId="ListContinue4">
    <w:name w:val="List Continue 4"/>
    <w:basedOn w:val="List4"/>
    <w:rsid w:val="00EB0EFF"/>
    <w:pPr>
      <w:ind w:firstLine="0"/>
    </w:pPr>
  </w:style>
  <w:style w:type="paragraph" w:styleId="ListContinue5">
    <w:name w:val="List Continue 5"/>
    <w:basedOn w:val="List5"/>
    <w:rsid w:val="00EB0EFF"/>
    <w:pPr>
      <w:ind w:firstLine="0"/>
    </w:pPr>
  </w:style>
  <w:style w:type="paragraph" w:styleId="ListNumber3">
    <w:name w:val="List Number 3"/>
    <w:basedOn w:val="List3"/>
    <w:rsid w:val="00EB0EFF"/>
    <w:pPr>
      <w:numPr>
        <w:numId w:val="4"/>
      </w:numPr>
    </w:pPr>
  </w:style>
  <w:style w:type="paragraph" w:styleId="ListNumber4">
    <w:name w:val="List Number 4"/>
    <w:basedOn w:val="List4"/>
    <w:rsid w:val="00EB0EFF"/>
    <w:pPr>
      <w:numPr>
        <w:numId w:val="5"/>
      </w:numPr>
    </w:pPr>
  </w:style>
  <w:style w:type="paragraph" w:styleId="ListNumber5">
    <w:name w:val="List Number 5"/>
    <w:basedOn w:val="List5"/>
    <w:rsid w:val="00EB0EFF"/>
    <w:pPr>
      <w:numPr>
        <w:numId w:val="6"/>
      </w:numPr>
    </w:pPr>
  </w:style>
  <w:style w:type="paragraph" w:styleId="BlockText">
    <w:name w:val="Block Text"/>
    <w:basedOn w:val="Normal"/>
    <w:rsid w:val="00EB0EFF"/>
    <w:pPr>
      <w:spacing w:after="120"/>
      <w:ind w:left="1440" w:right="1440"/>
    </w:pPr>
  </w:style>
  <w:style w:type="character" w:customStyle="1" w:styleId="Subscript">
    <w:name w:val="Subscript"/>
    <w:basedOn w:val="DefaultParagraphFont"/>
    <w:rsid w:val="00EB0EFF"/>
    <w:rPr>
      <w:sz w:val="16"/>
      <w:vertAlign w:val="subscript"/>
    </w:rPr>
  </w:style>
  <w:style w:type="character" w:customStyle="1" w:styleId="Superscript">
    <w:name w:val="Superscript"/>
    <w:basedOn w:val="DefaultParagraphFont"/>
    <w:rsid w:val="00EB0EFF"/>
    <w:rPr>
      <w:sz w:val="16"/>
      <w:vertAlign w:val="superscript"/>
    </w:rPr>
  </w:style>
  <w:style w:type="character" w:customStyle="1" w:styleId="Symbols">
    <w:name w:val="Symbols"/>
    <w:basedOn w:val="DefaultParagraphFont"/>
    <w:rsid w:val="00EB0EFF"/>
    <w:rPr>
      <w:rFonts w:ascii="Symbol" w:hAnsi="Symbol"/>
    </w:rPr>
  </w:style>
  <w:style w:type="character" w:customStyle="1" w:styleId="MenuOptions">
    <w:name w:val="Menu Options"/>
    <w:basedOn w:val="DefaultParagraphFont"/>
    <w:rsid w:val="00EB0EFF"/>
    <w:rPr>
      <w:rFonts w:ascii="Arial Narrow" w:hAnsi="Arial Narrow"/>
      <w:smallCaps/>
    </w:rPr>
  </w:style>
  <w:style w:type="character" w:customStyle="1" w:styleId="Buttons">
    <w:name w:val="Buttons"/>
    <w:basedOn w:val="DefaultParagraphFont"/>
    <w:rsid w:val="00EB0EFF"/>
    <w:rPr>
      <w:b/>
    </w:rPr>
  </w:style>
  <w:style w:type="character" w:customStyle="1" w:styleId="Underlined">
    <w:name w:val="Underlined"/>
    <w:basedOn w:val="DefaultParagraphFont"/>
    <w:rsid w:val="00EB0EFF"/>
    <w:rPr>
      <w:u w:val="single"/>
    </w:rPr>
  </w:style>
  <w:style w:type="paragraph" w:customStyle="1" w:styleId="TableBodyTextRight">
    <w:name w:val="Table Body Text Right"/>
    <w:basedOn w:val="TableBodyText"/>
    <w:rsid w:val="00EB0EFF"/>
    <w:pPr>
      <w:widowControl w:val="0"/>
      <w:autoSpaceDE w:val="0"/>
      <w:autoSpaceDN w:val="0"/>
      <w:adjustRightInd w:val="0"/>
      <w:jc w:val="right"/>
    </w:pPr>
    <w:rPr>
      <w:rFonts w:cs="Arial"/>
      <w:szCs w:val="18"/>
    </w:rPr>
  </w:style>
  <w:style w:type="paragraph" w:customStyle="1" w:styleId="CopyrightText">
    <w:name w:val="Copyright Text"/>
    <w:basedOn w:val="BodyText"/>
    <w:rsid w:val="00EB0EFF"/>
    <w:rPr>
      <w:sz w:val="18"/>
    </w:rPr>
  </w:style>
  <w:style w:type="paragraph" w:customStyle="1" w:styleId="BodySmallRight">
    <w:name w:val="Body Small Right"/>
    <w:basedOn w:val="BodyTextRight"/>
    <w:rsid w:val="00EB0EFF"/>
    <w:rPr>
      <w:sz w:val="18"/>
      <w:szCs w:val="18"/>
    </w:rPr>
  </w:style>
  <w:style w:type="paragraph" w:customStyle="1" w:styleId="MarginEdition">
    <w:name w:val="Margin Edition"/>
    <w:basedOn w:val="MarginNote"/>
    <w:rsid w:val="00EB0EFF"/>
    <w:pPr>
      <w:spacing w:before="0" w:after="0"/>
    </w:pPr>
    <w:rPr>
      <w:rFonts w:ascii="Times New Roman" w:hAnsi="Times New Roman"/>
      <w:color w:val="999999"/>
    </w:rPr>
  </w:style>
  <w:style w:type="paragraph" w:customStyle="1" w:styleId="Spacer">
    <w:name w:val="Spacer"/>
    <w:basedOn w:val="Normal"/>
    <w:rsid w:val="00EB0EFF"/>
    <w:rPr>
      <w:sz w:val="2"/>
      <w:szCs w:val="2"/>
    </w:rPr>
  </w:style>
  <w:style w:type="character" w:customStyle="1" w:styleId="Small">
    <w:name w:val="Small"/>
    <w:basedOn w:val="DefaultParagraphFont"/>
    <w:rsid w:val="00EB0EFF"/>
    <w:rPr>
      <w:sz w:val="16"/>
    </w:rPr>
  </w:style>
  <w:style w:type="paragraph" w:customStyle="1" w:styleId="WideTable">
    <w:name w:val="Wide Table"/>
    <w:basedOn w:val="Normal"/>
    <w:rsid w:val="00EB0EFF"/>
    <w:pPr>
      <w:ind w:left="-1418"/>
    </w:pPr>
    <w:rPr>
      <w:sz w:val="2"/>
      <w:szCs w:val="2"/>
    </w:rPr>
  </w:style>
  <w:style w:type="character" w:styleId="PageNumber">
    <w:name w:val="page number"/>
    <w:basedOn w:val="DefaultParagraphFont"/>
    <w:rsid w:val="00EB0EFF"/>
  </w:style>
  <w:style w:type="paragraph" w:styleId="Quote">
    <w:name w:val="Quote"/>
    <w:basedOn w:val="Heading1"/>
    <w:link w:val="QuoteChar"/>
    <w:qFormat/>
    <w:rsid w:val="00EB0EFF"/>
    <w:rPr>
      <w:b w:val="0"/>
      <w:sz w:val="72"/>
      <w:szCs w:val="72"/>
      <w:lang w:val="en-NZ"/>
    </w:rPr>
  </w:style>
  <w:style w:type="character" w:customStyle="1" w:styleId="QuoteChar">
    <w:name w:val="Quote Char"/>
    <w:basedOn w:val="DefaultParagraphFont"/>
    <w:link w:val="Quote"/>
    <w:rsid w:val="00EB0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EFF"/>
    <w:pPr>
      <w:pageBreakBefore/>
    </w:pPr>
  </w:style>
  <w:style w:type="paragraph" w:customStyle="1" w:styleId="Border">
    <w:name w:val="Border"/>
    <w:basedOn w:val="Normal"/>
    <w:qFormat/>
    <w:rsid w:val="00EB0E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EFF"/>
    <w:rPr>
      <w:b/>
      <w:bCs/>
      <w:i/>
      <w:iCs/>
      <w:color w:val="auto"/>
    </w:rPr>
  </w:style>
  <w:style w:type="paragraph" w:styleId="IntenseQuote">
    <w:name w:val="Intense Quote"/>
    <w:basedOn w:val="Normal"/>
    <w:next w:val="Normal"/>
    <w:link w:val="IntenseQuoteChar"/>
    <w:uiPriority w:val="30"/>
    <w:qFormat/>
    <w:rsid w:val="00EB0E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E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0EFF"/>
    <w:rPr>
      <w:smallCaps/>
      <w:color w:val="auto"/>
      <w:u w:val="single"/>
    </w:rPr>
  </w:style>
  <w:style w:type="character" w:styleId="IntenseReference">
    <w:name w:val="Intense Reference"/>
    <w:basedOn w:val="DefaultParagraphFont"/>
    <w:uiPriority w:val="32"/>
    <w:qFormat/>
    <w:rsid w:val="00EB0EFF"/>
    <w:rPr>
      <w:b/>
      <w:bCs/>
      <w:smallCaps/>
      <w:color w:val="auto"/>
      <w:spacing w:val="5"/>
      <w:u w:val="single"/>
    </w:rPr>
  </w:style>
  <w:style w:type="paragraph" w:customStyle="1" w:styleId="2ColumnHeading">
    <w:name w:val="2Column Heading"/>
    <w:basedOn w:val="BodyText"/>
    <w:qFormat/>
    <w:rsid w:val="00EB0EFF"/>
    <w:pPr>
      <w:spacing w:after="60"/>
      <w:ind w:left="-2268"/>
    </w:pPr>
    <w:rPr>
      <w:b/>
    </w:rPr>
  </w:style>
  <w:style w:type="paragraph" w:customStyle="1" w:styleId="Heading1TOC">
    <w:name w:val="Heading1 TOC"/>
    <w:basedOn w:val="Normal"/>
    <w:qFormat/>
    <w:rsid w:val="00EB0EFF"/>
    <w:pPr>
      <w:spacing w:before="240" w:after="120"/>
    </w:pPr>
    <w:rPr>
      <w:rFonts w:ascii="Times New Roman" w:hAnsi="Times New Roman"/>
      <w:b/>
      <w:sz w:val="32"/>
    </w:rPr>
  </w:style>
  <w:style w:type="paragraph" w:customStyle="1" w:styleId="Heading2TOC">
    <w:name w:val="Heading2 TOC"/>
    <w:basedOn w:val="Normal"/>
    <w:qFormat/>
    <w:rsid w:val="00EB0EFF"/>
    <w:pPr>
      <w:spacing w:before="240" w:after="60"/>
    </w:pPr>
    <w:rPr>
      <w:rFonts w:ascii="Times New Roman" w:hAnsi="Times New Roman"/>
      <w:b/>
      <w:sz w:val="28"/>
    </w:rPr>
  </w:style>
  <w:style w:type="character" w:customStyle="1" w:styleId="Underline">
    <w:name w:val="Underline"/>
    <w:basedOn w:val="DefaultParagraphFont"/>
    <w:qFormat/>
    <w:rsid w:val="00EB0EFF"/>
    <w:rPr>
      <w:u w:val="single"/>
    </w:rPr>
  </w:style>
  <w:style w:type="character" w:customStyle="1" w:styleId="BoldandItalics">
    <w:name w:val="Bold and Italics"/>
    <w:qFormat/>
    <w:rsid w:val="00EB0EFF"/>
    <w:rPr>
      <w:b/>
      <w:i/>
      <w:u w:val="none"/>
    </w:rPr>
  </w:style>
  <w:style w:type="paragraph" w:styleId="BalloonText">
    <w:name w:val="Balloon Text"/>
    <w:basedOn w:val="Normal"/>
    <w:link w:val="BalloonTextChar"/>
    <w:rsid w:val="00EB0EFF"/>
    <w:rPr>
      <w:rFonts w:ascii="Tahoma" w:hAnsi="Tahoma" w:cs="Tahoma"/>
      <w:sz w:val="16"/>
      <w:szCs w:val="16"/>
    </w:rPr>
  </w:style>
  <w:style w:type="character" w:customStyle="1" w:styleId="BalloonTextChar">
    <w:name w:val="Balloon Text Char"/>
    <w:basedOn w:val="DefaultParagraphFont"/>
    <w:link w:val="BalloonText"/>
    <w:rsid w:val="00EB0E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0E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E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995</Words>
  <Characters>6170</Characters>
  <Application>Microsoft Office Word</Application>
  <DocSecurity>0</DocSecurity>
  <Lines>228</Lines>
  <Paragraphs>109</Paragraphs>
  <ScaleCrop>false</ScaleCrop>
  <Company>Author-it Software Corporation Ltd.</Company>
  <LinksUpToDate>false</LinksUpToDate>
  <CharactersWithSpaces>7083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MEM07011B Perform complex milling operations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2012-05-27T01:34:00Z</dcterms:created>
  <dcterms:modified xsi:type="dcterms:W3CDTF">2012-05-27T01:34:00Z</dcterms:modified>
</cp:coreProperties>
</file>