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AE2" w:rsidP="00813AE2">
      <w:pPr>
        <w:pStyle w:val="Title"/>
      </w:pPr>
      <w:r>
        <w:fldChar w:fldCharType="begin"/>
      </w:r>
      <w:r>
        <w:instrText xml:space="preserve"> TITLE   \* MERGEFORMAT </w:instrText>
      </w:r>
      <w:r>
        <w:fldChar w:fldCharType="separate"/>
      </w:r>
      <w:r>
        <w:t>MEM07009B Perform precision jig boring operations</w:t>
      </w:r>
      <w:r>
        <w:fldChar w:fldCharType="end"/>
      </w:r>
    </w:p>
    <w:p w:rsidR="00813AE2" w:rsidP="00813AE2">
      <w:pPr>
        <w:pStyle w:val="Version"/>
        <w:sectPr w:rsidSect="00C15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341" w:rsidP="00C15341">
      <w:pPr>
        <w:pStyle w:val="SuperHeading"/>
      </w:pPr>
      <w:r w:rsidRPr="00C15341">
        <w:t>MEM07009B Perform precision jig boring operations</w:t>
      </w:r>
    </w:p>
    <w:p w:rsidR="00000000" w:rsidRPr="00C15341" w:rsidP="00C15341">
      <w:pPr>
        <w:pStyle w:val="Heading1"/>
      </w:pPr>
      <w:bookmarkStart w:id="1" w:name="O_272056"/>
      <w:bookmarkEnd w:id="1"/>
      <w:r w:rsidRPr="00C15341">
        <w:t>Modification History</w:t>
      </w:r>
    </w:p>
    <w:p w:rsidR="00000000" w:rsidRPr="00C15341" w:rsidP="00C15341">
      <w:pPr>
        <w:pStyle w:val="BodyText"/>
      </w:pPr>
      <w:r w:rsidRPr="00C15341">
        <w:t>Not Applicable</w:t>
      </w:r>
    </w:p>
    <w:p w:rsidR="00000000" w:rsidRPr="00C15341" w:rsidP="00C15341">
      <w:pPr>
        <w:pStyle w:val="AllowPageBreak"/>
      </w:pPr>
    </w:p>
    <w:p w:rsidR="00000000" w:rsidRPr="00C15341" w:rsidP="00C15341">
      <w:pPr>
        <w:pStyle w:val="Heading1"/>
      </w:pPr>
      <w:bookmarkStart w:id="2" w:name="O_210830"/>
      <w:bookmarkEnd w:id="2"/>
      <w:r w:rsidRPr="00C15341">
        <w:t>Unit Descriptor</w:t>
      </w:r>
    </w:p>
    <w:tbl>
      <w:tblPr>
        <w:tblW w:w="0" w:type="auto"/>
        <w:tblLayout w:type="fixed"/>
        <w:tblCellMar>
          <w:left w:w="62" w:type="dxa"/>
          <w:right w:w="62" w:type="dxa"/>
        </w:tblCellMar>
        <w:tblLook w:val="0000"/>
      </w:tblPr>
      <w:tblGrid>
        <w:gridCol w:w="2673"/>
        <w:gridCol w:w="5849"/>
      </w:tblGrid>
      <w:tr w:rsidTr="00813AE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This unit covers performing precision jig boring operations using a range of jig boring and milling m</w:t>
            </w:r>
            <w:r w:rsidRPr="00C15341">
              <w:t>achines.</w:t>
            </w:r>
          </w:p>
        </w:tc>
      </w:tr>
    </w:tbl>
    <w:p w:rsidR="00813AE2" w:rsidP="00C15341">
      <w:pPr>
        <w:pStyle w:val="BodyText"/>
      </w:pPr>
    </w:p>
    <w:p w:rsidR="00813AE2" w:rsidP="00C15341">
      <w:pPr>
        <w:pStyle w:val="BodyText"/>
      </w:pPr>
    </w:p>
    <w:p w:rsidR="00000000" w:rsidRPr="00C15341" w:rsidP="00C15341">
      <w:pPr>
        <w:pStyle w:val="Heading1"/>
      </w:pPr>
      <w:bookmarkStart w:id="3" w:name="O_210834"/>
      <w:bookmarkEnd w:id="3"/>
      <w:r w:rsidRPr="00C15341">
        <w:t>Application of the Unit</w:t>
      </w:r>
    </w:p>
    <w:tbl>
      <w:tblPr>
        <w:tblW w:w="0" w:type="auto"/>
        <w:tblLayout w:type="fixed"/>
        <w:tblCellMar>
          <w:left w:w="62" w:type="dxa"/>
          <w:right w:w="62" w:type="dxa"/>
        </w:tblCellMar>
        <w:tblLook w:val="0000"/>
      </w:tblPr>
      <w:tblGrid>
        <w:gridCol w:w="2745"/>
        <w:gridCol w:w="5777"/>
      </w:tblGrid>
      <w:tr w:rsidTr="00813AE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This unit applies to operations where a range of jig boring and milling machines, tools and accessories are used to achieve a high level of precision in finished products.</w:t>
            </w:r>
          </w:p>
          <w:p w:rsidR="00000000" w:rsidRPr="00C15341" w:rsidP="00C15341">
            <w:pPr>
              <w:pStyle w:val="BodyText"/>
            </w:pPr>
          </w:p>
          <w:p w:rsidR="00000000" w:rsidRPr="00C15341" w:rsidP="00C15341">
            <w:pPr>
              <w:pStyle w:val="BodyText"/>
            </w:pPr>
            <w:r w:rsidRPr="00C15341">
              <w:rPr>
                <w:rStyle w:val="SpecialBold"/>
              </w:rPr>
              <w:t>Band</w:t>
            </w:r>
            <w:r w:rsidRPr="00C15341">
              <w:t>:</w:t>
            </w:r>
            <w:r w:rsidRPr="00C15341">
              <w:tab/>
            </w:r>
            <w:r w:rsidRPr="00C15341">
              <w:rPr>
                <w:rStyle w:val="SpecialBold"/>
              </w:rPr>
              <w:t>A</w:t>
            </w:r>
          </w:p>
          <w:p w:rsidR="00000000" w:rsidRPr="00C15341" w:rsidP="00C15341">
            <w:pPr>
              <w:pStyle w:val="BodyText"/>
            </w:pPr>
            <w:r w:rsidRPr="00C15341">
              <w:rPr>
                <w:rStyle w:val="SpecialBold"/>
              </w:rPr>
              <w:t>Unit Weight</w:t>
            </w:r>
            <w:r w:rsidRPr="00C15341">
              <w:t>:</w:t>
            </w:r>
            <w:r w:rsidRPr="00C15341">
              <w:tab/>
            </w:r>
            <w:r w:rsidRPr="00C15341">
              <w:rPr>
                <w:rStyle w:val="SpecialBold"/>
              </w:rPr>
              <w:t>4</w:t>
            </w:r>
          </w:p>
        </w:tc>
      </w:tr>
    </w:tbl>
    <w:p w:rsidR="00813AE2" w:rsidP="00C15341">
      <w:pPr>
        <w:pStyle w:val="BodyText"/>
      </w:pPr>
    </w:p>
    <w:p w:rsidR="00813AE2" w:rsidP="00C15341">
      <w:pPr>
        <w:pStyle w:val="BodyText"/>
      </w:pPr>
    </w:p>
    <w:p w:rsidR="00000000" w:rsidRPr="00C15341" w:rsidP="00C15341">
      <w:pPr>
        <w:pStyle w:val="Heading1"/>
      </w:pPr>
      <w:bookmarkStart w:id="4" w:name="O_280316"/>
      <w:bookmarkEnd w:id="4"/>
      <w:r w:rsidRPr="00C15341">
        <w:t>Licensing/Regulatory Information</w:t>
      </w:r>
    </w:p>
    <w:p w:rsidR="00000000" w:rsidRPr="00C15341" w:rsidP="00C15341">
      <w:pPr>
        <w:pStyle w:val="BodyText"/>
      </w:pPr>
      <w:r w:rsidRPr="00C15341">
        <w:t>Not Applicable</w:t>
      </w:r>
    </w:p>
    <w:p w:rsidR="00000000" w:rsidRPr="00C15341" w:rsidP="00C15341">
      <w:pPr>
        <w:pStyle w:val="AllowPageBreak"/>
      </w:pPr>
    </w:p>
    <w:p w:rsidR="00000000" w:rsidRPr="00C15341" w:rsidP="00C15341">
      <w:pPr>
        <w:pStyle w:val="Heading1"/>
      </w:pPr>
      <w:bookmarkStart w:id="5" w:name="O_210832"/>
      <w:bookmarkEnd w:id="5"/>
      <w:r w:rsidRPr="00C15341">
        <w:t>Pre-Requisites</w:t>
      </w:r>
    </w:p>
    <w:tbl>
      <w:tblPr>
        <w:tblW w:w="0" w:type="auto"/>
        <w:tblLayout w:type="fixed"/>
        <w:tblCellMar>
          <w:left w:w="62" w:type="dxa"/>
          <w:right w:w="62" w:type="dxa"/>
        </w:tblCellMar>
        <w:tblLook w:val="0000"/>
      </w:tblPr>
      <w:tblGrid>
        <w:gridCol w:w="2712"/>
        <w:gridCol w:w="2207"/>
        <w:gridCol w:w="3603"/>
      </w:tblGrid>
      <w:tr w:rsidTr="00813AE2">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Perform general machining</w:t>
            </w: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MEM07007C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Perform milling operations</w:t>
            </w: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Interpret technical drawing</w:t>
            </w: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MEM12003B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Perform precision mechanical measurement</w:t>
            </w: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Perform engineering measurements</w:t>
            </w:r>
          </w:p>
        </w:tc>
      </w:tr>
      <w:tr w:rsidTr="00813AE2">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Use hand tools</w:t>
            </w:r>
          </w:p>
        </w:tc>
      </w:tr>
    </w:tbl>
    <w:p w:rsidR="00813AE2" w:rsidP="00C15341">
      <w:pPr>
        <w:pStyle w:val="BodyText"/>
      </w:pPr>
    </w:p>
    <w:p w:rsidR="00813AE2" w:rsidP="00C15341">
      <w:pPr>
        <w:pStyle w:val="BodyText"/>
      </w:pPr>
    </w:p>
    <w:p w:rsidR="00000000" w:rsidRPr="00C15341" w:rsidP="00C15341">
      <w:pPr>
        <w:pStyle w:val="Heading1"/>
      </w:pPr>
      <w:bookmarkStart w:id="6" w:name="O_210831"/>
      <w:bookmarkEnd w:id="6"/>
      <w:r w:rsidRPr="00C15341">
        <w:t>Employability Skills Information</w:t>
      </w:r>
    </w:p>
    <w:tbl>
      <w:tblPr>
        <w:tblW w:w="0" w:type="auto"/>
        <w:tblLayout w:type="fixed"/>
        <w:tblCellMar>
          <w:left w:w="62" w:type="dxa"/>
          <w:right w:w="62" w:type="dxa"/>
        </w:tblCellMar>
        <w:tblLook w:val="0000"/>
      </w:tblPr>
      <w:tblGrid>
        <w:gridCol w:w="2802"/>
        <w:gridCol w:w="5720"/>
      </w:tblGrid>
      <w:tr w:rsidTr="00813A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This unit contains employability skills.</w:t>
            </w:r>
          </w:p>
        </w:tc>
      </w:tr>
    </w:tbl>
    <w:p w:rsidR="00813AE2" w:rsidP="00C15341">
      <w:pPr>
        <w:pStyle w:val="BodyText"/>
      </w:pPr>
    </w:p>
    <w:p w:rsidR="00813AE2" w:rsidP="00C15341">
      <w:pPr>
        <w:pStyle w:val="BodyText"/>
      </w:pPr>
    </w:p>
    <w:p w:rsidR="00000000" w:rsidRPr="00C15341" w:rsidP="00C15341">
      <w:pPr>
        <w:pStyle w:val="Heading1"/>
      </w:pPr>
      <w:bookmarkStart w:id="7" w:name="O_290102"/>
      <w:bookmarkEnd w:id="7"/>
      <w:r w:rsidRPr="00C15341">
        <w:t>Elements and Performance Criteria Pre-Content</w:t>
      </w:r>
    </w:p>
    <w:tbl>
      <w:tblPr>
        <w:tblW w:w="0" w:type="auto"/>
        <w:tblLayout w:type="fixed"/>
        <w:tblCellMar>
          <w:left w:w="62" w:type="dxa"/>
          <w:right w:w="62" w:type="dxa"/>
        </w:tblCellMar>
        <w:tblLook w:val="0000"/>
      </w:tblPr>
      <w:tblGrid>
        <w:gridCol w:w="2570"/>
        <w:gridCol w:w="5952"/>
      </w:tblGrid>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 xml:space="preserve">Performance criteria describe the performance needed to demonstrate achievement of </w:t>
            </w:r>
            <w:r w:rsidRPr="00C15341">
              <w:t>the element. Where bold italicised text is used, further information is detailed in the required skills and knowledge section and the range statement. Assessment of performance is to be consistent with the evidence guide.</w:t>
            </w:r>
          </w:p>
        </w:tc>
      </w:tr>
    </w:tbl>
    <w:p w:rsidR="00000000" w:rsidRPr="00C15341" w:rsidP="00C15341">
      <w:pPr>
        <w:pStyle w:val="BodyText"/>
      </w:pPr>
    </w:p>
    <w:p w:rsidR="00000000" w:rsidRPr="00C15341" w:rsidP="00C15341">
      <w:pPr>
        <w:pStyle w:val="AllowPageBreak"/>
      </w:pPr>
    </w:p>
    <w:p w:rsidR="00000000" w:rsidRPr="00C15341" w:rsidP="00C15341">
      <w:pPr>
        <w:pStyle w:val="Heading1"/>
      </w:pPr>
      <w:bookmarkStart w:id="8" w:name="O_236769"/>
      <w:bookmarkEnd w:id="8"/>
      <w:r w:rsidRPr="00C15341">
        <w:t>Elements and Pe</w:t>
      </w:r>
      <w:r w:rsidRPr="00C15341">
        <w:t>rformance Criteria</w:t>
      </w:r>
    </w:p>
    <w:tbl>
      <w:tblPr>
        <w:tblW w:w="0" w:type="auto"/>
        <w:tblLayout w:type="fixed"/>
        <w:tblCellMar>
          <w:left w:w="62" w:type="dxa"/>
          <w:right w:w="62" w:type="dxa"/>
        </w:tblCellMar>
        <w:tblLook w:val="0000"/>
      </w:tblPr>
      <w:tblGrid>
        <w:gridCol w:w="2570"/>
        <w:gridCol w:w="5952"/>
      </w:tblGrid>
      <w:tr w:rsidTr="00813AE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PERFORMANCE CRITERIA</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1.</w:t>
            </w:r>
            <w:r w:rsidRPr="00C15341">
              <w:tab/>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2"/>
              <w:rPr>
                <w:lang w:val="en-NZ"/>
              </w:rPr>
            </w:pPr>
            <w:r w:rsidRPr="00C15341">
              <w:t>1.1.</w:t>
            </w:r>
            <w:r w:rsidRPr="00C15341">
              <w:tab/>
              <w:t>Correct safety procedures are observed and protective clothing and safety glasses are worn.</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2.</w:t>
            </w:r>
            <w:r w:rsidRPr="00C15341">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2"/>
              <w:rPr>
                <w:lang w:val="en-NZ"/>
              </w:rPr>
            </w:pPr>
            <w:r w:rsidRPr="00C15341">
              <w:t>2.1.</w:t>
            </w:r>
            <w:r w:rsidRPr="00C15341">
              <w:tab/>
              <w:t>Drawings are inter</w:t>
            </w:r>
            <w:r w:rsidRPr="00C15341">
              <w:t>preted and sequence of operations is determined.</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3.</w:t>
            </w:r>
            <w:r w:rsidRPr="00C15341">
              <w:tab/>
              <w:t>Select appropriate tools and accessories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2"/>
              <w:rPr>
                <w:lang w:val="en-NZ"/>
              </w:rPr>
            </w:pPr>
            <w:r w:rsidRPr="00C15341">
              <w:t>3.1.</w:t>
            </w:r>
            <w:r w:rsidRPr="00C15341">
              <w:tab/>
              <w:t>Tools and accessories are selected in accordance with standard operating procedures to meet job specifications.</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4.</w:t>
            </w:r>
            <w:r w:rsidRPr="00C15341">
              <w:tab/>
              <w:t>Mount job</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2"/>
              <w:rPr>
                <w:lang w:val="en-NZ"/>
              </w:rPr>
            </w:pPr>
            <w:r w:rsidRPr="00C15341">
              <w:t>4.1.</w:t>
            </w:r>
            <w:r w:rsidRPr="00C15341">
              <w:tab/>
              <w:t>Job is set up using instru</w:t>
            </w:r>
            <w:r w:rsidRPr="00C15341">
              <w:t>ments such as dial test indicators and digital read out equipment.</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5.</w:t>
            </w:r>
            <w:r w:rsidRPr="00C15341">
              <w:tab/>
              <w:t>Perform jig boring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List2"/>
            </w:pPr>
            <w:r w:rsidRPr="00C15341">
              <w:t>5.1.</w:t>
            </w:r>
            <w:r w:rsidRPr="00C15341">
              <w:tab/>
              <w:t>Holes are bored relative to coordinate position and to specification.</w:t>
            </w:r>
          </w:p>
          <w:p w:rsidR="00000000" w:rsidP="00C15341">
            <w:pPr>
              <w:pStyle w:val="List2"/>
              <w:rPr>
                <w:lang w:val="en-NZ"/>
              </w:rPr>
            </w:pPr>
            <w:r w:rsidRPr="00C15341">
              <w:t>5.2.</w:t>
            </w:r>
            <w:r w:rsidRPr="00C15341">
              <w:tab/>
              <w:t>Rotary or tilting rotary table is used as required.</w:t>
            </w:r>
          </w:p>
        </w:tc>
      </w:tr>
      <w:tr w:rsidTr="00813AE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List"/>
              <w:rPr>
                <w:lang w:val="en-NZ"/>
              </w:rPr>
            </w:pPr>
            <w:r w:rsidRPr="00C15341">
              <w:t>6.</w:t>
            </w:r>
            <w:r w:rsidRPr="00C15341">
              <w:tab/>
            </w:r>
            <w:r w:rsidRPr="00C15341">
              <w:t>Check components for conformance to specification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List2"/>
            </w:pPr>
            <w:r w:rsidRPr="00C15341">
              <w:t>6.1.</w:t>
            </w:r>
            <w:r w:rsidRPr="00C15341">
              <w:tab/>
              <w:t>Components are checked for conformance to specification using appropriate techniques, tools and equipment.</w:t>
            </w:r>
          </w:p>
        </w:tc>
      </w:tr>
    </w:tbl>
    <w:p w:rsidR="00813AE2" w:rsidP="00C15341">
      <w:pPr>
        <w:pStyle w:val="BodyText"/>
      </w:pPr>
    </w:p>
    <w:p w:rsidR="00813AE2" w:rsidP="00C15341">
      <w:pPr>
        <w:pStyle w:val="BodyText"/>
      </w:pPr>
    </w:p>
    <w:p w:rsidR="00000000" w:rsidRPr="00C15341" w:rsidP="00C15341">
      <w:pPr>
        <w:pStyle w:val="Heading1"/>
      </w:pPr>
      <w:bookmarkStart w:id="9" w:name="O_260719"/>
      <w:bookmarkEnd w:id="9"/>
      <w:r w:rsidRPr="00C15341">
        <w:t>Required Skills and Knowledge</w:t>
      </w:r>
    </w:p>
    <w:tbl>
      <w:tblPr>
        <w:tblW w:w="0" w:type="auto"/>
        <w:tblLayout w:type="fixed"/>
        <w:tblCellMar>
          <w:left w:w="62" w:type="dxa"/>
          <w:right w:w="62" w:type="dxa"/>
        </w:tblCellMar>
        <w:tblLook w:val="0000"/>
      </w:tblPr>
      <w:tblGrid>
        <w:gridCol w:w="8522"/>
      </w:tblGrid>
      <w:tr w:rsidTr="00813A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REQUIRED SKILLS AND KNOWLEDGE</w:t>
            </w:r>
          </w:p>
        </w:tc>
      </w:tr>
      <w:tr w:rsidTr="00813A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This section describes the skills and knowledge required for this unit.</w:t>
            </w:r>
          </w:p>
        </w:tc>
      </w:tr>
      <w:tr w:rsidTr="00813A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Required skills</w:t>
            </w:r>
          </w:p>
        </w:tc>
      </w:tr>
      <w:tr w:rsidTr="00813A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Look for evidence that confirms skills in:</w:t>
            </w:r>
          </w:p>
          <w:p w:rsidR="00000000" w:rsidRPr="00C15341" w:rsidP="00C15341">
            <w:pPr>
              <w:pStyle w:val="ListBullet"/>
            </w:pPr>
            <w:r w:rsidRPr="00C15341">
              <w:t xml:space="preserve">reading, interpreting and following information on written job instructions, specifications, </w:t>
            </w:r>
            <w:r w:rsidRPr="00C15341">
              <w:t>procedures, charts, lists, drawings and other applicable reference documents</w:t>
            </w:r>
          </w:p>
          <w:p w:rsidR="00000000" w:rsidRPr="00C15341" w:rsidP="00C15341">
            <w:pPr>
              <w:pStyle w:val="ListBullet"/>
            </w:pPr>
            <w:r w:rsidRPr="00C15341">
              <w:t>preparing operational work plan</w:t>
            </w:r>
          </w:p>
          <w:p w:rsidR="00000000" w:rsidRPr="00C15341" w:rsidP="00C15341">
            <w:pPr>
              <w:pStyle w:val="ListBullet"/>
            </w:pPr>
            <w:r w:rsidRPr="00C15341">
              <w:t>planning and sequencing operations</w:t>
            </w:r>
          </w:p>
          <w:p w:rsidR="00000000" w:rsidRPr="00C15341" w:rsidP="00C15341">
            <w:pPr>
              <w:pStyle w:val="ListBullet"/>
            </w:pPr>
            <w:r w:rsidRPr="00C15341">
              <w:t>selecting tools and accessories</w:t>
            </w:r>
          </w:p>
          <w:p w:rsidR="00000000" w:rsidRPr="00C15341" w:rsidP="00C15341">
            <w:pPr>
              <w:pStyle w:val="ListBullet"/>
            </w:pPr>
            <w:r w:rsidRPr="00C15341">
              <w:t>checking for conformance to specifications</w:t>
            </w:r>
          </w:p>
          <w:p w:rsidR="00000000" w:rsidRPr="00C15341" w:rsidP="00C15341">
            <w:pPr>
              <w:pStyle w:val="ListBullet"/>
            </w:pPr>
            <w:r w:rsidRPr="00C15341">
              <w:t>using precision measurement equipment</w:t>
            </w:r>
          </w:p>
          <w:p w:rsidR="00000000" w:rsidRPr="00C15341" w:rsidP="00C15341">
            <w:pPr>
              <w:pStyle w:val="ListBullet"/>
            </w:pPr>
            <w:r w:rsidRPr="00C15341">
              <w:t>checking and clarifying task related information</w:t>
            </w:r>
          </w:p>
          <w:p w:rsidR="00000000" w:rsidP="00C15341">
            <w:pPr>
              <w:pStyle w:val="ListBullet"/>
              <w:rPr>
                <w:lang w:val="en-NZ"/>
              </w:rPr>
            </w:pPr>
            <w:r w:rsidRPr="00C15341">
              <w:t>performing numerical operations and calculations within the scope of this unit</w:t>
            </w:r>
          </w:p>
        </w:tc>
      </w:tr>
      <w:tr w:rsidTr="00813A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Required knowledge</w:t>
            </w:r>
          </w:p>
        </w:tc>
      </w:tr>
      <w:tr w:rsidTr="00813A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Look for evidence that confirms knowledge of:</w:t>
            </w:r>
          </w:p>
          <w:p w:rsidR="00000000" w:rsidRPr="00C15341" w:rsidP="00C15341">
            <w:pPr>
              <w:pStyle w:val="ListBullet"/>
            </w:pPr>
            <w:r w:rsidRPr="00C15341">
              <w:t>reasons for selecting the chosen sequence of operations</w:t>
            </w:r>
          </w:p>
          <w:p w:rsidR="00000000" w:rsidRPr="00C15341" w:rsidP="00C15341">
            <w:pPr>
              <w:pStyle w:val="ListBullet"/>
            </w:pPr>
            <w:r w:rsidRPr="00C15341">
              <w:t>the</w:t>
            </w:r>
            <w:r w:rsidRPr="00C15341">
              <w:t xml:space="preserve"> application of rotary and tilting rotary tables to jig boring operations</w:t>
            </w:r>
          </w:p>
          <w:p w:rsidR="00000000" w:rsidRPr="00C15341" w:rsidP="00C15341">
            <w:pPr>
              <w:pStyle w:val="ListBullet"/>
            </w:pPr>
            <w:r w:rsidRPr="00C15341">
              <w:t>checks for conformance to specifications</w:t>
            </w:r>
          </w:p>
          <w:p w:rsidR="00000000" w:rsidRPr="00C15341" w:rsidP="00C15341">
            <w:pPr>
              <w:pStyle w:val="ListBullet"/>
            </w:pPr>
            <w:r w:rsidRPr="00C15341">
              <w:t>appropriate techniques, tools and equipment to measure machined components</w:t>
            </w:r>
          </w:p>
          <w:p w:rsidR="00000000" w:rsidRPr="00C15341" w:rsidP="00C15341">
            <w:pPr>
              <w:pStyle w:val="ListBullet"/>
            </w:pPr>
            <w:r w:rsidRPr="00C15341">
              <w:t>hazards and control measures associated with jig boring operations, including housekeeping</w:t>
            </w:r>
          </w:p>
          <w:p w:rsidR="00000000" w:rsidRPr="00C15341" w:rsidP="00C15341">
            <w:pPr>
              <w:pStyle w:val="ListBullet"/>
            </w:pPr>
            <w:r w:rsidRPr="00C15341">
              <w:t>use and application of personal protective equipment</w:t>
            </w:r>
          </w:p>
          <w:p w:rsidR="00000000" w:rsidRPr="00C15341" w:rsidP="00C15341">
            <w:pPr>
              <w:pStyle w:val="ListBullet"/>
            </w:pPr>
            <w:r w:rsidRPr="00C15341">
              <w:t>safe work practices and procedures</w:t>
            </w:r>
          </w:p>
        </w:tc>
      </w:tr>
    </w:tbl>
    <w:p w:rsidR="00813AE2" w:rsidP="00C15341">
      <w:pPr>
        <w:pStyle w:val="BodyText"/>
      </w:pPr>
    </w:p>
    <w:p w:rsidR="00813AE2" w:rsidP="00C15341">
      <w:pPr>
        <w:pStyle w:val="BodyText"/>
      </w:pPr>
    </w:p>
    <w:p w:rsidR="00000000" w:rsidRPr="00C15341" w:rsidP="00C15341">
      <w:pPr>
        <w:pStyle w:val="AllowPageBreak"/>
      </w:pPr>
    </w:p>
    <w:p w:rsidR="00000000" w:rsidRPr="00C15341" w:rsidP="00C15341">
      <w:pPr>
        <w:pStyle w:val="Heading1"/>
      </w:pPr>
      <w:bookmarkStart w:id="10" w:name="O_244753"/>
      <w:bookmarkEnd w:id="10"/>
      <w:r w:rsidRPr="00C15341">
        <w:t>Evidence Guide</w:t>
      </w:r>
    </w:p>
    <w:tbl>
      <w:tblPr>
        <w:tblW w:w="9570" w:type="dxa"/>
        <w:tblLayout w:type="fixed"/>
        <w:tblCellMar>
          <w:left w:w="62" w:type="dxa"/>
          <w:right w:w="62" w:type="dxa"/>
        </w:tblCellMar>
        <w:tblLook w:val="0000"/>
      </w:tblPr>
      <w:tblGrid>
        <w:gridCol w:w="3908"/>
        <w:gridCol w:w="5662"/>
      </w:tblGrid>
      <w:tr w:rsidTr="00813A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EVIDENCE GUIDE</w:t>
            </w:r>
          </w:p>
        </w:tc>
      </w:tr>
      <w:tr w:rsidTr="00813A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The evidence guide provides advice on assessment and must be read in conjunction with the performance criteria, required skills and knowledge, range statement and the Assessment Guidelines for the Training Package.</w:t>
            </w:r>
          </w:p>
        </w:tc>
      </w:tr>
      <w:tr w:rsidTr="0081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A person who demonstrates competency in this unit must be able to perform precision jig boring operations. Competency in this unit cannot be claimed until all prerequisites have been satisfied.</w:t>
            </w:r>
          </w:p>
        </w:tc>
      </w:tr>
      <w:tr w:rsidTr="0081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Critical aspects for assessment and evidence required to demo</w:t>
            </w:r>
            <w:r w:rsidRPr="00C15341">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Assessors must be satisfied that the candidate can competently and consistently perform all elements of the unit as specified by the criteria, including required knowledge, and be capable of applying the competency in new an</w:t>
            </w:r>
            <w:r w:rsidRPr="00C15341">
              <w:t>d different situations and contexts.</w:t>
            </w:r>
          </w:p>
        </w:tc>
      </w:tr>
      <w:tr w:rsidTr="0081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This unit may be assessed on the job, off the job or a combination of both on and off the job. Where assessment occurs off the job, that is the candidate is not in produ</w:t>
            </w:r>
            <w:r w:rsidRPr="00C15341">
              <w:t>ctive work, then an appropriate simulation must be used where the range of conditions reflects realistic workplace situations. The competencies covered by this unit would be demonstrated by an individual working alone or as part of a team. The assessment e</w:t>
            </w:r>
            <w:r w:rsidRPr="00C15341">
              <w:t xml:space="preserve">nvironment should not disadvantage the candidate. </w:t>
            </w:r>
          </w:p>
          <w:p w:rsidR="00000000" w:rsidP="00C15341">
            <w:pPr>
              <w:pStyle w:val="BodyText"/>
              <w:rPr>
                <w:lang w:val="en-NZ"/>
              </w:rPr>
            </w:pPr>
            <w:r w:rsidRPr="00C15341">
              <w:t>This unit could be assessed in conjunction with any other units addressing the safety, quality, communication, materials handling, recording and reporting associated with performing precision jig boring op</w:t>
            </w:r>
            <w:r w:rsidRPr="00C15341">
              <w:t>erations or other units requiring the exercise of the skills and knowledge covered by this unit.</w:t>
            </w:r>
          </w:p>
        </w:tc>
      </w:tr>
      <w:tr w:rsidTr="0081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Assessors should gather a range of evidence that is valid, sufficient, current and authentic. Evidence can be gathered through a variety </w:t>
            </w:r>
            <w:r w:rsidRPr="00C15341">
              <w:t>of ways including direct observation, supervisor's reports, project work, samples and questioning. Questioning techniques should not require language, literacy and numeracy skills beyond those required in this unit of competency. The candidate must have ac</w:t>
            </w:r>
            <w:r w:rsidRPr="00C15341">
              <w:t>cess to all tools, equipment, materials and documentation required. The candidate must be permitted to refer to any relevant workplace procedures, product and manufacturing specifications, codes, standards, manuals and reference materials.</w:t>
            </w:r>
          </w:p>
        </w:tc>
      </w:tr>
      <w:tr w:rsidTr="0081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Guidance inform</w:t>
            </w:r>
            <w:r w:rsidRPr="00C15341">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p>
        </w:tc>
      </w:tr>
    </w:tbl>
    <w:p w:rsidR="00813AE2" w:rsidP="00C15341">
      <w:pPr>
        <w:pStyle w:val="BodyText"/>
      </w:pPr>
    </w:p>
    <w:p w:rsidR="00813AE2" w:rsidP="00C15341">
      <w:pPr>
        <w:pStyle w:val="BodyText"/>
      </w:pPr>
    </w:p>
    <w:p w:rsidR="00000000" w:rsidRPr="00C15341" w:rsidP="00C15341">
      <w:pPr>
        <w:pStyle w:val="Heading1"/>
      </w:pPr>
      <w:bookmarkStart w:id="11" w:name="O_252736"/>
      <w:bookmarkEnd w:id="11"/>
      <w:r w:rsidRPr="00C15341">
        <w:t>Range Statement</w:t>
      </w:r>
    </w:p>
    <w:tbl>
      <w:tblPr>
        <w:tblW w:w="0" w:type="auto"/>
        <w:tblLayout w:type="fixed"/>
        <w:tblCellMar>
          <w:left w:w="62" w:type="dxa"/>
          <w:right w:w="62" w:type="dxa"/>
        </w:tblCellMar>
        <w:tblLook w:val="0000"/>
      </w:tblPr>
      <w:tblGrid>
        <w:gridCol w:w="3523"/>
        <w:gridCol w:w="4999"/>
      </w:tblGrid>
      <w:tr w:rsidTr="00813A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RANGE STATEMENT</w:t>
            </w:r>
          </w:p>
        </w:tc>
      </w:tr>
      <w:tr w:rsidTr="00813A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 xml:space="preserve">The range statement relates to the unit of competency as a whole. It allows for different work environments and situations that may affect </w:t>
            </w:r>
            <w:r w:rsidRPr="00C15341">
              <w:t>performance. Bold italicised wording, if used in the performance criteria, is detailed below. Essential operating conditions that may be present with training and assessment (depending on the work situation, needs of the candidate, accessibility of the ite</w:t>
            </w:r>
            <w:r w:rsidRPr="00C15341">
              <w:t>m, and local industry and regional contexts) may also be included.</w:t>
            </w:r>
          </w:p>
        </w:tc>
      </w:tr>
      <w:tr w:rsidTr="00813AE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Tools and accessories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t>Cutting tools, tool attachments, charts and nomograms, rotary or tilting rotary table etc.</w:t>
            </w:r>
          </w:p>
        </w:tc>
      </w:tr>
      <w:tr w:rsidTr="00813AE2">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Appropriate techniques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Measuring techniques, comparison methods</w:t>
            </w:r>
          </w:p>
        </w:tc>
      </w:tr>
    </w:tbl>
    <w:p w:rsidR="00813AE2" w:rsidP="00C15341">
      <w:pPr>
        <w:pStyle w:val="BodyText"/>
      </w:pPr>
    </w:p>
    <w:p w:rsidR="00813AE2" w:rsidP="00C15341">
      <w:pPr>
        <w:pStyle w:val="BodyText"/>
      </w:pPr>
    </w:p>
    <w:p w:rsidR="00000000" w:rsidRPr="00C15341" w:rsidP="00C15341">
      <w:pPr>
        <w:pStyle w:val="Heading1"/>
      </w:pPr>
      <w:bookmarkStart w:id="12" w:name="O_210836"/>
      <w:bookmarkEnd w:id="12"/>
      <w:r w:rsidRPr="00C15341">
        <w:t>Unit Sector(s)</w:t>
      </w:r>
    </w:p>
    <w:tbl>
      <w:tblPr>
        <w:tblW w:w="0" w:type="auto"/>
        <w:tblLayout w:type="fixed"/>
        <w:tblCellMar>
          <w:left w:w="62" w:type="dxa"/>
          <w:right w:w="62" w:type="dxa"/>
        </w:tblCellMar>
        <w:tblLook w:val="0000"/>
      </w:tblPr>
      <w:tblGrid>
        <w:gridCol w:w="2654"/>
        <w:gridCol w:w="5868"/>
      </w:tblGrid>
      <w:tr w:rsidTr="00813A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p>
        </w:tc>
      </w:tr>
    </w:tbl>
    <w:p w:rsidR="00813AE2" w:rsidP="00C15341">
      <w:pPr>
        <w:pStyle w:val="BodyText"/>
      </w:pPr>
    </w:p>
    <w:p w:rsidR="00813AE2" w:rsidP="00C15341">
      <w:pPr>
        <w:pStyle w:val="BodyText"/>
      </w:pPr>
    </w:p>
    <w:p w:rsidR="00000000" w:rsidRPr="00C15341" w:rsidP="00C15341">
      <w:pPr>
        <w:pStyle w:val="Heading1"/>
      </w:pPr>
      <w:bookmarkStart w:id="13" w:name="O_210833"/>
      <w:bookmarkEnd w:id="13"/>
      <w:r w:rsidRPr="00C15341">
        <w:t>Co-requisite units</w:t>
      </w:r>
    </w:p>
    <w:tbl>
      <w:tblPr>
        <w:tblW w:w="0" w:type="auto"/>
        <w:tblLayout w:type="fixed"/>
        <w:tblCellMar>
          <w:left w:w="62" w:type="dxa"/>
          <w:right w:w="62" w:type="dxa"/>
        </w:tblCellMar>
        <w:tblLook w:val="0000"/>
      </w:tblPr>
      <w:tblGrid>
        <w:gridCol w:w="2641"/>
        <w:gridCol w:w="1322"/>
        <w:gridCol w:w="4559"/>
      </w:tblGrid>
      <w:tr w:rsidTr="00813A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p>
        </w:tc>
      </w:tr>
      <w:tr w:rsidTr="00813A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p>
        </w:tc>
      </w:tr>
      <w:tr w:rsidTr="00813A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p>
        </w:tc>
      </w:tr>
    </w:tbl>
    <w:p w:rsidR="00813AE2" w:rsidP="00C15341">
      <w:pPr>
        <w:pStyle w:val="BodyText"/>
      </w:pPr>
    </w:p>
    <w:p w:rsidR="00813AE2" w:rsidP="00C15341">
      <w:pPr>
        <w:pStyle w:val="BodyText"/>
      </w:pPr>
    </w:p>
    <w:p w:rsidR="00000000" w:rsidRPr="00C15341" w:rsidP="00C15341">
      <w:pPr>
        <w:pStyle w:val="Heading1"/>
      </w:pPr>
      <w:bookmarkStart w:id="14" w:name="O_210835"/>
      <w:bookmarkEnd w:id="14"/>
      <w:r w:rsidRPr="00C15341">
        <w:t>Competency field</w:t>
      </w:r>
    </w:p>
    <w:tbl>
      <w:tblPr>
        <w:tblW w:w="0" w:type="auto"/>
        <w:tblLayout w:type="fixed"/>
        <w:tblCellMar>
          <w:left w:w="62" w:type="dxa"/>
          <w:right w:w="62" w:type="dxa"/>
        </w:tblCellMar>
        <w:tblLook w:val="0000"/>
      </w:tblPr>
      <w:tblGrid>
        <w:gridCol w:w="2777"/>
        <w:gridCol w:w="5745"/>
      </w:tblGrid>
      <w:tr w:rsidTr="00813AE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341">
            <w:pPr>
              <w:pStyle w:val="BodyText"/>
              <w:rPr>
                <w:lang w:val="en-NZ"/>
              </w:rPr>
            </w:pPr>
            <w:r w:rsidRPr="00C1534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341" w:rsidP="00C15341">
            <w:pPr>
              <w:pStyle w:val="BodyText"/>
            </w:pPr>
            <w:r w:rsidRPr="00C15341">
              <w:t>Machine and process operations</w:t>
            </w:r>
          </w:p>
        </w:tc>
      </w:tr>
    </w:tbl>
    <w:p w:rsidR="00813AE2" w:rsidP="00C15341">
      <w:pPr>
        <w:pStyle w:val="BodyText"/>
      </w:pPr>
    </w:p>
    <w:p w:rsidR="00813AE2" w:rsidP="00C15341">
      <w:pPr>
        <w:pStyle w:val="BodyText"/>
      </w:pPr>
    </w:p>
    <w:p w:rsidR="00000000" w:rsidRPr="00C15341" w:rsidP="00C15341"/>
    <w:sectPr w:rsidSect="00C15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AE2" w:rsidP="00813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E2" w:rsidP="00C15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3AE2" w:rsidP="00C153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3AE2" w:rsidP="00C153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AE2" w:rsidP="00813AE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AE2" w:rsidP="00C15341">
    <w:pPr>
      <w:pStyle w:val="Header"/>
      <w:framePr w:wrap="around"/>
    </w:pPr>
    <w:r>
      <w:fldChar w:fldCharType="begin"/>
    </w:r>
    <w:r>
      <w:instrText xml:space="preserve"> TITLE   \* MERGEFORMAT </w:instrText>
    </w:r>
    <w:r>
      <w:fldChar w:fldCharType="separate"/>
    </w:r>
    <w:r>
      <w:t>MEM07009B Perform precision jig boring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AE2" w:rsidP="00C153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D23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4C0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3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341"/>
    <w:pPr>
      <w:spacing w:before="360" w:after="60"/>
      <w:outlineLvl w:val="0"/>
    </w:pPr>
    <w:rPr>
      <w:sz w:val="32"/>
    </w:rPr>
  </w:style>
  <w:style w:type="paragraph" w:styleId="Heading2">
    <w:name w:val="heading 2"/>
    <w:basedOn w:val="HeadingBase"/>
    <w:next w:val="BodyText"/>
    <w:link w:val="Heading2Char"/>
    <w:qFormat/>
    <w:rsid w:val="00C15341"/>
    <w:pPr>
      <w:keepLines/>
      <w:spacing w:before="240" w:after="120"/>
      <w:outlineLvl w:val="1"/>
    </w:pPr>
    <w:rPr>
      <w:sz w:val="28"/>
      <w:szCs w:val="40"/>
    </w:rPr>
  </w:style>
  <w:style w:type="paragraph" w:styleId="Heading3">
    <w:name w:val="heading 3"/>
    <w:basedOn w:val="HeadingBase"/>
    <w:next w:val="BodyText"/>
    <w:link w:val="Heading3Char"/>
    <w:qFormat/>
    <w:rsid w:val="00C15341"/>
    <w:pPr>
      <w:spacing w:before="180" w:after="120"/>
      <w:outlineLvl w:val="2"/>
    </w:pPr>
    <w:rPr>
      <w:spacing w:val="-10"/>
      <w:kern w:val="32"/>
    </w:rPr>
  </w:style>
  <w:style w:type="paragraph" w:styleId="Heading4">
    <w:name w:val="heading 4"/>
    <w:basedOn w:val="HeadingBase"/>
    <w:next w:val="BodyText"/>
    <w:link w:val="Heading4Char"/>
    <w:qFormat/>
    <w:rsid w:val="00C15341"/>
    <w:pPr>
      <w:spacing w:before="160" w:after="120"/>
      <w:outlineLvl w:val="3"/>
    </w:pPr>
    <w:rPr>
      <w:sz w:val="22"/>
    </w:rPr>
  </w:style>
  <w:style w:type="paragraph" w:styleId="Heading5">
    <w:name w:val="heading 5"/>
    <w:basedOn w:val="HeadingBase"/>
    <w:next w:val="Normal"/>
    <w:link w:val="Heading5Char"/>
    <w:qFormat/>
    <w:rsid w:val="00C15341"/>
    <w:pPr>
      <w:spacing w:before="80"/>
      <w:outlineLvl w:val="4"/>
    </w:pPr>
    <w:rPr>
      <w:color w:val="918585"/>
      <w:sz w:val="20"/>
    </w:rPr>
  </w:style>
  <w:style w:type="paragraph" w:styleId="Heading6">
    <w:name w:val="heading 6"/>
    <w:basedOn w:val="HeadingBase"/>
    <w:next w:val="Normal"/>
    <w:link w:val="Heading6Char"/>
    <w:qFormat/>
    <w:rsid w:val="00C15341"/>
    <w:pPr>
      <w:spacing w:before="60"/>
      <w:outlineLvl w:val="5"/>
    </w:pPr>
    <w:rPr>
      <w:color w:val="918585"/>
      <w:sz w:val="20"/>
    </w:rPr>
  </w:style>
  <w:style w:type="paragraph" w:styleId="Heading7">
    <w:name w:val="heading 7"/>
    <w:basedOn w:val="Normal"/>
    <w:next w:val="Normal"/>
    <w:link w:val="Heading7Char"/>
    <w:qFormat/>
    <w:rsid w:val="00C15341"/>
    <w:pPr>
      <w:ind w:left="720"/>
      <w:outlineLvl w:val="6"/>
    </w:pPr>
    <w:rPr>
      <w:i/>
    </w:rPr>
  </w:style>
  <w:style w:type="paragraph" w:styleId="Heading8">
    <w:name w:val="heading 8"/>
    <w:basedOn w:val="Normal"/>
    <w:next w:val="Normal"/>
    <w:link w:val="Heading8Char"/>
    <w:qFormat/>
    <w:rsid w:val="00C15341"/>
    <w:pPr>
      <w:ind w:left="720"/>
      <w:outlineLvl w:val="7"/>
    </w:pPr>
    <w:rPr>
      <w:i/>
    </w:rPr>
  </w:style>
  <w:style w:type="paragraph" w:styleId="Heading9">
    <w:name w:val="heading 9"/>
    <w:basedOn w:val="Normal"/>
    <w:next w:val="Normal"/>
    <w:link w:val="Heading9Char"/>
    <w:qFormat/>
    <w:rsid w:val="00C15341"/>
    <w:pPr>
      <w:ind w:left="720"/>
      <w:outlineLvl w:val="8"/>
    </w:pPr>
    <w:rPr>
      <w:i/>
    </w:rPr>
  </w:style>
  <w:style w:type="character" w:default="1" w:styleId="DefaultParagraphFont">
    <w:name w:val="Default Paragraph Font"/>
    <w:uiPriority w:val="1"/>
    <w:unhideWhenUsed/>
    <w:rsid w:val="00C15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341"/>
  </w:style>
  <w:style w:type="character" w:customStyle="1" w:styleId="Heading1Char">
    <w:name w:val="Heading 1 Char"/>
    <w:link w:val="Heading1"/>
    <w:rsid w:val="00C15341"/>
    <w:rPr>
      <w:rFonts w:ascii="Times New Roman" w:eastAsia="Times New Roman" w:hAnsi="Times New Roman" w:cs="Times New Roman"/>
      <w:b/>
      <w:sz w:val="32"/>
      <w:szCs w:val="20"/>
      <w:lang w:eastAsia="en-US"/>
    </w:rPr>
  </w:style>
  <w:style w:type="paragraph" w:styleId="BodyText">
    <w:name w:val="Body Text"/>
    <w:basedOn w:val="Normal"/>
    <w:link w:val="BodyTextChar"/>
    <w:rsid w:val="00C15341"/>
    <w:pPr>
      <w:spacing w:before="120" w:after="120"/>
      <w:contextualSpacing/>
    </w:pPr>
    <w:rPr>
      <w:rFonts w:ascii="Times New Roman" w:hAnsi="Times New Roman"/>
      <w:sz w:val="24"/>
      <w:szCs w:val="22"/>
    </w:rPr>
  </w:style>
  <w:style w:type="character" w:customStyle="1" w:styleId="BodyTextChar">
    <w:name w:val="Body Text Char"/>
    <w:link w:val="BodyText"/>
    <w:rsid w:val="00C15341"/>
    <w:rPr>
      <w:rFonts w:ascii="Times New Roman" w:eastAsia="Times New Roman" w:hAnsi="Times New Roman" w:cs="Times New Roman"/>
      <w:sz w:val="24"/>
      <w:lang w:val="en-US" w:eastAsia="en-US"/>
    </w:rPr>
  </w:style>
  <w:style w:type="paragraph" w:styleId="Footer">
    <w:name w:val="footer"/>
    <w:basedOn w:val="Normal"/>
    <w:link w:val="FooterChar"/>
    <w:rsid w:val="00C15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5341"/>
    <w:rPr>
      <w:rFonts w:ascii="Times New Roman" w:eastAsia="Times New Roman" w:hAnsi="Times New Roman" w:cs="Times New Roman"/>
      <w:sz w:val="16"/>
      <w:lang w:val="en-US" w:eastAsia="en-US"/>
    </w:rPr>
  </w:style>
  <w:style w:type="paragraph" w:styleId="List">
    <w:name w:val="List"/>
    <w:basedOn w:val="BodyText"/>
    <w:next w:val="BodyText"/>
    <w:rsid w:val="00C15341"/>
    <w:pPr>
      <w:tabs>
        <w:tab w:val="left" w:pos="340"/>
      </w:tabs>
      <w:spacing w:before="60" w:after="60"/>
      <w:ind w:left="340" w:hanging="340"/>
    </w:pPr>
  </w:style>
  <w:style w:type="paragraph" w:styleId="ListBullet">
    <w:name w:val="List Bullet"/>
    <w:basedOn w:val="List"/>
    <w:rsid w:val="00C15341"/>
    <w:pPr>
      <w:numPr>
        <w:numId w:val="12"/>
      </w:numPr>
      <w:tabs>
        <w:tab w:val="clear" w:pos="340"/>
      </w:tabs>
      <w:spacing w:before="40" w:after="40"/>
    </w:pPr>
  </w:style>
  <w:style w:type="character" w:customStyle="1" w:styleId="SpecialBold">
    <w:name w:val="Special Bold"/>
    <w:rsid w:val="00C15341"/>
    <w:rPr>
      <w:b/>
      <w:spacing w:val="0"/>
    </w:rPr>
  </w:style>
  <w:style w:type="paragraph" w:styleId="Header">
    <w:name w:val="header"/>
    <w:basedOn w:val="Normal"/>
    <w:link w:val="HeaderChar"/>
    <w:rsid w:val="00C15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53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5341"/>
    <w:pPr>
      <w:spacing w:before="240" w:after="120"/>
      <w:outlineLvl w:val="0"/>
    </w:pPr>
    <w:rPr>
      <w:rFonts w:ascii="Times New Roman" w:hAnsi="Times New Roman"/>
      <w:b/>
      <w:sz w:val="28"/>
    </w:rPr>
  </w:style>
  <w:style w:type="paragraph" w:customStyle="1" w:styleId="AllowPageBreak">
    <w:name w:val="AllowPageBreak"/>
    <w:rsid w:val="00C153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341"/>
    <w:pPr>
      <w:tabs>
        <w:tab w:val="left" w:pos="680"/>
      </w:tabs>
      <w:spacing w:before="60" w:after="60"/>
      <w:ind w:left="680" w:hanging="340"/>
    </w:pPr>
  </w:style>
  <w:style w:type="character" w:customStyle="1" w:styleId="Heading2Char">
    <w:name w:val="Heading 2 Char"/>
    <w:link w:val="Heading2"/>
    <w:rsid w:val="00C15341"/>
    <w:rPr>
      <w:rFonts w:ascii="Times New Roman" w:eastAsia="Times New Roman" w:hAnsi="Times New Roman" w:cs="Times New Roman"/>
      <w:b/>
      <w:sz w:val="28"/>
      <w:szCs w:val="40"/>
      <w:lang w:eastAsia="en-US"/>
    </w:rPr>
  </w:style>
  <w:style w:type="character" w:customStyle="1" w:styleId="Heading3Char">
    <w:name w:val="Heading 3 Char"/>
    <w:link w:val="Heading3"/>
    <w:rsid w:val="00C153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5341"/>
    <w:rPr>
      <w:rFonts w:ascii="Times New Roman" w:eastAsia="Times New Roman" w:hAnsi="Times New Roman" w:cs="Times New Roman"/>
      <w:b/>
      <w:szCs w:val="20"/>
      <w:lang w:eastAsia="en-US"/>
    </w:rPr>
  </w:style>
  <w:style w:type="character" w:customStyle="1" w:styleId="Heading5Char">
    <w:name w:val="Heading 5 Char"/>
    <w:link w:val="Heading5"/>
    <w:rsid w:val="00C153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5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3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3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341"/>
    <w:rPr>
      <w:rFonts w:ascii="Courier New" w:eastAsia="Times New Roman" w:hAnsi="Courier New" w:cs="Times New Roman"/>
      <w:i/>
      <w:szCs w:val="20"/>
      <w:lang w:val="en-US" w:eastAsia="en-US"/>
    </w:rPr>
  </w:style>
  <w:style w:type="paragraph" w:customStyle="1" w:styleId="HeadingBase">
    <w:name w:val="Heading Base"/>
    <w:rsid w:val="00C15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341"/>
    <w:pPr>
      <w:tabs>
        <w:tab w:val="right" w:leader="dot" w:pos="9072"/>
      </w:tabs>
      <w:ind w:left="567"/>
    </w:pPr>
    <w:rPr>
      <w:szCs w:val="22"/>
    </w:rPr>
  </w:style>
  <w:style w:type="paragraph" w:customStyle="1" w:styleId="TOCBase">
    <w:name w:val="TOC Base"/>
    <w:rsid w:val="00C15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341"/>
    <w:pPr>
      <w:tabs>
        <w:tab w:val="right" w:leader="dot" w:pos="9072"/>
      </w:tabs>
      <w:spacing w:before="40" w:after="40"/>
      <w:ind w:left="284"/>
    </w:pPr>
    <w:rPr>
      <w:rFonts w:ascii="Times New Roman" w:hAnsi="Times New Roman"/>
    </w:rPr>
  </w:style>
  <w:style w:type="paragraph" w:styleId="TOC1">
    <w:name w:val="toc 1"/>
    <w:basedOn w:val="TOCBase"/>
    <w:next w:val="Normal"/>
    <w:rsid w:val="00C153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341"/>
    <w:pPr>
      <w:spacing w:before="5040"/>
      <w:jc w:val="center"/>
    </w:pPr>
    <w:rPr>
      <w:sz w:val="48"/>
      <w:szCs w:val="72"/>
      <w:lang w:val="en-US"/>
    </w:rPr>
  </w:style>
  <w:style w:type="character" w:customStyle="1" w:styleId="TitleChar">
    <w:name w:val="Title Char"/>
    <w:link w:val="Title"/>
    <w:rsid w:val="00C15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341"/>
    <w:pPr>
      <w:tabs>
        <w:tab w:val="left" w:pos="3600"/>
        <w:tab w:val="left" w:pos="3958"/>
      </w:tabs>
    </w:pPr>
  </w:style>
  <w:style w:type="paragraph" w:customStyle="1" w:styleId="Note">
    <w:name w:val="Note"/>
    <w:basedOn w:val="BodyText"/>
    <w:rsid w:val="00C15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341"/>
    <w:pPr>
      <w:framePr w:wrap="auto" w:hAnchor="text" w:y="6049"/>
    </w:pPr>
    <w:rPr>
      <w:color w:val="000000"/>
      <w:sz w:val="40"/>
    </w:rPr>
  </w:style>
  <w:style w:type="paragraph" w:customStyle="1" w:styleId="TOCTitle">
    <w:name w:val="TOCTitle"/>
    <w:basedOn w:val="Heading1"/>
    <w:rsid w:val="00C15341"/>
    <w:pPr>
      <w:spacing w:after="240"/>
      <w:jc w:val="center"/>
      <w:outlineLvl w:val="9"/>
    </w:pPr>
    <w:rPr>
      <w:caps/>
    </w:rPr>
  </w:style>
  <w:style w:type="paragraph" w:customStyle="1" w:styleId="Version">
    <w:name w:val="Version"/>
    <w:rsid w:val="00C15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341"/>
    <w:pPr>
      <w:numPr>
        <w:numId w:val="13"/>
      </w:numPr>
      <w:tabs>
        <w:tab w:val="clear" w:pos="680"/>
      </w:tabs>
    </w:pPr>
  </w:style>
  <w:style w:type="paragraph" w:styleId="Index1">
    <w:name w:val="index 1"/>
    <w:basedOn w:val="Normal"/>
    <w:next w:val="Normal"/>
    <w:semiHidden/>
    <w:rsid w:val="00C15341"/>
    <w:pPr>
      <w:keepNext w:val="0"/>
      <w:tabs>
        <w:tab w:val="right" w:pos="4176"/>
      </w:tabs>
      <w:ind w:left="198" w:hanging="198"/>
    </w:pPr>
    <w:rPr>
      <w:rFonts w:ascii="Garamond" w:hAnsi="Garamond"/>
    </w:rPr>
  </w:style>
  <w:style w:type="paragraph" w:styleId="IndexHeading">
    <w:name w:val="index heading"/>
    <w:basedOn w:val="Normal"/>
    <w:next w:val="Index1"/>
    <w:semiHidden/>
    <w:rsid w:val="00C15341"/>
    <w:pPr>
      <w:spacing w:before="120" w:after="120"/>
    </w:pPr>
    <w:rPr>
      <w:rFonts w:ascii="Arial" w:hAnsi="Arial"/>
      <w:b/>
      <w:color w:val="918585"/>
      <w:sz w:val="24"/>
    </w:rPr>
  </w:style>
  <w:style w:type="paragraph" w:customStyle="1" w:styleId="Chapter">
    <w:name w:val="Chapter"/>
    <w:basedOn w:val="Normal"/>
    <w:rsid w:val="00C15341"/>
    <w:pPr>
      <w:spacing w:before="240"/>
    </w:pPr>
    <w:rPr>
      <w:rFonts w:ascii="Times New Roman" w:hAnsi="Times New Roman"/>
      <w:smallCaps/>
      <w:spacing w:val="80"/>
      <w:sz w:val="28"/>
    </w:rPr>
  </w:style>
  <w:style w:type="paragraph" w:customStyle="1" w:styleId="InChapter">
    <w:name w:val="InChapter"/>
    <w:basedOn w:val="Heading3"/>
    <w:rsid w:val="00C15341"/>
    <w:pPr>
      <w:spacing w:after="240"/>
      <w:outlineLvl w:val="9"/>
    </w:pPr>
    <w:rPr>
      <w:noProof/>
    </w:rPr>
  </w:style>
  <w:style w:type="paragraph" w:styleId="Index2">
    <w:name w:val="index 2"/>
    <w:basedOn w:val="Normal"/>
    <w:next w:val="Normal"/>
    <w:semiHidden/>
    <w:rsid w:val="00C15341"/>
    <w:pPr>
      <w:tabs>
        <w:tab w:val="right" w:pos="4176"/>
      </w:tabs>
      <w:ind w:left="568" w:hanging="284"/>
    </w:pPr>
    <w:rPr>
      <w:rFonts w:ascii="Garamond" w:hAnsi="Garamond"/>
    </w:rPr>
  </w:style>
  <w:style w:type="paragraph" w:customStyle="1" w:styleId="Byline">
    <w:name w:val="Byline"/>
    <w:rsid w:val="00C15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341"/>
    <w:pPr>
      <w:tabs>
        <w:tab w:val="clear" w:pos="3600"/>
        <w:tab w:val="clear" w:pos="3958"/>
      </w:tabs>
      <w:jc w:val="right"/>
    </w:pPr>
  </w:style>
  <w:style w:type="character" w:styleId="Emphasis">
    <w:name w:val="Emphasis"/>
    <w:qFormat/>
    <w:rsid w:val="00C15341"/>
    <w:rPr>
      <w:i/>
    </w:rPr>
  </w:style>
  <w:style w:type="paragraph" w:styleId="Caption">
    <w:name w:val="caption"/>
    <w:basedOn w:val="BodyText"/>
    <w:next w:val="Normal"/>
    <w:qFormat/>
    <w:rsid w:val="00C15341"/>
    <w:pPr>
      <w:framePr w:w="2268" w:hSpace="181" w:vSpace="181" w:wrap="around" w:vAnchor="text" w:hAnchor="page" w:x="1135" w:y="285" w:anchorLock="1"/>
    </w:pPr>
    <w:rPr>
      <w:i/>
    </w:rPr>
  </w:style>
  <w:style w:type="paragraph" w:customStyle="1" w:styleId="MiniTOCTitle">
    <w:name w:val="MiniTOCTitle"/>
    <w:basedOn w:val="Heading4"/>
    <w:rsid w:val="00C15341"/>
    <w:pPr>
      <w:spacing w:before="240"/>
      <w:outlineLvl w:val="9"/>
    </w:pPr>
    <w:rPr>
      <w:noProof/>
      <w:sz w:val="24"/>
    </w:rPr>
  </w:style>
  <w:style w:type="paragraph" w:customStyle="1" w:styleId="MiniTOCItem">
    <w:name w:val="MiniTOCItem"/>
    <w:basedOn w:val="ListBullet"/>
    <w:rsid w:val="00C15341"/>
    <w:pPr>
      <w:numPr>
        <w:numId w:val="0"/>
      </w:numPr>
      <w:tabs>
        <w:tab w:val="right" w:leader="dot" w:pos="6521"/>
      </w:tabs>
      <w:spacing w:before="0" w:after="0"/>
    </w:pPr>
  </w:style>
  <w:style w:type="paragraph" w:customStyle="1" w:styleId="TOFTitle">
    <w:name w:val="TOFTitle"/>
    <w:basedOn w:val="TOCTitle"/>
    <w:rsid w:val="00C15341"/>
  </w:style>
  <w:style w:type="paragraph" w:styleId="TableofFigures">
    <w:name w:val="table of figures"/>
    <w:basedOn w:val="Normal"/>
    <w:next w:val="Normal"/>
    <w:semiHidden/>
    <w:rsid w:val="00C15341"/>
    <w:pPr>
      <w:tabs>
        <w:tab w:val="right" w:leader="dot" w:pos="9072"/>
      </w:tabs>
      <w:ind w:left="970" w:hanging="403"/>
    </w:pPr>
    <w:rPr>
      <w:rFonts w:ascii="Times New Roman" w:hAnsi="Times New Roman"/>
      <w:b/>
    </w:rPr>
  </w:style>
  <w:style w:type="paragraph" w:styleId="ListNumber">
    <w:name w:val="List Number"/>
    <w:basedOn w:val="List"/>
    <w:rsid w:val="00C15341"/>
    <w:pPr>
      <w:numPr>
        <w:numId w:val="10"/>
      </w:numPr>
    </w:pPr>
  </w:style>
  <w:style w:type="character" w:customStyle="1" w:styleId="WingdingSymbols">
    <w:name w:val="Wingding Symbols"/>
    <w:rsid w:val="00C15341"/>
    <w:rPr>
      <w:rFonts w:ascii="Wingdings" w:hAnsi="Wingdings"/>
    </w:rPr>
  </w:style>
  <w:style w:type="paragraph" w:customStyle="1" w:styleId="TableHeading">
    <w:name w:val="Table Heading"/>
    <w:basedOn w:val="HeadingBase"/>
    <w:rsid w:val="00C15341"/>
    <w:pPr>
      <w:keepLines/>
      <w:pBdr>
        <w:bottom w:val="single" w:sz="6" w:space="1" w:color="918585"/>
      </w:pBdr>
      <w:spacing w:before="240"/>
    </w:pPr>
  </w:style>
  <w:style w:type="character" w:customStyle="1" w:styleId="HotSpot">
    <w:name w:val="HotSpot"/>
    <w:rsid w:val="00C15341"/>
    <w:rPr>
      <w:color w:val="0033CC"/>
      <w:u w:val="none"/>
    </w:rPr>
  </w:style>
  <w:style w:type="paragraph" w:customStyle="1" w:styleId="BodyTextRight">
    <w:name w:val="Body Text Right"/>
    <w:basedOn w:val="BodyText"/>
    <w:rsid w:val="00C15341"/>
    <w:pPr>
      <w:spacing w:before="0" w:after="0"/>
      <w:jc w:val="right"/>
    </w:pPr>
  </w:style>
  <w:style w:type="paragraph" w:styleId="Index3">
    <w:name w:val="index 3"/>
    <w:basedOn w:val="ListNumber2"/>
    <w:next w:val="Normal"/>
    <w:semiHidden/>
    <w:rsid w:val="00C15341"/>
    <w:pPr>
      <w:numPr>
        <w:numId w:val="0"/>
      </w:numPr>
      <w:tabs>
        <w:tab w:val="right" w:leader="dot" w:pos="4176"/>
      </w:tabs>
    </w:pPr>
  </w:style>
  <w:style w:type="paragraph" w:styleId="ListNumber2">
    <w:name w:val="List Number 2"/>
    <w:basedOn w:val="List2"/>
    <w:rsid w:val="00C15341"/>
    <w:pPr>
      <w:numPr>
        <w:numId w:val="9"/>
      </w:numPr>
      <w:tabs>
        <w:tab w:val="clear" w:pos="1060"/>
      </w:tabs>
    </w:pPr>
  </w:style>
  <w:style w:type="paragraph" w:customStyle="1" w:styleId="MarginNote">
    <w:name w:val="Margin Note"/>
    <w:basedOn w:val="BodyText"/>
    <w:rsid w:val="00C15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53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341"/>
    <w:rPr>
      <w:sz w:val="32"/>
    </w:rPr>
  </w:style>
  <w:style w:type="paragraph" w:customStyle="1" w:styleId="HeadingProcedure">
    <w:name w:val="Heading Procedure"/>
    <w:basedOn w:val="HeadingBase"/>
    <w:next w:val="Normal"/>
    <w:rsid w:val="00C15341"/>
    <w:pPr>
      <w:tabs>
        <w:tab w:val="left" w:pos="0"/>
      </w:tabs>
      <w:spacing w:before="120" w:after="60"/>
    </w:pPr>
    <w:rPr>
      <w:i/>
      <w:color w:val="918585"/>
      <w:sz w:val="22"/>
    </w:rPr>
  </w:style>
  <w:style w:type="paragraph" w:customStyle="1" w:styleId="TableBodyText">
    <w:name w:val="Table Body Text"/>
    <w:basedOn w:val="BodyText"/>
    <w:rsid w:val="00C15341"/>
    <w:pPr>
      <w:spacing w:before="60" w:after="60"/>
    </w:pPr>
  </w:style>
  <w:style w:type="paragraph" w:styleId="ListContinue">
    <w:name w:val="List Continue"/>
    <w:basedOn w:val="List"/>
    <w:rsid w:val="00C15341"/>
    <w:pPr>
      <w:ind w:firstLine="0"/>
    </w:pPr>
  </w:style>
  <w:style w:type="paragraph" w:customStyle="1" w:styleId="ListNote">
    <w:name w:val="List Note"/>
    <w:basedOn w:val="List"/>
    <w:rsid w:val="00C15341"/>
    <w:pPr>
      <w:pBdr>
        <w:top w:val="single" w:sz="6" w:space="2" w:color="918585"/>
        <w:bottom w:val="single" w:sz="6" w:space="2" w:color="918585"/>
      </w:pBdr>
      <w:tabs>
        <w:tab w:val="left" w:pos="1021"/>
      </w:tabs>
      <w:ind w:firstLine="0"/>
    </w:pPr>
  </w:style>
  <w:style w:type="paragraph" w:customStyle="1" w:styleId="Warning">
    <w:name w:val="Warning"/>
    <w:basedOn w:val="BodyText"/>
    <w:rsid w:val="00C15341"/>
    <w:pPr>
      <w:shd w:val="clear" w:color="auto" w:fill="D9D9D9"/>
      <w:tabs>
        <w:tab w:val="left" w:pos="992"/>
      </w:tabs>
      <w:ind w:left="119" w:right="119"/>
    </w:pPr>
    <w:rPr>
      <w:sz w:val="20"/>
    </w:rPr>
  </w:style>
  <w:style w:type="paragraph" w:customStyle="1" w:styleId="MarginIcons">
    <w:name w:val="Margin Icons"/>
    <w:basedOn w:val="BodyText"/>
    <w:rsid w:val="00C153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5341"/>
    <w:rPr>
      <w:rFonts w:ascii="Courier New" w:hAnsi="Courier New"/>
    </w:rPr>
  </w:style>
  <w:style w:type="paragraph" w:customStyle="1" w:styleId="NoteBullet">
    <w:name w:val="Note Bullet"/>
    <w:basedOn w:val="Note"/>
    <w:rsid w:val="00C15341"/>
    <w:pPr>
      <w:tabs>
        <w:tab w:val="clear" w:pos="680"/>
      </w:tabs>
      <w:spacing w:before="60" w:after="60"/>
    </w:pPr>
  </w:style>
  <w:style w:type="paragraph" w:customStyle="1" w:styleId="SubHeading2">
    <w:name w:val="SubHeading2"/>
    <w:basedOn w:val="HeadingBase"/>
    <w:rsid w:val="00C15341"/>
    <w:pPr>
      <w:spacing w:before="240" w:after="60"/>
    </w:pPr>
    <w:rPr>
      <w:sz w:val="20"/>
    </w:rPr>
  </w:style>
  <w:style w:type="paragraph" w:customStyle="1" w:styleId="SubHeading1">
    <w:name w:val="SubHeading1"/>
    <w:basedOn w:val="HeadingBase"/>
    <w:rsid w:val="00C15341"/>
    <w:pPr>
      <w:spacing w:before="240" w:after="60"/>
    </w:pPr>
    <w:rPr>
      <w:color w:val="918585"/>
      <w:sz w:val="22"/>
    </w:rPr>
  </w:style>
  <w:style w:type="paragraph" w:customStyle="1" w:styleId="SideHeading">
    <w:name w:val="Side Heading"/>
    <w:basedOn w:val="HeadingBase"/>
    <w:rsid w:val="00C15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341"/>
    <w:pPr>
      <w:tabs>
        <w:tab w:val="num" w:pos="360"/>
      </w:tabs>
    </w:pPr>
  </w:style>
  <w:style w:type="paragraph" w:styleId="PlainText">
    <w:name w:val="Plain Text"/>
    <w:basedOn w:val="Normal"/>
    <w:link w:val="PlainTextChar"/>
    <w:rsid w:val="00C15341"/>
    <w:rPr>
      <w:sz w:val="20"/>
    </w:rPr>
  </w:style>
  <w:style w:type="character" w:customStyle="1" w:styleId="PlainTextChar">
    <w:name w:val="Plain Text Char"/>
    <w:basedOn w:val="DefaultParagraphFont"/>
    <w:link w:val="PlainText"/>
    <w:rsid w:val="00C15341"/>
    <w:rPr>
      <w:rFonts w:ascii="Courier New" w:eastAsia="Times New Roman" w:hAnsi="Courier New" w:cs="Times New Roman"/>
      <w:sz w:val="20"/>
      <w:szCs w:val="20"/>
      <w:lang w:val="en-US" w:eastAsia="en-US"/>
    </w:rPr>
  </w:style>
  <w:style w:type="character" w:customStyle="1" w:styleId="MenuOption">
    <w:name w:val="Menu Option"/>
    <w:rsid w:val="00C15341"/>
    <w:rPr>
      <w:b/>
      <w:smallCaps/>
    </w:rPr>
  </w:style>
  <w:style w:type="paragraph" w:customStyle="1" w:styleId="TableListNumber">
    <w:name w:val="Table List Number"/>
    <w:basedOn w:val="ListNumber"/>
    <w:rsid w:val="00C15341"/>
    <w:pPr>
      <w:numPr>
        <w:numId w:val="0"/>
      </w:numPr>
    </w:pPr>
  </w:style>
  <w:style w:type="paragraph" w:styleId="TOC4">
    <w:name w:val="toc 4"/>
    <w:basedOn w:val="TOCBase"/>
    <w:next w:val="Normal"/>
    <w:semiHidden/>
    <w:rsid w:val="00C15341"/>
    <w:pPr>
      <w:tabs>
        <w:tab w:val="right" w:leader="dot" w:pos="9071"/>
      </w:tabs>
      <w:ind w:left="1701"/>
    </w:pPr>
  </w:style>
  <w:style w:type="paragraph" w:customStyle="1" w:styleId="ListAlpha">
    <w:name w:val="List Alpha"/>
    <w:basedOn w:val="List"/>
    <w:rsid w:val="00C15341"/>
    <w:pPr>
      <w:numPr>
        <w:numId w:val="8"/>
      </w:numPr>
    </w:pPr>
  </w:style>
  <w:style w:type="paragraph" w:customStyle="1" w:styleId="ListAlpha2">
    <w:name w:val="List Alpha 2"/>
    <w:basedOn w:val="List2"/>
    <w:rsid w:val="00C15341"/>
    <w:pPr>
      <w:numPr>
        <w:numId w:val="7"/>
      </w:numPr>
    </w:pPr>
  </w:style>
  <w:style w:type="paragraph" w:styleId="List3">
    <w:name w:val="List 3"/>
    <w:basedOn w:val="BodyText"/>
    <w:rsid w:val="00C15341"/>
    <w:pPr>
      <w:tabs>
        <w:tab w:val="left" w:pos="1021"/>
      </w:tabs>
      <w:spacing w:before="60" w:after="60"/>
      <w:ind w:left="1020" w:hanging="340"/>
    </w:pPr>
  </w:style>
  <w:style w:type="paragraph" w:styleId="List4">
    <w:name w:val="List 4"/>
    <w:basedOn w:val="BodyText"/>
    <w:rsid w:val="00C15341"/>
    <w:pPr>
      <w:tabs>
        <w:tab w:val="left" w:pos="1361"/>
      </w:tabs>
      <w:spacing w:before="60" w:after="60"/>
      <w:ind w:left="1361" w:hanging="340"/>
    </w:pPr>
  </w:style>
  <w:style w:type="paragraph" w:styleId="List5">
    <w:name w:val="List 5"/>
    <w:basedOn w:val="BodyText"/>
    <w:rsid w:val="00C15341"/>
    <w:pPr>
      <w:tabs>
        <w:tab w:val="left" w:pos="1701"/>
      </w:tabs>
      <w:spacing w:before="60" w:after="60"/>
      <w:ind w:left="1701" w:hanging="340"/>
    </w:pPr>
  </w:style>
  <w:style w:type="paragraph" w:styleId="ListBullet3">
    <w:name w:val="List Bullet 3"/>
    <w:basedOn w:val="List3"/>
    <w:rsid w:val="00C15341"/>
    <w:pPr>
      <w:numPr>
        <w:numId w:val="14"/>
      </w:numPr>
      <w:tabs>
        <w:tab w:val="clear" w:pos="1021"/>
      </w:tabs>
      <w:ind w:left="1037" w:hanging="357"/>
    </w:pPr>
  </w:style>
  <w:style w:type="paragraph" w:styleId="ListBullet4">
    <w:name w:val="List Bullet 4"/>
    <w:basedOn w:val="List4"/>
    <w:rsid w:val="00C15341"/>
    <w:pPr>
      <w:numPr>
        <w:numId w:val="2"/>
      </w:numPr>
    </w:pPr>
  </w:style>
  <w:style w:type="paragraph" w:styleId="ListBullet5">
    <w:name w:val="List Bullet 5"/>
    <w:basedOn w:val="List5"/>
    <w:rsid w:val="00C15341"/>
    <w:pPr>
      <w:numPr>
        <w:numId w:val="3"/>
      </w:numPr>
    </w:pPr>
  </w:style>
  <w:style w:type="paragraph" w:styleId="ListContinue2">
    <w:name w:val="List Continue 2"/>
    <w:basedOn w:val="List2"/>
    <w:rsid w:val="00C15341"/>
    <w:pPr>
      <w:ind w:firstLine="0"/>
    </w:pPr>
  </w:style>
  <w:style w:type="paragraph" w:styleId="ListContinue3">
    <w:name w:val="List Continue 3"/>
    <w:basedOn w:val="List3"/>
    <w:rsid w:val="00C15341"/>
    <w:pPr>
      <w:ind w:left="1021" w:firstLine="0"/>
    </w:pPr>
  </w:style>
  <w:style w:type="paragraph" w:styleId="ListContinue4">
    <w:name w:val="List Continue 4"/>
    <w:basedOn w:val="List4"/>
    <w:rsid w:val="00C15341"/>
    <w:pPr>
      <w:ind w:firstLine="0"/>
    </w:pPr>
  </w:style>
  <w:style w:type="paragraph" w:styleId="ListContinue5">
    <w:name w:val="List Continue 5"/>
    <w:basedOn w:val="List5"/>
    <w:rsid w:val="00C15341"/>
    <w:pPr>
      <w:ind w:firstLine="0"/>
    </w:pPr>
  </w:style>
  <w:style w:type="paragraph" w:styleId="ListNumber3">
    <w:name w:val="List Number 3"/>
    <w:basedOn w:val="List3"/>
    <w:rsid w:val="00C15341"/>
    <w:pPr>
      <w:numPr>
        <w:numId w:val="4"/>
      </w:numPr>
    </w:pPr>
  </w:style>
  <w:style w:type="paragraph" w:styleId="ListNumber4">
    <w:name w:val="List Number 4"/>
    <w:basedOn w:val="List4"/>
    <w:rsid w:val="00C15341"/>
    <w:pPr>
      <w:numPr>
        <w:numId w:val="5"/>
      </w:numPr>
    </w:pPr>
  </w:style>
  <w:style w:type="paragraph" w:styleId="ListNumber5">
    <w:name w:val="List Number 5"/>
    <w:basedOn w:val="List5"/>
    <w:rsid w:val="00C15341"/>
    <w:pPr>
      <w:numPr>
        <w:numId w:val="6"/>
      </w:numPr>
    </w:pPr>
  </w:style>
  <w:style w:type="paragraph" w:styleId="BlockText">
    <w:name w:val="Block Text"/>
    <w:basedOn w:val="Normal"/>
    <w:rsid w:val="00C15341"/>
    <w:pPr>
      <w:spacing w:after="120"/>
      <w:ind w:left="1440" w:right="1440"/>
    </w:pPr>
  </w:style>
  <w:style w:type="character" w:customStyle="1" w:styleId="Subscript">
    <w:name w:val="Subscript"/>
    <w:rsid w:val="00C15341"/>
    <w:rPr>
      <w:sz w:val="16"/>
      <w:vertAlign w:val="subscript"/>
    </w:rPr>
  </w:style>
  <w:style w:type="character" w:customStyle="1" w:styleId="Superscript">
    <w:name w:val="Superscript"/>
    <w:rsid w:val="00C15341"/>
    <w:rPr>
      <w:sz w:val="16"/>
      <w:vertAlign w:val="superscript"/>
    </w:rPr>
  </w:style>
  <w:style w:type="character" w:customStyle="1" w:styleId="Symbols">
    <w:name w:val="Symbols"/>
    <w:rsid w:val="00C15341"/>
    <w:rPr>
      <w:rFonts w:ascii="Symbol" w:hAnsi="Symbol"/>
    </w:rPr>
  </w:style>
  <w:style w:type="character" w:customStyle="1" w:styleId="MenuOptions">
    <w:name w:val="Menu Options"/>
    <w:rsid w:val="00C15341"/>
    <w:rPr>
      <w:rFonts w:ascii="Arial Narrow" w:hAnsi="Arial Narrow"/>
      <w:smallCaps/>
    </w:rPr>
  </w:style>
  <w:style w:type="character" w:customStyle="1" w:styleId="Buttons">
    <w:name w:val="Buttons"/>
    <w:rsid w:val="00C15341"/>
    <w:rPr>
      <w:b/>
    </w:rPr>
  </w:style>
  <w:style w:type="character" w:customStyle="1" w:styleId="Underlined">
    <w:name w:val="Underlined"/>
    <w:rsid w:val="00C15341"/>
    <w:rPr>
      <w:u w:val="single"/>
    </w:rPr>
  </w:style>
  <w:style w:type="paragraph" w:customStyle="1" w:styleId="TableBodyTextRight">
    <w:name w:val="Table Body Text Right"/>
    <w:basedOn w:val="TableBodyText"/>
    <w:rsid w:val="00C15341"/>
    <w:pPr>
      <w:widowControl w:val="0"/>
      <w:autoSpaceDE w:val="0"/>
      <w:autoSpaceDN w:val="0"/>
      <w:adjustRightInd w:val="0"/>
      <w:jc w:val="right"/>
    </w:pPr>
    <w:rPr>
      <w:rFonts w:cs="Arial"/>
      <w:szCs w:val="18"/>
    </w:rPr>
  </w:style>
  <w:style w:type="paragraph" w:customStyle="1" w:styleId="CopyrightText">
    <w:name w:val="Copyright Text"/>
    <w:basedOn w:val="BodyText"/>
    <w:rsid w:val="00C15341"/>
    <w:rPr>
      <w:sz w:val="18"/>
    </w:rPr>
  </w:style>
  <w:style w:type="paragraph" w:customStyle="1" w:styleId="BodySmallRight">
    <w:name w:val="Body Small Right"/>
    <w:basedOn w:val="BodyTextRight"/>
    <w:rsid w:val="00C15341"/>
    <w:rPr>
      <w:sz w:val="18"/>
      <w:szCs w:val="18"/>
    </w:rPr>
  </w:style>
  <w:style w:type="paragraph" w:customStyle="1" w:styleId="MarginEdition">
    <w:name w:val="Margin Edition"/>
    <w:basedOn w:val="MarginNote"/>
    <w:rsid w:val="00C15341"/>
    <w:pPr>
      <w:spacing w:before="0" w:after="0"/>
    </w:pPr>
    <w:rPr>
      <w:rFonts w:ascii="Times New Roman" w:hAnsi="Times New Roman"/>
      <w:color w:val="999999"/>
    </w:rPr>
  </w:style>
  <w:style w:type="paragraph" w:customStyle="1" w:styleId="Spacer">
    <w:name w:val="Spacer"/>
    <w:basedOn w:val="Normal"/>
    <w:rsid w:val="00C15341"/>
    <w:rPr>
      <w:sz w:val="2"/>
      <w:szCs w:val="2"/>
    </w:rPr>
  </w:style>
  <w:style w:type="character" w:customStyle="1" w:styleId="Small">
    <w:name w:val="Small"/>
    <w:rsid w:val="00C15341"/>
    <w:rPr>
      <w:sz w:val="16"/>
    </w:rPr>
  </w:style>
  <w:style w:type="paragraph" w:customStyle="1" w:styleId="WideTable">
    <w:name w:val="Wide Table"/>
    <w:basedOn w:val="Normal"/>
    <w:rsid w:val="00C15341"/>
    <w:pPr>
      <w:ind w:left="-1418"/>
    </w:pPr>
    <w:rPr>
      <w:sz w:val="2"/>
      <w:szCs w:val="2"/>
    </w:rPr>
  </w:style>
  <w:style w:type="character" w:styleId="PageNumber">
    <w:name w:val="page number"/>
    <w:rsid w:val="00C15341"/>
  </w:style>
  <w:style w:type="paragraph" w:styleId="Quote">
    <w:name w:val="Quote"/>
    <w:basedOn w:val="Heading1"/>
    <w:link w:val="QuoteChar"/>
    <w:qFormat/>
    <w:rsid w:val="00C15341"/>
    <w:rPr>
      <w:b w:val="0"/>
      <w:sz w:val="72"/>
      <w:szCs w:val="72"/>
      <w:lang w:val="en-NZ"/>
    </w:rPr>
  </w:style>
  <w:style w:type="character" w:customStyle="1" w:styleId="QuoteChar">
    <w:name w:val="Quote Char"/>
    <w:link w:val="Quote"/>
    <w:rsid w:val="00C15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341"/>
    <w:pPr>
      <w:pageBreakBefore/>
    </w:pPr>
  </w:style>
  <w:style w:type="paragraph" w:customStyle="1" w:styleId="Border">
    <w:name w:val="Border"/>
    <w:basedOn w:val="Normal"/>
    <w:qFormat/>
    <w:rsid w:val="00C15341"/>
    <w:pPr>
      <w:pBdr>
        <w:top w:val="single" w:sz="18" w:space="1" w:color="auto"/>
      </w:pBdr>
    </w:pPr>
    <w:rPr>
      <w:rFonts w:ascii="Times New Roman" w:hAnsi="Times New Roman"/>
      <w:color w:val="FFFFFF"/>
      <w:sz w:val="2"/>
    </w:rPr>
  </w:style>
  <w:style w:type="character" w:styleId="IntenseEmphasis">
    <w:name w:val="Intense Emphasis"/>
    <w:uiPriority w:val="21"/>
    <w:qFormat/>
    <w:rsid w:val="00C15341"/>
    <w:rPr>
      <w:b/>
      <w:bCs/>
      <w:i/>
      <w:iCs/>
      <w:color w:val="auto"/>
    </w:rPr>
  </w:style>
  <w:style w:type="paragraph" w:styleId="IntenseQuote">
    <w:name w:val="Intense Quote"/>
    <w:basedOn w:val="Normal"/>
    <w:next w:val="Normal"/>
    <w:link w:val="IntenseQuoteChar"/>
    <w:uiPriority w:val="30"/>
    <w:qFormat/>
    <w:rsid w:val="00C153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5341"/>
    <w:rPr>
      <w:rFonts w:ascii="Courier New" w:eastAsia="Times New Roman" w:hAnsi="Courier New" w:cs="Times New Roman"/>
      <w:b/>
      <w:bCs/>
      <w:i/>
      <w:iCs/>
      <w:szCs w:val="20"/>
      <w:lang w:val="en-US" w:eastAsia="en-US"/>
    </w:rPr>
  </w:style>
  <w:style w:type="character" w:styleId="SubtleReference">
    <w:name w:val="Subtle Reference"/>
    <w:uiPriority w:val="31"/>
    <w:qFormat/>
    <w:rsid w:val="00C15341"/>
    <w:rPr>
      <w:smallCaps/>
      <w:color w:val="auto"/>
      <w:u w:val="single"/>
    </w:rPr>
  </w:style>
  <w:style w:type="character" w:styleId="IntenseReference">
    <w:name w:val="Intense Reference"/>
    <w:uiPriority w:val="32"/>
    <w:qFormat/>
    <w:rsid w:val="00C15341"/>
    <w:rPr>
      <w:b/>
      <w:bCs/>
      <w:smallCaps/>
      <w:color w:val="auto"/>
      <w:spacing w:val="5"/>
      <w:u w:val="single"/>
    </w:rPr>
  </w:style>
  <w:style w:type="paragraph" w:customStyle="1" w:styleId="2ColumnHeading">
    <w:name w:val="2Column Heading"/>
    <w:basedOn w:val="BodyText"/>
    <w:qFormat/>
    <w:rsid w:val="00C15341"/>
    <w:pPr>
      <w:spacing w:after="60"/>
      <w:ind w:left="-2268"/>
    </w:pPr>
    <w:rPr>
      <w:b/>
    </w:rPr>
  </w:style>
  <w:style w:type="paragraph" w:customStyle="1" w:styleId="Heading1TOC">
    <w:name w:val="Heading1 TOC"/>
    <w:basedOn w:val="Normal"/>
    <w:qFormat/>
    <w:rsid w:val="00C15341"/>
    <w:pPr>
      <w:spacing w:before="240" w:after="120"/>
    </w:pPr>
    <w:rPr>
      <w:rFonts w:ascii="Times New Roman" w:hAnsi="Times New Roman"/>
      <w:b/>
      <w:sz w:val="32"/>
    </w:rPr>
  </w:style>
  <w:style w:type="paragraph" w:customStyle="1" w:styleId="Heading2TOC">
    <w:name w:val="Heading2 TOC"/>
    <w:basedOn w:val="Normal"/>
    <w:qFormat/>
    <w:rsid w:val="00C15341"/>
    <w:pPr>
      <w:spacing w:before="240" w:after="60"/>
    </w:pPr>
    <w:rPr>
      <w:rFonts w:ascii="Times New Roman" w:hAnsi="Times New Roman"/>
      <w:b/>
      <w:sz w:val="28"/>
    </w:rPr>
  </w:style>
  <w:style w:type="character" w:customStyle="1" w:styleId="Underline">
    <w:name w:val="Underline"/>
    <w:qFormat/>
    <w:rsid w:val="00C15341"/>
    <w:rPr>
      <w:u w:val="single"/>
    </w:rPr>
  </w:style>
  <w:style w:type="character" w:customStyle="1" w:styleId="BoldandItalics">
    <w:name w:val="Bold and Italics"/>
    <w:qFormat/>
    <w:rsid w:val="00C15341"/>
    <w:rPr>
      <w:b/>
      <w:i/>
      <w:u w:val="none"/>
    </w:rPr>
  </w:style>
  <w:style w:type="paragraph" w:styleId="BalloonText">
    <w:name w:val="Balloon Text"/>
    <w:basedOn w:val="Normal"/>
    <w:link w:val="BalloonTextChar"/>
    <w:rsid w:val="00C15341"/>
    <w:rPr>
      <w:rFonts w:ascii="Tahoma" w:hAnsi="Tahoma" w:cs="Tahoma"/>
      <w:sz w:val="16"/>
      <w:szCs w:val="16"/>
    </w:rPr>
  </w:style>
  <w:style w:type="character" w:customStyle="1" w:styleId="BalloonTextChar">
    <w:name w:val="Balloon Text Char"/>
    <w:link w:val="BalloonText"/>
    <w:rsid w:val="00C153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3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53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917</Words>
  <Characters>5639</Characters>
  <Application>Microsoft Office Word</Application>
  <DocSecurity>0</DocSecurity>
  <Lines>216</Lines>
  <Paragraphs>101</Paragraphs>
  <ScaleCrop>false</ScaleCrop>
  <Company>Author-it Software Corporation Ltd.</Company>
  <LinksUpToDate>false</LinksUpToDate>
  <CharactersWithSpaces>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MEM07009B Perform precision jig boring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2012-05-27T01:34:00Z</dcterms:created>
  <dcterms:modified xsi:type="dcterms:W3CDTF">2012-05-27T01:34:00Z</dcterms:modified>
</cp:coreProperties>
</file>