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2AB" w:rsidP="007942AB">
      <w:pPr>
        <w:pStyle w:val="Title"/>
      </w:pPr>
      <w:r>
        <w:fldChar w:fldCharType="begin"/>
      </w:r>
      <w:r>
        <w:instrText xml:space="preserve"> TITLE   \* MERGEFORMAT </w:instrText>
      </w:r>
      <w:r>
        <w:fldChar w:fldCharType="separate"/>
      </w:r>
      <w:r>
        <w:t>MEM06008A Hammer forge complex shapes</w:t>
      </w:r>
      <w:r>
        <w:fldChar w:fldCharType="end"/>
      </w:r>
    </w:p>
    <w:p w:rsidR="007942AB" w:rsidP="007942AB">
      <w:pPr>
        <w:pStyle w:val="Version"/>
        <w:sectPr w:rsidSect="002C6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624" w:rsidP="002C6624">
      <w:pPr>
        <w:pStyle w:val="SuperHeading"/>
      </w:pPr>
      <w:r w:rsidRPr="002C6624">
        <w:t>MEM06008A Hammer forge complex shapes</w:t>
      </w:r>
    </w:p>
    <w:p w:rsidR="00000000" w:rsidRPr="002C6624" w:rsidP="002C6624">
      <w:pPr>
        <w:pStyle w:val="Heading1"/>
      </w:pPr>
      <w:bookmarkStart w:id="1" w:name="O_272046"/>
      <w:bookmarkEnd w:id="1"/>
      <w:r w:rsidRPr="002C6624">
        <w:t>Modification History</w:t>
      </w:r>
    </w:p>
    <w:p w:rsidR="00000000" w:rsidRPr="002C6624" w:rsidP="002C6624">
      <w:pPr>
        <w:pStyle w:val="BodyText"/>
      </w:pPr>
      <w:r w:rsidRPr="002C6624">
        <w:t>Not Applicable</w:t>
      </w:r>
    </w:p>
    <w:p w:rsidR="00000000" w:rsidRPr="002C6624" w:rsidP="002C6624">
      <w:pPr>
        <w:pStyle w:val="AllowPageBreak"/>
      </w:pPr>
    </w:p>
    <w:p w:rsidR="00000000" w:rsidRPr="002C6624" w:rsidP="002C6624">
      <w:pPr>
        <w:pStyle w:val="Heading1"/>
      </w:pPr>
      <w:bookmarkStart w:id="2" w:name="O_210760"/>
      <w:bookmarkEnd w:id="2"/>
      <w:r w:rsidRPr="002C6624">
        <w:t>Unit Descriptor</w:t>
      </w:r>
    </w:p>
    <w:tbl>
      <w:tblPr>
        <w:tblW w:w="0" w:type="auto"/>
        <w:tblLayout w:type="fixed"/>
        <w:tblCellMar>
          <w:left w:w="62" w:type="dxa"/>
          <w:right w:w="62" w:type="dxa"/>
        </w:tblCellMar>
        <w:tblLook w:val="0000"/>
      </w:tblPr>
      <w:tblGrid>
        <w:gridCol w:w="2673"/>
        <w:gridCol w:w="5849"/>
      </w:tblGrid>
      <w:tr w:rsidTr="007942A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This unit covers forging complex shapes using a power hammer.</w:t>
            </w:r>
          </w:p>
        </w:tc>
      </w:tr>
    </w:tbl>
    <w:p w:rsidR="007942AB" w:rsidP="002C6624">
      <w:pPr>
        <w:pStyle w:val="BodyText"/>
      </w:pPr>
    </w:p>
    <w:p w:rsidR="007942AB" w:rsidP="002C6624">
      <w:pPr>
        <w:pStyle w:val="BodyText"/>
      </w:pPr>
    </w:p>
    <w:p w:rsidR="00000000" w:rsidRPr="002C6624" w:rsidP="002C6624">
      <w:pPr>
        <w:pStyle w:val="Heading1"/>
      </w:pPr>
      <w:bookmarkStart w:id="3" w:name="O_210764"/>
      <w:bookmarkEnd w:id="3"/>
      <w:r w:rsidRPr="002C6624">
        <w:t>Application of the Unit</w:t>
      </w:r>
    </w:p>
    <w:tbl>
      <w:tblPr>
        <w:tblW w:w="0" w:type="auto"/>
        <w:tblLayout w:type="fixed"/>
        <w:tblCellMar>
          <w:left w:w="62" w:type="dxa"/>
          <w:right w:w="62" w:type="dxa"/>
        </w:tblCellMar>
        <w:tblLook w:val="0000"/>
      </w:tblPr>
      <w:tblGrid>
        <w:gridCol w:w="2745"/>
        <w:gridCol w:w="5777"/>
      </w:tblGrid>
      <w:tr w:rsidTr="007942A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 xml:space="preserve">This unit applies to open die forging of complex shapes commonly forged in the forging and fabrication areas of industry including forged bosses, heavy rings and bushes. </w:t>
            </w:r>
          </w:p>
          <w:p w:rsidR="00000000" w:rsidRPr="002C6624" w:rsidP="002C6624">
            <w:pPr>
              <w:pStyle w:val="BodyText"/>
            </w:pPr>
            <w:r w:rsidRPr="002C6624">
              <w:t>Specialised methods of holding, and positioning and lifting c</w:t>
            </w:r>
            <w:r w:rsidRPr="002C6624">
              <w:t xml:space="preserve">omplex forgings are covered. </w:t>
            </w:r>
          </w:p>
          <w:p w:rsidR="00000000" w:rsidRPr="002C6624" w:rsidP="002C6624">
            <w:pPr>
              <w:pStyle w:val="BodyText"/>
            </w:pPr>
            <w:r w:rsidRPr="002C6624">
              <w:t>Equipment may include forging plant, diesel and gas furnaces.</w:t>
            </w:r>
          </w:p>
          <w:p w:rsidR="00000000" w:rsidRPr="002C6624" w:rsidP="002C6624">
            <w:pPr>
              <w:pStyle w:val="BodyText"/>
            </w:pPr>
            <w:r w:rsidRPr="002C6624">
              <w:t>For basic use of power hammer, Unit MEM06002B (Perform hammer forging) should be selected.</w:t>
            </w:r>
          </w:p>
          <w:p w:rsidR="00000000" w:rsidRPr="002C6624" w:rsidP="002C6624">
            <w:pPr>
              <w:pStyle w:val="BodyText"/>
            </w:pPr>
          </w:p>
          <w:p w:rsidR="00000000" w:rsidRPr="002C6624" w:rsidP="002C6624">
            <w:pPr>
              <w:pStyle w:val="BodyText"/>
            </w:pPr>
            <w:r w:rsidRPr="002C6624">
              <w:rPr>
                <w:rStyle w:val="SpecialBold"/>
              </w:rPr>
              <w:t>Band</w:t>
            </w:r>
            <w:r w:rsidRPr="002C6624">
              <w:t>:</w:t>
            </w:r>
            <w:r w:rsidRPr="002C6624">
              <w:tab/>
            </w:r>
            <w:r w:rsidRPr="002C6624">
              <w:rPr>
                <w:rStyle w:val="SpecialBold"/>
              </w:rPr>
              <w:t>A</w:t>
            </w:r>
          </w:p>
          <w:p w:rsidR="00000000" w:rsidRPr="002C6624" w:rsidP="002C6624">
            <w:pPr>
              <w:pStyle w:val="BodyText"/>
            </w:pPr>
            <w:r w:rsidRPr="002C6624">
              <w:rPr>
                <w:rStyle w:val="SpecialBold"/>
              </w:rPr>
              <w:t>Unit Weight</w:t>
            </w:r>
            <w:r w:rsidRPr="002C6624">
              <w:t>:</w:t>
            </w:r>
            <w:r w:rsidRPr="002C6624">
              <w:tab/>
            </w:r>
            <w:r w:rsidRPr="002C6624">
              <w:rPr>
                <w:rStyle w:val="SpecialBold"/>
              </w:rPr>
              <w:t>4</w:t>
            </w:r>
          </w:p>
        </w:tc>
      </w:tr>
    </w:tbl>
    <w:p w:rsidR="007942AB" w:rsidP="002C6624">
      <w:pPr>
        <w:pStyle w:val="BodyText"/>
      </w:pPr>
    </w:p>
    <w:p w:rsidR="007942AB" w:rsidP="002C6624">
      <w:pPr>
        <w:pStyle w:val="BodyText"/>
      </w:pPr>
    </w:p>
    <w:p w:rsidR="00000000" w:rsidRPr="002C6624" w:rsidP="002C6624">
      <w:pPr>
        <w:pStyle w:val="Heading1"/>
      </w:pPr>
      <w:bookmarkStart w:id="4" w:name="O_280306"/>
      <w:bookmarkEnd w:id="4"/>
      <w:r w:rsidRPr="002C6624">
        <w:t>Licensing/Regulatory Information</w:t>
      </w:r>
    </w:p>
    <w:p w:rsidR="00000000" w:rsidRPr="002C6624" w:rsidP="002C6624">
      <w:pPr>
        <w:pStyle w:val="BodyText"/>
      </w:pPr>
      <w:r w:rsidRPr="002C6624">
        <w:t>Not Applicable</w:t>
      </w:r>
    </w:p>
    <w:p w:rsidR="00000000" w:rsidRPr="002C6624" w:rsidP="002C6624">
      <w:pPr>
        <w:pStyle w:val="AllowPageBreak"/>
      </w:pPr>
    </w:p>
    <w:p w:rsidR="00000000" w:rsidRPr="002C6624" w:rsidP="002C6624">
      <w:pPr>
        <w:pStyle w:val="Heading1"/>
      </w:pPr>
      <w:bookmarkStart w:id="5" w:name="O_210762"/>
      <w:bookmarkEnd w:id="5"/>
      <w:r w:rsidRPr="002C6624">
        <w:t>Pre-Requisites</w:t>
      </w:r>
    </w:p>
    <w:tbl>
      <w:tblPr>
        <w:tblW w:w="0" w:type="auto"/>
        <w:tblLayout w:type="fixed"/>
        <w:tblCellMar>
          <w:left w:w="62" w:type="dxa"/>
          <w:right w:w="62" w:type="dxa"/>
        </w:tblCellMar>
        <w:tblLook w:val="0000"/>
      </w:tblPr>
      <w:tblGrid>
        <w:gridCol w:w="2713"/>
        <w:gridCol w:w="2195"/>
        <w:gridCol w:w="3614"/>
      </w:tblGrid>
      <w:tr w:rsidTr="007942AB">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p>
        </w:tc>
      </w:tr>
      <w:tr w:rsidTr="007942A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 xml:space="preserve">MEM06002B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Perform hammer forging</w:t>
            </w:r>
          </w:p>
        </w:tc>
      </w:tr>
      <w:tr w:rsidTr="007942A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p>
        </w:tc>
      </w:tr>
    </w:tbl>
    <w:p w:rsidR="007942AB" w:rsidP="002C6624">
      <w:pPr>
        <w:pStyle w:val="BodyText"/>
      </w:pPr>
    </w:p>
    <w:p w:rsidR="007942AB" w:rsidP="002C6624">
      <w:pPr>
        <w:pStyle w:val="BodyText"/>
      </w:pPr>
    </w:p>
    <w:p w:rsidR="00000000" w:rsidRPr="002C6624" w:rsidP="002C6624">
      <w:pPr>
        <w:pStyle w:val="Heading1"/>
      </w:pPr>
      <w:bookmarkStart w:id="6" w:name="O_210761"/>
      <w:bookmarkEnd w:id="6"/>
      <w:r w:rsidRPr="002C6624">
        <w:t>Employability Skills Information</w:t>
      </w:r>
    </w:p>
    <w:tbl>
      <w:tblPr>
        <w:tblW w:w="0" w:type="auto"/>
        <w:tblLayout w:type="fixed"/>
        <w:tblCellMar>
          <w:left w:w="62" w:type="dxa"/>
          <w:right w:w="62" w:type="dxa"/>
        </w:tblCellMar>
        <w:tblLook w:val="0000"/>
      </w:tblPr>
      <w:tblGrid>
        <w:gridCol w:w="2802"/>
        <w:gridCol w:w="5720"/>
      </w:tblGrid>
      <w:tr w:rsidTr="007942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This unit contains employability skills.</w:t>
            </w:r>
          </w:p>
        </w:tc>
      </w:tr>
    </w:tbl>
    <w:p w:rsidR="007942AB" w:rsidP="002C6624">
      <w:pPr>
        <w:pStyle w:val="BodyText"/>
      </w:pPr>
    </w:p>
    <w:p w:rsidR="007942AB" w:rsidP="002C6624">
      <w:pPr>
        <w:pStyle w:val="BodyText"/>
      </w:pPr>
    </w:p>
    <w:p w:rsidR="00000000" w:rsidRPr="002C6624" w:rsidP="002C6624">
      <w:pPr>
        <w:pStyle w:val="Heading1"/>
      </w:pPr>
      <w:bookmarkStart w:id="7" w:name="O_290092"/>
      <w:bookmarkEnd w:id="7"/>
      <w:r w:rsidRPr="002C6624">
        <w:t>Elements and Performance Criteria Pre-Content</w:t>
      </w:r>
    </w:p>
    <w:tbl>
      <w:tblPr>
        <w:tblW w:w="0" w:type="auto"/>
        <w:tblLayout w:type="fixed"/>
        <w:tblCellMar>
          <w:left w:w="62" w:type="dxa"/>
          <w:right w:w="62" w:type="dxa"/>
        </w:tblCellMar>
        <w:tblLook w:val="0000"/>
      </w:tblPr>
      <w:tblGrid>
        <w:gridCol w:w="2542"/>
        <w:gridCol w:w="5980"/>
      </w:tblGrid>
      <w:tr w:rsidTr="007942A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Performance criteria describe the performance needed to demonstrate achievement of the element. Where bold italicised text is used, further information is detailed in the required skills and knowledge section and the range statement. Assessment of performa</w:t>
            </w:r>
            <w:r w:rsidRPr="002C6624">
              <w:t>nce is to be consistent with the evidence guide.</w:t>
            </w:r>
          </w:p>
        </w:tc>
      </w:tr>
    </w:tbl>
    <w:p w:rsidR="00000000" w:rsidRPr="002C6624" w:rsidP="002C6624">
      <w:pPr>
        <w:pStyle w:val="BodyText"/>
      </w:pPr>
    </w:p>
    <w:p w:rsidR="00000000" w:rsidRPr="002C6624" w:rsidP="002C6624">
      <w:pPr>
        <w:pStyle w:val="AllowPageBreak"/>
      </w:pPr>
    </w:p>
    <w:p w:rsidR="00000000" w:rsidRPr="002C6624" w:rsidP="002C6624">
      <w:pPr>
        <w:pStyle w:val="Heading1"/>
      </w:pPr>
      <w:bookmarkStart w:id="8" w:name="O_236759"/>
      <w:bookmarkEnd w:id="8"/>
      <w:r w:rsidRPr="002C6624">
        <w:t>Elements and Performance Criteria</w:t>
      </w:r>
    </w:p>
    <w:tbl>
      <w:tblPr>
        <w:tblW w:w="0" w:type="auto"/>
        <w:tblLayout w:type="fixed"/>
        <w:tblCellMar>
          <w:left w:w="62" w:type="dxa"/>
          <w:right w:w="62" w:type="dxa"/>
        </w:tblCellMar>
        <w:tblLook w:val="0000"/>
      </w:tblPr>
      <w:tblGrid>
        <w:gridCol w:w="2542"/>
        <w:gridCol w:w="5980"/>
      </w:tblGrid>
      <w:tr w:rsidTr="007942AB">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PERFORMANCE CRITERIA</w:t>
            </w:r>
          </w:p>
        </w:tc>
      </w:tr>
      <w:tr w:rsidTr="007942A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List"/>
              <w:rPr>
                <w:lang w:val="en-NZ"/>
              </w:rPr>
            </w:pPr>
            <w:r w:rsidRPr="002C6624">
              <w:t>1.</w:t>
            </w:r>
            <w:r w:rsidRPr="002C6624">
              <w:tab/>
              <w:t>Set up and operate forging machine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List2"/>
            </w:pPr>
            <w:r w:rsidRPr="002C6624">
              <w:t>1.1.</w:t>
            </w:r>
            <w:r w:rsidRPr="002C6624">
              <w:tab/>
              <w:t xml:space="preserve">The forging machine is set up and operated in accordance with standard operating </w:t>
            </w:r>
            <w:r w:rsidRPr="002C6624">
              <w:t>procedures and specifications.</w:t>
            </w:r>
          </w:p>
          <w:p w:rsidR="00000000" w:rsidRPr="002C6624" w:rsidP="002C6624">
            <w:pPr>
              <w:pStyle w:val="List2"/>
            </w:pPr>
            <w:r w:rsidRPr="002C6624">
              <w:t>1.2.</w:t>
            </w:r>
            <w:r w:rsidRPr="002C6624">
              <w:tab/>
              <w:t>Complex open die tooling is selected and used according to workplace procedures.</w:t>
            </w:r>
          </w:p>
          <w:p w:rsidR="00000000" w:rsidP="002C6624">
            <w:pPr>
              <w:pStyle w:val="List2"/>
              <w:rPr>
                <w:lang w:val="en-NZ"/>
              </w:rPr>
            </w:pPr>
            <w:r w:rsidRPr="002C6624">
              <w:t>1.3.</w:t>
            </w:r>
            <w:r w:rsidRPr="002C6624">
              <w:tab/>
              <w:t>Safe operating procedures are followed.</w:t>
            </w:r>
          </w:p>
        </w:tc>
      </w:tr>
      <w:tr w:rsidTr="007942A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List"/>
              <w:rPr>
                <w:lang w:val="en-NZ"/>
              </w:rPr>
            </w:pPr>
            <w:r w:rsidRPr="002C6624">
              <w:t>2.</w:t>
            </w:r>
            <w:r w:rsidRPr="002C6624">
              <w:tab/>
              <w:t>Forge complex shapes and heavy parts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List2"/>
            </w:pPr>
            <w:r w:rsidRPr="002C6624">
              <w:t>2.1.</w:t>
            </w:r>
            <w:r w:rsidRPr="002C6624">
              <w:tab/>
            </w:r>
            <w:r w:rsidRPr="002C6624">
              <w:t>The material to be forged is safely and correctly positioned in the forming equipment in accordance with standard operating procedures.</w:t>
            </w:r>
          </w:p>
          <w:p w:rsidR="00000000" w:rsidRPr="002C6624" w:rsidP="002C6624">
            <w:pPr>
              <w:pStyle w:val="List2"/>
            </w:pPr>
            <w:r w:rsidRPr="002C6624">
              <w:t>2.2.</w:t>
            </w:r>
            <w:r w:rsidRPr="002C6624">
              <w:tab/>
              <w:t>Hot forgings are marked and measured as required.</w:t>
            </w:r>
          </w:p>
          <w:p w:rsidR="00000000" w:rsidRPr="002C6624" w:rsidP="002C6624">
            <w:pPr>
              <w:pStyle w:val="List2"/>
            </w:pPr>
            <w:r w:rsidRPr="002C6624">
              <w:t>2.3.</w:t>
            </w:r>
            <w:r w:rsidRPr="002C6624">
              <w:tab/>
              <w:t>Allowance is made for material shrinkage and oxidisation.</w:t>
            </w:r>
          </w:p>
          <w:p w:rsidR="00000000" w:rsidRPr="002C6624" w:rsidP="002C6624">
            <w:pPr>
              <w:pStyle w:val="List2"/>
            </w:pPr>
            <w:r w:rsidRPr="002C6624">
              <w:t>2.</w:t>
            </w:r>
            <w:r w:rsidRPr="002C6624">
              <w:t>4.</w:t>
            </w:r>
            <w:r w:rsidRPr="002C6624">
              <w:tab/>
              <w:t>Hammer tools and fixtures attached to power hammer are used correctly.</w:t>
            </w:r>
          </w:p>
          <w:p w:rsidR="00000000" w:rsidRPr="002C6624" w:rsidP="002C6624">
            <w:pPr>
              <w:pStyle w:val="List2"/>
            </w:pPr>
            <w:r w:rsidRPr="002C6624">
              <w:t>2.5.</w:t>
            </w:r>
            <w:r w:rsidRPr="002C6624">
              <w:tab/>
              <w:t>Forging is checked to ensure conformance to tolerances and specifications.</w:t>
            </w:r>
          </w:p>
          <w:p w:rsidR="00000000" w:rsidP="002C6624">
            <w:pPr>
              <w:pStyle w:val="List2"/>
              <w:rPr>
                <w:lang w:val="en-NZ"/>
              </w:rPr>
            </w:pPr>
            <w:r w:rsidRPr="002C6624">
              <w:t>2.6.</w:t>
            </w:r>
            <w:r w:rsidRPr="002C6624">
              <w:tab/>
              <w:t xml:space="preserve">Forgings are handled safely and correctly according to workplace procedures. </w:t>
            </w:r>
          </w:p>
        </w:tc>
      </w:tr>
      <w:tr w:rsidTr="007942AB">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List"/>
              <w:rPr>
                <w:lang w:val="en-NZ"/>
              </w:rPr>
            </w:pPr>
            <w:r w:rsidRPr="002C6624">
              <w:t>3.</w:t>
            </w:r>
            <w:r w:rsidRPr="002C6624">
              <w:tab/>
              <w:t>Heat complex fo</w:t>
            </w:r>
            <w:r w:rsidRPr="002C6624">
              <w:t>rgings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List2"/>
            </w:pPr>
            <w:r w:rsidRPr="002C6624">
              <w:t>3.1.</w:t>
            </w:r>
            <w:r w:rsidRPr="002C6624">
              <w:tab/>
              <w:t>Heating plant and equipment is selected appropriate to work undertaken.</w:t>
            </w:r>
          </w:p>
          <w:p w:rsidR="00000000" w:rsidRPr="002C6624" w:rsidP="002C6624">
            <w:pPr>
              <w:pStyle w:val="List2"/>
            </w:pPr>
            <w:r w:rsidRPr="002C6624">
              <w:t>3.2.</w:t>
            </w:r>
            <w:r w:rsidRPr="002C6624">
              <w:tab/>
              <w:t xml:space="preserve">Techniques used to heat heavy and complex forgings are applied correctly. </w:t>
            </w:r>
          </w:p>
          <w:p w:rsidR="00000000" w:rsidRPr="002C6624" w:rsidP="002C6624">
            <w:pPr>
              <w:pStyle w:val="List2"/>
            </w:pPr>
            <w:r w:rsidRPr="002C6624">
              <w:t>3.3.</w:t>
            </w:r>
            <w:r w:rsidRPr="002C6624">
              <w:tab/>
              <w:t>Post-forging heating is performed correctly and safely.</w:t>
            </w:r>
          </w:p>
          <w:p w:rsidR="00000000" w:rsidRPr="002C6624" w:rsidP="002C6624">
            <w:pPr>
              <w:pStyle w:val="List2"/>
            </w:pPr>
            <w:r w:rsidRPr="002C6624">
              <w:t>3.4.</w:t>
            </w:r>
            <w:r w:rsidRPr="002C6624">
              <w:tab/>
              <w:t>Hot forgings are handled s</w:t>
            </w:r>
            <w:r w:rsidRPr="002C6624">
              <w:t>afely and according to workplace procedures.</w:t>
            </w:r>
          </w:p>
        </w:tc>
      </w:tr>
    </w:tbl>
    <w:p w:rsidR="007942AB" w:rsidP="002C6624">
      <w:pPr>
        <w:pStyle w:val="BodyText"/>
      </w:pPr>
    </w:p>
    <w:p w:rsidR="007942AB" w:rsidP="002C6624">
      <w:pPr>
        <w:pStyle w:val="BodyText"/>
      </w:pPr>
    </w:p>
    <w:p w:rsidR="00000000" w:rsidRPr="002C6624" w:rsidP="002C6624">
      <w:pPr>
        <w:pStyle w:val="Heading1"/>
      </w:pPr>
      <w:bookmarkStart w:id="9" w:name="O_260709"/>
      <w:bookmarkEnd w:id="9"/>
      <w:r w:rsidRPr="002C6624">
        <w:t>Required Skills and Knowledge</w:t>
      </w:r>
    </w:p>
    <w:tbl>
      <w:tblPr>
        <w:tblW w:w="0" w:type="auto"/>
        <w:tblLayout w:type="fixed"/>
        <w:tblCellMar>
          <w:left w:w="62" w:type="dxa"/>
          <w:right w:w="62" w:type="dxa"/>
        </w:tblCellMar>
        <w:tblLook w:val="0000"/>
      </w:tblPr>
      <w:tblGrid>
        <w:gridCol w:w="8522"/>
      </w:tblGrid>
      <w:tr w:rsidTr="007942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REQUIRED SKILLS AND KNOWLEDGE</w:t>
            </w:r>
          </w:p>
        </w:tc>
      </w:tr>
      <w:tr w:rsidTr="007942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This section describes the skills and knowledge required for this unit.</w:t>
            </w:r>
          </w:p>
        </w:tc>
      </w:tr>
      <w:tr w:rsidTr="007942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Required skills</w:t>
            </w:r>
          </w:p>
        </w:tc>
      </w:tr>
      <w:tr w:rsidTr="007942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Look for evidence that confirms skills in:</w:t>
            </w:r>
          </w:p>
          <w:p w:rsidR="00000000" w:rsidRPr="002C6624" w:rsidP="002C6624">
            <w:pPr>
              <w:pStyle w:val="ListBullet"/>
            </w:pPr>
            <w:r w:rsidRPr="002C6624">
              <w:t xml:space="preserve">selecting and using measuring guides </w:t>
            </w:r>
          </w:p>
          <w:p w:rsidR="00000000" w:rsidRPr="002C6624" w:rsidP="002C6624">
            <w:pPr>
              <w:pStyle w:val="ListBullet"/>
            </w:pPr>
            <w:r w:rsidRPr="002C6624">
              <w:t xml:space="preserve">calculating allowance for material shrinkage and oxidisation </w:t>
            </w:r>
          </w:p>
          <w:p w:rsidR="00000000" w:rsidRPr="002C6624" w:rsidP="002C6624">
            <w:pPr>
              <w:pStyle w:val="ListBullet"/>
            </w:pPr>
            <w:r w:rsidRPr="002C6624">
              <w:t>setting up and operating forging machine</w:t>
            </w:r>
          </w:p>
          <w:p w:rsidR="00000000" w:rsidRPr="002C6624" w:rsidP="002C6624">
            <w:pPr>
              <w:pStyle w:val="ListBullet"/>
            </w:pPr>
            <w:r w:rsidRPr="002C6624">
              <w:t>selecting forming tools and equipment</w:t>
            </w:r>
          </w:p>
          <w:p w:rsidR="00000000" w:rsidRPr="002C6624" w:rsidP="002C6624">
            <w:pPr>
              <w:pStyle w:val="ListBullet"/>
            </w:pPr>
            <w:r w:rsidRPr="002C6624">
              <w:t>positioning material</w:t>
            </w:r>
          </w:p>
          <w:p w:rsidR="00000000" w:rsidRPr="002C6624" w:rsidP="002C6624">
            <w:pPr>
              <w:pStyle w:val="ListBullet"/>
            </w:pPr>
            <w:r w:rsidRPr="002C6624">
              <w:t>handling mat</w:t>
            </w:r>
            <w:r w:rsidRPr="002C6624">
              <w:t>erials</w:t>
            </w:r>
          </w:p>
          <w:p w:rsidR="00000000" w:rsidRPr="002C6624" w:rsidP="002C6624">
            <w:pPr>
              <w:pStyle w:val="ListBullet"/>
            </w:pPr>
            <w:r w:rsidRPr="002C6624">
              <w:t xml:space="preserve">selecting and setting up heating equipment </w:t>
            </w:r>
          </w:p>
          <w:p w:rsidR="00000000" w:rsidP="002C6624">
            <w:pPr>
              <w:pStyle w:val="ListBullet"/>
              <w:rPr>
                <w:lang w:val="en-NZ"/>
              </w:rPr>
            </w:pPr>
            <w:r w:rsidRPr="002C6624">
              <w:t>performing heat treatment process(es) for forging</w:t>
            </w:r>
          </w:p>
        </w:tc>
      </w:tr>
      <w:tr w:rsidTr="007942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Required knowledge</w:t>
            </w:r>
          </w:p>
        </w:tc>
      </w:tr>
      <w:tr w:rsidTr="007942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Look for evidence that confirms knowledge of:</w:t>
            </w:r>
          </w:p>
          <w:p w:rsidR="00000000" w:rsidRPr="002C6624" w:rsidP="002C6624">
            <w:pPr>
              <w:pStyle w:val="ListBullet"/>
            </w:pPr>
            <w:r w:rsidRPr="002C6624">
              <w:t xml:space="preserve">hammer tools and formers and their applications  </w:t>
            </w:r>
          </w:p>
          <w:p w:rsidR="00000000" w:rsidRPr="002C6624" w:rsidP="002C6624">
            <w:pPr>
              <w:pStyle w:val="ListBullet"/>
            </w:pPr>
            <w:r w:rsidRPr="002C6624">
              <w:t>hammer forging techniques</w:t>
            </w:r>
          </w:p>
          <w:p w:rsidR="00000000" w:rsidRPr="002C6624" w:rsidP="002C6624">
            <w:pPr>
              <w:pStyle w:val="ListBullet"/>
            </w:pPr>
            <w:r w:rsidRPr="002C6624">
              <w:t>numerical operations and calculations/formulae for data analysis within the scope of this unit</w:t>
            </w:r>
          </w:p>
          <w:p w:rsidR="00000000" w:rsidRPr="002C6624" w:rsidP="002C6624">
            <w:pPr>
              <w:pStyle w:val="ListBullet"/>
            </w:pPr>
            <w:r w:rsidRPr="002C6624">
              <w:t>tools, formers and techniques to produce a range of hammer forged articles</w:t>
            </w:r>
          </w:p>
          <w:p w:rsidR="00000000" w:rsidRPr="002C6624" w:rsidP="002C6624">
            <w:pPr>
              <w:pStyle w:val="ListBullet"/>
            </w:pPr>
            <w:r w:rsidRPr="002C6624">
              <w:t>procedures for measuring forged articles</w:t>
            </w:r>
          </w:p>
          <w:p w:rsidR="00000000" w:rsidRPr="002C6624" w:rsidP="002C6624">
            <w:pPr>
              <w:pStyle w:val="ListBullet"/>
            </w:pPr>
            <w:r w:rsidRPr="002C6624">
              <w:t>effects of material shrinkage and oxidisation</w:t>
            </w:r>
            <w:r w:rsidRPr="002C6624">
              <w:t xml:space="preserve"> on the dimensions of the forged article</w:t>
            </w:r>
          </w:p>
          <w:p w:rsidR="00000000" w:rsidRPr="002C6624" w:rsidP="002C6624">
            <w:pPr>
              <w:pStyle w:val="ListBullet"/>
            </w:pPr>
            <w:r w:rsidRPr="002C6624">
              <w:t>methods of overcoming/allowing for the effects of shrinkage and oxidisation when hammer forging articles</w:t>
            </w:r>
          </w:p>
          <w:p w:rsidR="00000000" w:rsidRPr="002C6624" w:rsidP="002C6624">
            <w:pPr>
              <w:pStyle w:val="ListBullet"/>
            </w:pPr>
            <w:r w:rsidRPr="002C6624">
              <w:t>hammer punching techniques</w:t>
            </w:r>
          </w:p>
          <w:p w:rsidR="00000000" w:rsidRPr="002C6624" w:rsidP="002C6624">
            <w:pPr>
              <w:pStyle w:val="ListBullet"/>
            </w:pPr>
            <w:r w:rsidRPr="002C6624">
              <w:t>procedures for handling material to be hammer forged</w:t>
            </w:r>
          </w:p>
          <w:p w:rsidR="00000000" w:rsidRPr="002C6624" w:rsidP="002C6624">
            <w:pPr>
              <w:pStyle w:val="ListBullet"/>
            </w:pPr>
            <w:r w:rsidRPr="002C6624">
              <w:t>heating equipment and applications</w:t>
            </w:r>
          </w:p>
          <w:p w:rsidR="00000000" w:rsidRPr="002C6624" w:rsidP="002C6624">
            <w:pPr>
              <w:pStyle w:val="ListBullet"/>
            </w:pPr>
            <w:r w:rsidRPr="002C6624">
              <w:t>heat treatment processes for forging</w:t>
            </w:r>
          </w:p>
          <w:p w:rsidR="00000000" w:rsidRPr="002C6624" w:rsidP="002C6624">
            <w:pPr>
              <w:pStyle w:val="ListBullet"/>
            </w:pPr>
            <w:r w:rsidRPr="002C6624">
              <w:t>heat treatment requirements for given materials</w:t>
            </w:r>
          </w:p>
        </w:tc>
      </w:tr>
    </w:tbl>
    <w:p w:rsidR="007942AB" w:rsidP="002C6624">
      <w:pPr>
        <w:pStyle w:val="BodyText"/>
      </w:pPr>
    </w:p>
    <w:p w:rsidR="007942AB" w:rsidP="002C6624">
      <w:pPr>
        <w:pStyle w:val="BodyText"/>
      </w:pPr>
    </w:p>
    <w:p w:rsidR="00000000" w:rsidRPr="002C6624" w:rsidP="002C6624">
      <w:pPr>
        <w:pStyle w:val="AllowPageBreak"/>
      </w:pPr>
    </w:p>
    <w:p w:rsidR="00000000" w:rsidRPr="002C6624" w:rsidP="002C6624">
      <w:pPr>
        <w:pStyle w:val="Heading1"/>
      </w:pPr>
      <w:bookmarkStart w:id="10" w:name="O_244743"/>
      <w:bookmarkEnd w:id="10"/>
      <w:r w:rsidRPr="002C6624">
        <w:t>Evidence Guide</w:t>
      </w:r>
    </w:p>
    <w:tbl>
      <w:tblPr>
        <w:tblW w:w="9570" w:type="dxa"/>
        <w:tblLayout w:type="fixed"/>
        <w:tblCellMar>
          <w:left w:w="62" w:type="dxa"/>
          <w:right w:w="62" w:type="dxa"/>
        </w:tblCellMar>
        <w:tblLook w:val="0000"/>
      </w:tblPr>
      <w:tblGrid>
        <w:gridCol w:w="3908"/>
        <w:gridCol w:w="5662"/>
      </w:tblGrid>
      <w:tr w:rsidTr="007942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EVIDENCE GUIDE</w:t>
            </w:r>
          </w:p>
        </w:tc>
      </w:tr>
      <w:tr w:rsidTr="007942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The evidence guide provides advice on assessment and must be re</w:t>
            </w:r>
            <w:r w:rsidRPr="002C6624">
              <w:t>ad in conjunction with the performance criteria, required skills and knowledge, range statement and the Assessment Guidelines for the Training Package.</w:t>
            </w:r>
          </w:p>
        </w:tc>
      </w:tr>
      <w:tr w:rsidTr="007942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A person who demonstrates competency in this unit must be able to hammer forge complex shapes. Competency in this unit cannot be claimed until all prerequisites have been satisfied.</w:t>
            </w:r>
          </w:p>
        </w:tc>
      </w:tr>
      <w:tr w:rsidTr="007942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Critical aspects for assessment and evidence required to demonstrate comp</w:t>
            </w:r>
            <w:r w:rsidRPr="002C6624">
              <w:rPr>
                <w:rStyle w:val="SpecialBold"/>
              </w:rPr>
              <w:t>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 xml:space="preserve">Assessors must be satisfied that the candidate can competently and consistently perform all elements of the unit as specified by the criteria, including required knowledge, and be capable of applying the competency in new and different </w:t>
            </w:r>
            <w:r w:rsidRPr="002C6624">
              <w:t>situations and contexts.</w:t>
            </w:r>
          </w:p>
        </w:tc>
      </w:tr>
      <w:tr w:rsidTr="007942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 xml:space="preserve">This unit may be assessed on the job, off the job or a combination of both on and off the job. Where assessment occurs off the job, that is the candidate is not in productive work, </w:t>
            </w:r>
            <w:r w:rsidRPr="002C6624">
              <w:t>then an appropriate simulation must be used where the range of conditions reflects realistic workplace situations. The competencies covered by this unit would be demonstrated by an individual working alone or as part of a team. The assessment environment s</w:t>
            </w:r>
            <w:r w:rsidRPr="002C6624">
              <w:t>hould not disadvantage the candidate.</w:t>
            </w:r>
          </w:p>
          <w:p w:rsidR="00000000" w:rsidP="002C6624">
            <w:pPr>
              <w:pStyle w:val="BodyText"/>
              <w:rPr>
                <w:lang w:val="en-NZ"/>
              </w:rPr>
            </w:pPr>
            <w:r w:rsidRPr="002C6624">
              <w:t>This unit could be assessed in conjunction with any other units addressing the safety, quality, communication, materials handling, recording and reporting associated with hammer forging complex shapes or other units re</w:t>
            </w:r>
            <w:r w:rsidRPr="002C6624">
              <w:t>quiring the exercise of the skills and knowledge covered by this unit.</w:t>
            </w:r>
          </w:p>
        </w:tc>
      </w:tr>
      <w:tr w:rsidTr="007942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Assessors should gather a range of evidence that is valid, sufficient, current and authentic. Evidence can be gathered through a variety of ways including direct o</w:t>
            </w:r>
            <w:r w:rsidRPr="002C6624">
              <w:t>bservation, supervisor's reports, project work, samples and questioning. Questioning techniques should not require language, literacy and numeracy skills beyond those required in this unit of competency. The candidate must have access to all tools, equipme</w:t>
            </w:r>
            <w:r w:rsidRPr="002C6624">
              <w:t>nt, materials and documentation required. The candidate must be permitted to refer to any relevant workplace procedures, product and manufacturing specifications, codes, standards, manuals and reference materials.</w:t>
            </w:r>
          </w:p>
        </w:tc>
      </w:tr>
      <w:tr w:rsidTr="007942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p>
        </w:tc>
      </w:tr>
    </w:tbl>
    <w:p w:rsidR="007942AB" w:rsidP="002C6624">
      <w:pPr>
        <w:pStyle w:val="BodyText"/>
      </w:pPr>
    </w:p>
    <w:p w:rsidR="007942AB" w:rsidP="002C6624">
      <w:pPr>
        <w:pStyle w:val="BodyText"/>
      </w:pPr>
    </w:p>
    <w:p w:rsidR="00000000" w:rsidRPr="002C6624" w:rsidP="002C6624">
      <w:pPr>
        <w:pStyle w:val="Heading1"/>
      </w:pPr>
      <w:bookmarkStart w:id="11" w:name="O_252726"/>
      <w:bookmarkEnd w:id="11"/>
      <w:r w:rsidRPr="002C6624">
        <w:t>Range Statement</w:t>
      </w:r>
    </w:p>
    <w:tbl>
      <w:tblPr>
        <w:tblW w:w="0" w:type="auto"/>
        <w:tblLayout w:type="fixed"/>
        <w:tblCellMar>
          <w:left w:w="62" w:type="dxa"/>
          <w:right w:w="62" w:type="dxa"/>
        </w:tblCellMar>
        <w:tblLook w:val="0000"/>
      </w:tblPr>
      <w:tblGrid>
        <w:gridCol w:w="3467"/>
        <w:gridCol w:w="5055"/>
      </w:tblGrid>
      <w:tr w:rsidTr="007942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RANGE STATEMENT</w:t>
            </w:r>
          </w:p>
        </w:tc>
      </w:tr>
      <w:tr w:rsidTr="007942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t xml:space="preserve">The range statement relates to the unit of competency as a whole. It allows for different work environments and situations that may affect performance. Bold italicised wording, if used in the performance </w:t>
            </w:r>
            <w:r w:rsidRPr="002C6624">
              <w:t>criteria, is detailed below. Essential operating conditions that may be present with training and assessment (depending on the work situation, needs of the candidate, accessibility of the item, and local industry and regional contexts) may also be included</w:t>
            </w:r>
            <w:r w:rsidRPr="002C6624">
              <w:t>.</w:t>
            </w:r>
          </w:p>
        </w:tc>
      </w:tr>
      <w:tr w:rsidTr="007942AB">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Forge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ListBullet"/>
            </w:pPr>
            <w:r w:rsidRPr="002C6624">
              <w:t>Forging on and against cold mandrels</w:t>
            </w:r>
          </w:p>
          <w:p w:rsidR="00000000" w:rsidRPr="002C6624" w:rsidP="002C6624">
            <w:pPr>
              <w:pStyle w:val="ListBullet"/>
            </w:pPr>
            <w:r w:rsidRPr="002C6624">
              <w:t>Hammer punching and opening of large diameter holes</w:t>
            </w:r>
          </w:p>
        </w:tc>
      </w:tr>
    </w:tbl>
    <w:p w:rsidR="007942AB" w:rsidP="002C6624">
      <w:pPr>
        <w:pStyle w:val="BodyText"/>
      </w:pPr>
    </w:p>
    <w:p w:rsidR="007942AB" w:rsidP="002C6624">
      <w:pPr>
        <w:pStyle w:val="BodyText"/>
      </w:pPr>
    </w:p>
    <w:p w:rsidR="00000000" w:rsidRPr="002C6624" w:rsidP="002C6624">
      <w:pPr>
        <w:pStyle w:val="Heading1"/>
      </w:pPr>
      <w:bookmarkStart w:id="12" w:name="O_210766"/>
      <w:bookmarkEnd w:id="12"/>
      <w:r w:rsidRPr="002C6624">
        <w:t>Unit Sector(s)</w:t>
      </w:r>
    </w:p>
    <w:tbl>
      <w:tblPr>
        <w:tblW w:w="0" w:type="auto"/>
        <w:tblLayout w:type="fixed"/>
        <w:tblCellMar>
          <w:left w:w="62" w:type="dxa"/>
          <w:right w:w="62" w:type="dxa"/>
        </w:tblCellMar>
        <w:tblLook w:val="0000"/>
      </w:tblPr>
      <w:tblGrid>
        <w:gridCol w:w="2654"/>
        <w:gridCol w:w="5868"/>
      </w:tblGrid>
      <w:tr w:rsidTr="007942A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p>
        </w:tc>
      </w:tr>
    </w:tbl>
    <w:p w:rsidR="007942AB" w:rsidP="002C6624">
      <w:pPr>
        <w:pStyle w:val="BodyText"/>
      </w:pPr>
    </w:p>
    <w:p w:rsidR="007942AB" w:rsidP="002C6624">
      <w:pPr>
        <w:pStyle w:val="BodyText"/>
      </w:pPr>
    </w:p>
    <w:p w:rsidR="00000000" w:rsidRPr="002C6624" w:rsidP="002C6624">
      <w:pPr>
        <w:pStyle w:val="Heading1"/>
      </w:pPr>
      <w:bookmarkStart w:id="13" w:name="O_210763"/>
      <w:bookmarkEnd w:id="13"/>
      <w:r w:rsidRPr="002C6624">
        <w:t>Co-requisite units</w:t>
      </w:r>
    </w:p>
    <w:tbl>
      <w:tblPr>
        <w:tblW w:w="0" w:type="auto"/>
        <w:tblLayout w:type="fixed"/>
        <w:tblCellMar>
          <w:left w:w="62" w:type="dxa"/>
          <w:right w:w="62" w:type="dxa"/>
        </w:tblCellMar>
        <w:tblLook w:val="0000"/>
      </w:tblPr>
      <w:tblGrid>
        <w:gridCol w:w="2641"/>
        <w:gridCol w:w="1322"/>
        <w:gridCol w:w="4559"/>
      </w:tblGrid>
      <w:tr w:rsidTr="007942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p>
        </w:tc>
      </w:tr>
      <w:tr w:rsidTr="007942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p>
        </w:tc>
      </w:tr>
      <w:tr w:rsidTr="007942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p>
        </w:tc>
      </w:tr>
    </w:tbl>
    <w:p w:rsidR="007942AB" w:rsidP="002C6624">
      <w:pPr>
        <w:pStyle w:val="BodyText"/>
      </w:pPr>
    </w:p>
    <w:p w:rsidR="007942AB" w:rsidP="002C6624">
      <w:pPr>
        <w:pStyle w:val="BodyText"/>
      </w:pPr>
    </w:p>
    <w:p w:rsidR="00000000" w:rsidRPr="002C6624" w:rsidP="002C6624">
      <w:pPr>
        <w:pStyle w:val="Heading1"/>
      </w:pPr>
      <w:bookmarkStart w:id="14" w:name="O_210765"/>
      <w:bookmarkEnd w:id="14"/>
      <w:r w:rsidRPr="002C6624">
        <w:t>Competency field</w:t>
      </w:r>
    </w:p>
    <w:tbl>
      <w:tblPr>
        <w:tblW w:w="0" w:type="auto"/>
        <w:tblLayout w:type="fixed"/>
        <w:tblCellMar>
          <w:left w:w="62" w:type="dxa"/>
          <w:right w:w="62" w:type="dxa"/>
        </w:tblCellMar>
        <w:tblLook w:val="0000"/>
      </w:tblPr>
      <w:tblGrid>
        <w:gridCol w:w="2778"/>
        <w:gridCol w:w="5744"/>
      </w:tblGrid>
      <w:tr w:rsidTr="007942A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6624">
            <w:pPr>
              <w:pStyle w:val="BodyText"/>
              <w:rPr>
                <w:lang w:val="en-NZ"/>
              </w:rPr>
            </w:pPr>
            <w:r w:rsidRPr="002C662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6624" w:rsidP="002C6624">
            <w:pPr>
              <w:pStyle w:val="BodyText"/>
            </w:pPr>
            <w:r w:rsidRPr="002C6624">
              <w:t>Forging</w:t>
            </w:r>
          </w:p>
        </w:tc>
      </w:tr>
    </w:tbl>
    <w:p w:rsidR="007942AB" w:rsidP="002C6624">
      <w:pPr>
        <w:pStyle w:val="BodyText"/>
      </w:pPr>
    </w:p>
    <w:p w:rsidR="007942AB" w:rsidP="002C6624">
      <w:pPr>
        <w:pStyle w:val="BodyText"/>
      </w:pPr>
    </w:p>
    <w:p w:rsidR="00000000" w:rsidRPr="002C6624" w:rsidP="002C6624"/>
    <w:sectPr w:rsidSect="002C6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2AB" w:rsidP="00794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AB" w:rsidP="002C6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42AB" w:rsidP="002C66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42AB" w:rsidP="002C66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2AB" w:rsidP="007942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AB" w:rsidP="002C6624">
    <w:pPr>
      <w:pStyle w:val="Header"/>
      <w:framePr w:wrap="around"/>
    </w:pPr>
    <w:r>
      <w:fldChar w:fldCharType="begin"/>
    </w:r>
    <w:r>
      <w:instrText xml:space="preserve"> TITLE   \* MERGEFORMAT </w:instrText>
    </w:r>
    <w:r>
      <w:fldChar w:fldCharType="separate"/>
    </w:r>
    <w:r>
      <w:t>MEM06008A Hammer forge complex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2AB" w:rsidP="002C66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46A6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0E3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6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6624"/>
    <w:pPr>
      <w:spacing w:before="360" w:after="60"/>
      <w:outlineLvl w:val="0"/>
    </w:pPr>
    <w:rPr>
      <w:sz w:val="32"/>
    </w:rPr>
  </w:style>
  <w:style w:type="paragraph" w:styleId="Heading2">
    <w:name w:val="heading 2"/>
    <w:basedOn w:val="HeadingBase"/>
    <w:next w:val="BodyText"/>
    <w:link w:val="Heading2Char"/>
    <w:qFormat/>
    <w:rsid w:val="002C6624"/>
    <w:pPr>
      <w:keepLines/>
      <w:spacing w:before="240" w:after="120"/>
      <w:outlineLvl w:val="1"/>
    </w:pPr>
    <w:rPr>
      <w:sz w:val="28"/>
      <w:szCs w:val="40"/>
    </w:rPr>
  </w:style>
  <w:style w:type="paragraph" w:styleId="Heading3">
    <w:name w:val="heading 3"/>
    <w:basedOn w:val="HeadingBase"/>
    <w:next w:val="BodyText"/>
    <w:link w:val="Heading3Char"/>
    <w:qFormat/>
    <w:rsid w:val="002C6624"/>
    <w:pPr>
      <w:spacing w:before="180" w:after="120"/>
      <w:outlineLvl w:val="2"/>
    </w:pPr>
    <w:rPr>
      <w:spacing w:val="-10"/>
      <w:kern w:val="32"/>
    </w:rPr>
  </w:style>
  <w:style w:type="paragraph" w:styleId="Heading4">
    <w:name w:val="heading 4"/>
    <w:basedOn w:val="HeadingBase"/>
    <w:next w:val="BodyText"/>
    <w:link w:val="Heading4Char"/>
    <w:qFormat/>
    <w:rsid w:val="002C6624"/>
    <w:pPr>
      <w:spacing w:before="160" w:after="120"/>
      <w:outlineLvl w:val="3"/>
    </w:pPr>
    <w:rPr>
      <w:sz w:val="22"/>
    </w:rPr>
  </w:style>
  <w:style w:type="paragraph" w:styleId="Heading5">
    <w:name w:val="heading 5"/>
    <w:basedOn w:val="HeadingBase"/>
    <w:next w:val="Normal"/>
    <w:link w:val="Heading5Char"/>
    <w:qFormat/>
    <w:rsid w:val="002C6624"/>
    <w:pPr>
      <w:spacing w:before="80"/>
      <w:outlineLvl w:val="4"/>
    </w:pPr>
    <w:rPr>
      <w:color w:val="918585"/>
      <w:sz w:val="20"/>
    </w:rPr>
  </w:style>
  <w:style w:type="paragraph" w:styleId="Heading6">
    <w:name w:val="heading 6"/>
    <w:basedOn w:val="HeadingBase"/>
    <w:next w:val="Normal"/>
    <w:link w:val="Heading6Char"/>
    <w:qFormat/>
    <w:rsid w:val="002C6624"/>
    <w:pPr>
      <w:spacing w:before="60"/>
      <w:outlineLvl w:val="5"/>
    </w:pPr>
    <w:rPr>
      <w:color w:val="918585"/>
      <w:sz w:val="20"/>
    </w:rPr>
  </w:style>
  <w:style w:type="paragraph" w:styleId="Heading7">
    <w:name w:val="heading 7"/>
    <w:basedOn w:val="Normal"/>
    <w:next w:val="Normal"/>
    <w:link w:val="Heading7Char"/>
    <w:qFormat/>
    <w:rsid w:val="002C6624"/>
    <w:pPr>
      <w:ind w:left="720"/>
      <w:outlineLvl w:val="6"/>
    </w:pPr>
    <w:rPr>
      <w:i/>
    </w:rPr>
  </w:style>
  <w:style w:type="paragraph" w:styleId="Heading8">
    <w:name w:val="heading 8"/>
    <w:basedOn w:val="Normal"/>
    <w:next w:val="Normal"/>
    <w:link w:val="Heading8Char"/>
    <w:qFormat/>
    <w:rsid w:val="002C6624"/>
    <w:pPr>
      <w:ind w:left="720"/>
      <w:outlineLvl w:val="7"/>
    </w:pPr>
    <w:rPr>
      <w:i/>
    </w:rPr>
  </w:style>
  <w:style w:type="paragraph" w:styleId="Heading9">
    <w:name w:val="heading 9"/>
    <w:basedOn w:val="Normal"/>
    <w:next w:val="Normal"/>
    <w:link w:val="Heading9Char"/>
    <w:qFormat/>
    <w:rsid w:val="002C6624"/>
    <w:pPr>
      <w:ind w:left="720"/>
      <w:outlineLvl w:val="8"/>
    </w:pPr>
    <w:rPr>
      <w:i/>
    </w:rPr>
  </w:style>
  <w:style w:type="character" w:default="1" w:styleId="DefaultParagraphFont">
    <w:name w:val="Default Paragraph Font"/>
    <w:uiPriority w:val="1"/>
    <w:unhideWhenUsed/>
    <w:rsid w:val="002C6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624"/>
  </w:style>
  <w:style w:type="character" w:customStyle="1" w:styleId="Heading1Char">
    <w:name w:val="Heading 1 Char"/>
    <w:basedOn w:val="DefaultParagraphFont"/>
    <w:link w:val="Heading1"/>
    <w:rsid w:val="002C6624"/>
    <w:rPr>
      <w:rFonts w:ascii="Times New Roman" w:eastAsia="Times New Roman" w:hAnsi="Times New Roman" w:cs="Times New Roman"/>
      <w:b/>
      <w:sz w:val="32"/>
      <w:szCs w:val="20"/>
      <w:lang w:eastAsia="en-US"/>
    </w:rPr>
  </w:style>
  <w:style w:type="paragraph" w:styleId="BodyText">
    <w:name w:val="Body Text"/>
    <w:basedOn w:val="Normal"/>
    <w:link w:val="BodyTextChar"/>
    <w:rsid w:val="002C66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624"/>
    <w:rPr>
      <w:rFonts w:ascii="Times New Roman" w:eastAsia="Times New Roman" w:hAnsi="Times New Roman" w:cs="Times New Roman"/>
      <w:sz w:val="24"/>
      <w:lang w:val="en-US" w:eastAsia="en-US"/>
    </w:rPr>
  </w:style>
  <w:style w:type="paragraph" w:styleId="Footer">
    <w:name w:val="footer"/>
    <w:basedOn w:val="Normal"/>
    <w:link w:val="FooterChar"/>
    <w:rsid w:val="002C6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624"/>
    <w:rPr>
      <w:rFonts w:ascii="Times New Roman" w:eastAsia="Times New Roman" w:hAnsi="Times New Roman" w:cs="Times New Roman"/>
      <w:sz w:val="16"/>
      <w:lang w:val="en-US" w:eastAsia="en-US"/>
    </w:rPr>
  </w:style>
  <w:style w:type="paragraph" w:styleId="List">
    <w:name w:val="List"/>
    <w:basedOn w:val="BodyText"/>
    <w:next w:val="BodyText"/>
    <w:rsid w:val="002C6624"/>
    <w:pPr>
      <w:tabs>
        <w:tab w:val="left" w:pos="340"/>
      </w:tabs>
      <w:spacing w:before="60" w:after="60"/>
      <w:ind w:left="340" w:hanging="340"/>
    </w:pPr>
  </w:style>
  <w:style w:type="paragraph" w:styleId="ListBullet">
    <w:name w:val="List Bullet"/>
    <w:basedOn w:val="List"/>
    <w:rsid w:val="002C6624"/>
    <w:pPr>
      <w:numPr>
        <w:numId w:val="12"/>
      </w:numPr>
      <w:tabs>
        <w:tab w:val="clear" w:pos="340"/>
      </w:tabs>
      <w:spacing w:before="40" w:after="40"/>
    </w:pPr>
  </w:style>
  <w:style w:type="character" w:customStyle="1" w:styleId="SpecialBold">
    <w:name w:val="Special Bold"/>
    <w:basedOn w:val="DefaultParagraphFont"/>
    <w:rsid w:val="002C6624"/>
    <w:rPr>
      <w:b/>
      <w:spacing w:val="0"/>
    </w:rPr>
  </w:style>
  <w:style w:type="paragraph" w:styleId="Header">
    <w:name w:val="header"/>
    <w:basedOn w:val="Normal"/>
    <w:link w:val="HeaderChar"/>
    <w:rsid w:val="002C6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6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6624"/>
    <w:pPr>
      <w:spacing w:before="240" w:after="120"/>
      <w:outlineLvl w:val="0"/>
    </w:pPr>
    <w:rPr>
      <w:rFonts w:ascii="Times New Roman" w:hAnsi="Times New Roman"/>
      <w:b/>
      <w:sz w:val="28"/>
    </w:rPr>
  </w:style>
  <w:style w:type="paragraph" w:customStyle="1" w:styleId="AllowPageBreak">
    <w:name w:val="AllowPageBreak"/>
    <w:rsid w:val="002C66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6624"/>
    <w:pPr>
      <w:tabs>
        <w:tab w:val="left" w:pos="680"/>
      </w:tabs>
      <w:spacing w:before="60" w:after="60"/>
      <w:ind w:left="680" w:hanging="340"/>
    </w:pPr>
  </w:style>
  <w:style w:type="character" w:customStyle="1" w:styleId="Heading2Char">
    <w:name w:val="Heading 2 Char"/>
    <w:basedOn w:val="DefaultParagraphFont"/>
    <w:link w:val="Heading2"/>
    <w:rsid w:val="002C6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6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66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6624"/>
    <w:rPr>
      <w:rFonts w:ascii="Courier New" w:eastAsia="Times New Roman" w:hAnsi="Courier New" w:cs="Times New Roman"/>
      <w:i/>
      <w:szCs w:val="20"/>
      <w:lang w:val="en-US" w:eastAsia="en-US"/>
    </w:rPr>
  </w:style>
  <w:style w:type="paragraph" w:customStyle="1" w:styleId="HeadingBase">
    <w:name w:val="Heading Base"/>
    <w:rsid w:val="002C6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624"/>
    <w:pPr>
      <w:tabs>
        <w:tab w:val="right" w:leader="dot" w:pos="9072"/>
      </w:tabs>
      <w:ind w:left="567"/>
    </w:pPr>
    <w:rPr>
      <w:szCs w:val="22"/>
    </w:rPr>
  </w:style>
  <w:style w:type="paragraph" w:customStyle="1" w:styleId="TOCBase">
    <w:name w:val="TOC Base"/>
    <w:rsid w:val="002C6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624"/>
    <w:pPr>
      <w:tabs>
        <w:tab w:val="right" w:leader="dot" w:pos="9072"/>
      </w:tabs>
      <w:spacing w:before="40" w:after="40"/>
      <w:ind w:left="284"/>
    </w:pPr>
    <w:rPr>
      <w:rFonts w:ascii="Times New Roman" w:hAnsi="Times New Roman"/>
    </w:rPr>
  </w:style>
  <w:style w:type="paragraph" w:styleId="TOC1">
    <w:name w:val="toc 1"/>
    <w:basedOn w:val="TOCBase"/>
    <w:next w:val="Normal"/>
    <w:rsid w:val="002C66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624"/>
    <w:pPr>
      <w:spacing w:before="5040"/>
      <w:jc w:val="center"/>
    </w:pPr>
    <w:rPr>
      <w:sz w:val="48"/>
      <w:szCs w:val="72"/>
      <w:lang w:val="en-US"/>
    </w:rPr>
  </w:style>
  <w:style w:type="character" w:customStyle="1" w:styleId="TitleChar">
    <w:name w:val="Title Char"/>
    <w:basedOn w:val="DefaultParagraphFont"/>
    <w:link w:val="Title"/>
    <w:rsid w:val="002C6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624"/>
    <w:pPr>
      <w:tabs>
        <w:tab w:val="left" w:pos="3600"/>
        <w:tab w:val="left" w:pos="3958"/>
      </w:tabs>
    </w:pPr>
  </w:style>
  <w:style w:type="paragraph" w:customStyle="1" w:styleId="Note">
    <w:name w:val="Note"/>
    <w:basedOn w:val="BodyText"/>
    <w:rsid w:val="002C6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624"/>
    <w:pPr>
      <w:framePr w:wrap="auto" w:hAnchor="text" w:y="6049"/>
    </w:pPr>
    <w:rPr>
      <w:color w:val="000000"/>
      <w:sz w:val="40"/>
    </w:rPr>
  </w:style>
  <w:style w:type="paragraph" w:customStyle="1" w:styleId="TOCTitle">
    <w:name w:val="TOCTitle"/>
    <w:basedOn w:val="Heading1"/>
    <w:rsid w:val="002C6624"/>
    <w:pPr>
      <w:spacing w:after="240"/>
      <w:jc w:val="center"/>
      <w:outlineLvl w:val="9"/>
    </w:pPr>
    <w:rPr>
      <w:caps/>
    </w:rPr>
  </w:style>
  <w:style w:type="paragraph" w:customStyle="1" w:styleId="Version">
    <w:name w:val="Version"/>
    <w:rsid w:val="002C66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624"/>
    <w:pPr>
      <w:numPr>
        <w:numId w:val="13"/>
      </w:numPr>
      <w:tabs>
        <w:tab w:val="clear" w:pos="680"/>
      </w:tabs>
    </w:pPr>
  </w:style>
  <w:style w:type="paragraph" w:styleId="Index1">
    <w:name w:val="index 1"/>
    <w:basedOn w:val="Normal"/>
    <w:next w:val="Normal"/>
    <w:semiHidden/>
    <w:rsid w:val="002C6624"/>
    <w:pPr>
      <w:keepNext w:val="0"/>
      <w:tabs>
        <w:tab w:val="right" w:pos="4176"/>
      </w:tabs>
      <w:ind w:left="198" w:hanging="198"/>
    </w:pPr>
    <w:rPr>
      <w:rFonts w:ascii="Garamond" w:hAnsi="Garamond"/>
    </w:rPr>
  </w:style>
  <w:style w:type="paragraph" w:styleId="IndexHeading">
    <w:name w:val="index heading"/>
    <w:basedOn w:val="Normal"/>
    <w:next w:val="Index1"/>
    <w:semiHidden/>
    <w:rsid w:val="002C6624"/>
    <w:pPr>
      <w:spacing w:before="120" w:after="120"/>
    </w:pPr>
    <w:rPr>
      <w:rFonts w:ascii="Arial" w:hAnsi="Arial"/>
      <w:b/>
      <w:color w:val="918585"/>
      <w:sz w:val="24"/>
    </w:rPr>
  </w:style>
  <w:style w:type="paragraph" w:customStyle="1" w:styleId="Chapter">
    <w:name w:val="Chapter"/>
    <w:basedOn w:val="Normal"/>
    <w:rsid w:val="002C6624"/>
    <w:pPr>
      <w:spacing w:before="240"/>
    </w:pPr>
    <w:rPr>
      <w:rFonts w:ascii="Times New Roman" w:hAnsi="Times New Roman"/>
      <w:smallCaps/>
      <w:spacing w:val="80"/>
      <w:sz w:val="28"/>
    </w:rPr>
  </w:style>
  <w:style w:type="paragraph" w:customStyle="1" w:styleId="InChapter">
    <w:name w:val="InChapter"/>
    <w:basedOn w:val="Heading3"/>
    <w:rsid w:val="002C6624"/>
    <w:pPr>
      <w:spacing w:after="240"/>
      <w:outlineLvl w:val="9"/>
    </w:pPr>
    <w:rPr>
      <w:noProof/>
    </w:rPr>
  </w:style>
  <w:style w:type="paragraph" w:styleId="Index2">
    <w:name w:val="index 2"/>
    <w:basedOn w:val="Normal"/>
    <w:next w:val="Normal"/>
    <w:semiHidden/>
    <w:rsid w:val="002C6624"/>
    <w:pPr>
      <w:tabs>
        <w:tab w:val="right" w:pos="4176"/>
      </w:tabs>
      <w:ind w:left="568" w:hanging="284"/>
    </w:pPr>
    <w:rPr>
      <w:rFonts w:ascii="Garamond" w:hAnsi="Garamond"/>
    </w:rPr>
  </w:style>
  <w:style w:type="paragraph" w:customStyle="1" w:styleId="Byline">
    <w:name w:val="Byline"/>
    <w:rsid w:val="002C6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624"/>
    <w:pPr>
      <w:tabs>
        <w:tab w:val="clear" w:pos="3600"/>
        <w:tab w:val="clear" w:pos="3958"/>
      </w:tabs>
      <w:jc w:val="right"/>
    </w:pPr>
  </w:style>
  <w:style w:type="character" w:styleId="Emphasis">
    <w:name w:val="Emphasis"/>
    <w:basedOn w:val="DefaultParagraphFont"/>
    <w:qFormat/>
    <w:rsid w:val="002C6624"/>
    <w:rPr>
      <w:i/>
    </w:rPr>
  </w:style>
  <w:style w:type="paragraph" w:styleId="Caption">
    <w:name w:val="caption"/>
    <w:basedOn w:val="BodyText"/>
    <w:next w:val="Normal"/>
    <w:qFormat/>
    <w:rsid w:val="002C6624"/>
    <w:pPr>
      <w:framePr w:w="2268" w:hSpace="181" w:vSpace="181" w:wrap="around" w:vAnchor="text" w:hAnchor="page" w:x="1135" w:y="285" w:anchorLock="1"/>
    </w:pPr>
    <w:rPr>
      <w:i/>
    </w:rPr>
  </w:style>
  <w:style w:type="paragraph" w:customStyle="1" w:styleId="MiniTOCTitle">
    <w:name w:val="MiniTOCTitle"/>
    <w:basedOn w:val="Heading4"/>
    <w:rsid w:val="002C6624"/>
    <w:pPr>
      <w:spacing w:before="240"/>
      <w:outlineLvl w:val="9"/>
    </w:pPr>
    <w:rPr>
      <w:noProof/>
      <w:sz w:val="24"/>
    </w:rPr>
  </w:style>
  <w:style w:type="paragraph" w:customStyle="1" w:styleId="MiniTOCItem">
    <w:name w:val="MiniTOCItem"/>
    <w:basedOn w:val="ListBullet"/>
    <w:rsid w:val="002C6624"/>
    <w:pPr>
      <w:numPr>
        <w:numId w:val="0"/>
      </w:numPr>
      <w:tabs>
        <w:tab w:val="right" w:leader="dot" w:pos="6521"/>
      </w:tabs>
      <w:spacing w:before="0" w:after="0"/>
    </w:pPr>
  </w:style>
  <w:style w:type="paragraph" w:customStyle="1" w:styleId="TOFTitle">
    <w:name w:val="TOFTitle"/>
    <w:basedOn w:val="TOCTitle"/>
    <w:rsid w:val="002C6624"/>
  </w:style>
  <w:style w:type="paragraph" w:styleId="TableofFigures">
    <w:name w:val="table of figures"/>
    <w:basedOn w:val="Normal"/>
    <w:next w:val="Normal"/>
    <w:semiHidden/>
    <w:rsid w:val="002C6624"/>
    <w:pPr>
      <w:tabs>
        <w:tab w:val="right" w:leader="dot" w:pos="9072"/>
      </w:tabs>
      <w:ind w:left="970" w:hanging="403"/>
    </w:pPr>
    <w:rPr>
      <w:rFonts w:ascii="Times New Roman" w:hAnsi="Times New Roman"/>
      <w:b/>
    </w:rPr>
  </w:style>
  <w:style w:type="paragraph" w:styleId="ListNumber">
    <w:name w:val="List Number"/>
    <w:basedOn w:val="List"/>
    <w:rsid w:val="002C6624"/>
    <w:pPr>
      <w:numPr>
        <w:numId w:val="10"/>
      </w:numPr>
    </w:pPr>
  </w:style>
  <w:style w:type="character" w:customStyle="1" w:styleId="WingdingSymbols">
    <w:name w:val="Wingding Symbols"/>
    <w:rsid w:val="002C6624"/>
    <w:rPr>
      <w:rFonts w:ascii="Wingdings" w:hAnsi="Wingdings"/>
    </w:rPr>
  </w:style>
  <w:style w:type="paragraph" w:customStyle="1" w:styleId="TableHeading">
    <w:name w:val="Table Heading"/>
    <w:basedOn w:val="HeadingBase"/>
    <w:rsid w:val="002C6624"/>
    <w:pPr>
      <w:keepLines/>
      <w:pBdr>
        <w:bottom w:val="single" w:sz="6" w:space="1" w:color="918585"/>
      </w:pBdr>
      <w:spacing w:before="240"/>
    </w:pPr>
  </w:style>
  <w:style w:type="character" w:customStyle="1" w:styleId="HotSpot">
    <w:name w:val="HotSpot"/>
    <w:rsid w:val="002C6624"/>
    <w:rPr>
      <w:color w:val="0033CC"/>
      <w:u w:val="none"/>
    </w:rPr>
  </w:style>
  <w:style w:type="paragraph" w:customStyle="1" w:styleId="BodyTextRight">
    <w:name w:val="Body Text Right"/>
    <w:basedOn w:val="BodyText"/>
    <w:rsid w:val="002C6624"/>
    <w:pPr>
      <w:spacing w:before="0" w:after="0"/>
      <w:jc w:val="right"/>
    </w:pPr>
  </w:style>
  <w:style w:type="paragraph" w:styleId="Index3">
    <w:name w:val="index 3"/>
    <w:basedOn w:val="ListNumber2"/>
    <w:next w:val="Normal"/>
    <w:semiHidden/>
    <w:rsid w:val="002C6624"/>
    <w:pPr>
      <w:numPr>
        <w:numId w:val="0"/>
      </w:numPr>
      <w:tabs>
        <w:tab w:val="right" w:leader="dot" w:pos="4176"/>
      </w:tabs>
    </w:pPr>
  </w:style>
  <w:style w:type="paragraph" w:styleId="ListNumber2">
    <w:name w:val="List Number 2"/>
    <w:basedOn w:val="List2"/>
    <w:rsid w:val="002C6624"/>
    <w:pPr>
      <w:numPr>
        <w:numId w:val="9"/>
      </w:numPr>
      <w:tabs>
        <w:tab w:val="clear" w:pos="1060"/>
      </w:tabs>
    </w:pPr>
  </w:style>
  <w:style w:type="paragraph" w:customStyle="1" w:styleId="MarginNote">
    <w:name w:val="Margin Note"/>
    <w:basedOn w:val="BodyText"/>
    <w:rsid w:val="002C6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6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6624"/>
    <w:rPr>
      <w:sz w:val="32"/>
    </w:rPr>
  </w:style>
  <w:style w:type="paragraph" w:customStyle="1" w:styleId="HeadingProcedure">
    <w:name w:val="Heading Procedure"/>
    <w:basedOn w:val="HeadingBase"/>
    <w:next w:val="Normal"/>
    <w:rsid w:val="002C6624"/>
    <w:pPr>
      <w:tabs>
        <w:tab w:val="left" w:pos="0"/>
      </w:tabs>
      <w:spacing w:before="120" w:after="60"/>
    </w:pPr>
    <w:rPr>
      <w:i/>
      <w:color w:val="918585"/>
      <w:sz w:val="22"/>
    </w:rPr>
  </w:style>
  <w:style w:type="paragraph" w:customStyle="1" w:styleId="TableBodyText">
    <w:name w:val="Table Body Text"/>
    <w:basedOn w:val="BodyText"/>
    <w:rsid w:val="002C6624"/>
    <w:pPr>
      <w:spacing w:before="60" w:after="60"/>
    </w:pPr>
  </w:style>
  <w:style w:type="paragraph" w:styleId="ListContinue">
    <w:name w:val="List Continue"/>
    <w:basedOn w:val="List"/>
    <w:rsid w:val="002C6624"/>
    <w:pPr>
      <w:ind w:firstLine="0"/>
    </w:pPr>
  </w:style>
  <w:style w:type="paragraph" w:customStyle="1" w:styleId="ListNote">
    <w:name w:val="List Note"/>
    <w:basedOn w:val="List"/>
    <w:rsid w:val="002C6624"/>
    <w:pPr>
      <w:pBdr>
        <w:top w:val="single" w:sz="6" w:space="2" w:color="918585"/>
        <w:bottom w:val="single" w:sz="6" w:space="2" w:color="918585"/>
      </w:pBdr>
      <w:tabs>
        <w:tab w:val="left" w:pos="1021"/>
      </w:tabs>
      <w:ind w:firstLine="0"/>
    </w:pPr>
  </w:style>
  <w:style w:type="paragraph" w:customStyle="1" w:styleId="Warning">
    <w:name w:val="Warning"/>
    <w:basedOn w:val="BodyText"/>
    <w:rsid w:val="002C6624"/>
    <w:pPr>
      <w:shd w:val="clear" w:color="auto" w:fill="D9D9D9"/>
      <w:tabs>
        <w:tab w:val="left" w:pos="992"/>
      </w:tabs>
      <w:ind w:left="119" w:right="119"/>
    </w:pPr>
    <w:rPr>
      <w:sz w:val="20"/>
    </w:rPr>
  </w:style>
  <w:style w:type="paragraph" w:customStyle="1" w:styleId="MarginIcons">
    <w:name w:val="Margin Icons"/>
    <w:basedOn w:val="BodyText"/>
    <w:rsid w:val="002C6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624"/>
    <w:rPr>
      <w:rFonts w:ascii="Courier New" w:hAnsi="Courier New"/>
    </w:rPr>
  </w:style>
  <w:style w:type="paragraph" w:customStyle="1" w:styleId="NoteBullet">
    <w:name w:val="Note Bullet"/>
    <w:basedOn w:val="Note"/>
    <w:rsid w:val="002C6624"/>
    <w:pPr>
      <w:tabs>
        <w:tab w:val="clear" w:pos="680"/>
      </w:tabs>
      <w:spacing w:before="60" w:after="60"/>
    </w:pPr>
  </w:style>
  <w:style w:type="paragraph" w:customStyle="1" w:styleId="SubHeading2">
    <w:name w:val="SubHeading2"/>
    <w:basedOn w:val="HeadingBase"/>
    <w:rsid w:val="002C6624"/>
    <w:pPr>
      <w:spacing w:before="240" w:after="60"/>
    </w:pPr>
    <w:rPr>
      <w:sz w:val="20"/>
    </w:rPr>
  </w:style>
  <w:style w:type="paragraph" w:customStyle="1" w:styleId="SubHeading1">
    <w:name w:val="SubHeading1"/>
    <w:basedOn w:val="HeadingBase"/>
    <w:rsid w:val="002C6624"/>
    <w:pPr>
      <w:spacing w:before="240" w:after="60"/>
    </w:pPr>
    <w:rPr>
      <w:color w:val="918585"/>
      <w:sz w:val="22"/>
    </w:rPr>
  </w:style>
  <w:style w:type="paragraph" w:customStyle="1" w:styleId="SideHeading">
    <w:name w:val="Side Heading"/>
    <w:basedOn w:val="HeadingBase"/>
    <w:rsid w:val="002C6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624"/>
    <w:pPr>
      <w:tabs>
        <w:tab w:val="num" w:pos="360"/>
      </w:tabs>
    </w:pPr>
  </w:style>
  <w:style w:type="paragraph" w:styleId="PlainText">
    <w:name w:val="Plain Text"/>
    <w:basedOn w:val="Normal"/>
    <w:link w:val="PlainTextChar"/>
    <w:rsid w:val="002C6624"/>
    <w:rPr>
      <w:sz w:val="20"/>
    </w:rPr>
  </w:style>
  <w:style w:type="character" w:customStyle="1" w:styleId="PlainTextChar">
    <w:name w:val="Plain Text Char"/>
    <w:basedOn w:val="DefaultParagraphFont"/>
    <w:link w:val="PlainText"/>
    <w:rsid w:val="002C66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6624"/>
    <w:rPr>
      <w:b/>
      <w:smallCaps/>
    </w:rPr>
  </w:style>
  <w:style w:type="paragraph" w:customStyle="1" w:styleId="TableListNumber">
    <w:name w:val="Table List Number"/>
    <w:basedOn w:val="ListNumber"/>
    <w:rsid w:val="002C6624"/>
    <w:pPr>
      <w:numPr>
        <w:numId w:val="0"/>
      </w:numPr>
    </w:pPr>
  </w:style>
  <w:style w:type="paragraph" w:styleId="TOC4">
    <w:name w:val="toc 4"/>
    <w:basedOn w:val="TOCBase"/>
    <w:next w:val="Normal"/>
    <w:semiHidden/>
    <w:rsid w:val="002C6624"/>
    <w:pPr>
      <w:tabs>
        <w:tab w:val="right" w:leader="dot" w:pos="9071"/>
      </w:tabs>
      <w:ind w:left="1701"/>
    </w:pPr>
  </w:style>
  <w:style w:type="paragraph" w:customStyle="1" w:styleId="ListAlpha">
    <w:name w:val="List Alpha"/>
    <w:basedOn w:val="List"/>
    <w:rsid w:val="002C6624"/>
    <w:pPr>
      <w:numPr>
        <w:numId w:val="8"/>
      </w:numPr>
    </w:pPr>
  </w:style>
  <w:style w:type="paragraph" w:customStyle="1" w:styleId="ListAlpha2">
    <w:name w:val="List Alpha 2"/>
    <w:basedOn w:val="List2"/>
    <w:rsid w:val="002C6624"/>
    <w:pPr>
      <w:numPr>
        <w:numId w:val="7"/>
      </w:numPr>
    </w:pPr>
  </w:style>
  <w:style w:type="paragraph" w:styleId="List3">
    <w:name w:val="List 3"/>
    <w:basedOn w:val="BodyText"/>
    <w:rsid w:val="002C6624"/>
    <w:pPr>
      <w:tabs>
        <w:tab w:val="left" w:pos="1021"/>
      </w:tabs>
      <w:spacing w:before="60" w:after="60"/>
      <w:ind w:left="1020" w:hanging="340"/>
    </w:pPr>
  </w:style>
  <w:style w:type="paragraph" w:styleId="List4">
    <w:name w:val="List 4"/>
    <w:basedOn w:val="BodyText"/>
    <w:rsid w:val="002C6624"/>
    <w:pPr>
      <w:tabs>
        <w:tab w:val="left" w:pos="1361"/>
      </w:tabs>
      <w:spacing w:before="60" w:after="60"/>
      <w:ind w:left="1361" w:hanging="340"/>
    </w:pPr>
  </w:style>
  <w:style w:type="paragraph" w:styleId="List5">
    <w:name w:val="List 5"/>
    <w:basedOn w:val="BodyText"/>
    <w:rsid w:val="002C6624"/>
    <w:pPr>
      <w:tabs>
        <w:tab w:val="left" w:pos="1701"/>
      </w:tabs>
      <w:spacing w:before="60" w:after="60"/>
      <w:ind w:left="1701" w:hanging="340"/>
    </w:pPr>
  </w:style>
  <w:style w:type="paragraph" w:styleId="ListBullet3">
    <w:name w:val="List Bullet 3"/>
    <w:basedOn w:val="List3"/>
    <w:rsid w:val="002C6624"/>
    <w:pPr>
      <w:numPr>
        <w:numId w:val="14"/>
      </w:numPr>
      <w:tabs>
        <w:tab w:val="clear" w:pos="1021"/>
      </w:tabs>
      <w:ind w:left="1037" w:hanging="357"/>
    </w:pPr>
  </w:style>
  <w:style w:type="paragraph" w:styleId="ListBullet4">
    <w:name w:val="List Bullet 4"/>
    <w:basedOn w:val="List4"/>
    <w:rsid w:val="002C6624"/>
    <w:pPr>
      <w:numPr>
        <w:numId w:val="2"/>
      </w:numPr>
    </w:pPr>
  </w:style>
  <w:style w:type="paragraph" w:styleId="ListBullet5">
    <w:name w:val="List Bullet 5"/>
    <w:basedOn w:val="List5"/>
    <w:rsid w:val="002C6624"/>
    <w:pPr>
      <w:numPr>
        <w:numId w:val="3"/>
      </w:numPr>
    </w:pPr>
  </w:style>
  <w:style w:type="paragraph" w:styleId="ListContinue2">
    <w:name w:val="List Continue 2"/>
    <w:basedOn w:val="List2"/>
    <w:rsid w:val="002C6624"/>
    <w:pPr>
      <w:ind w:firstLine="0"/>
    </w:pPr>
  </w:style>
  <w:style w:type="paragraph" w:styleId="ListContinue3">
    <w:name w:val="List Continue 3"/>
    <w:basedOn w:val="List3"/>
    <w:rsid w:val="002C6624"/>
    <w:pPr>
      <w:ind w:left="1021" w:firstLine="0"/>
    </w:pPr>
  </w:style>
  <w:style w:type="paragraph" w:styleId="ListContinue4">
    <w:name w:val="List Continue 4"/>
    <w:basedOn w:val="List4"/>
    <w:rsid w:val="002C6624"/>
    <w:pPr>
      <w:ind w:firstLine="0"/>
    </w:pPr>
  </w:style>
  <w:style w:type="paragraph" w:styleId="ListContinue5">
    <w:name w:val="List Continue 5"/>
    <w:basedOn w:val="List5"/>
    <w:rsid w:val="002C6624"/>
    <w:pPr>
      <w:ind w:firstLine="0"/>
    </w:pPr>
  </w:style>
  <w:style w:type="paragraph" w:styleId="ListNumber3">
    <w:name w:val="List Number 3"/>
    <w:basedOn w:val="List3"/>
    <w:rsid w:val="002C6624"/>
    <w:pPr>
      <w:numPr>
        <w:numId w:val="4"/>
      </w:numPr>
    </w:pPr>
  </w:style>
  <w:style w:type="paragraph" w:styleId="ListNumber4">
    <w:name w:val="List Number 4"/>
    <w:basedOn w:val="List4"/>
    <w:rsid w:val="002C6624"/>
    <w:pPr>
      <w:numPr>
        <w:numId w:val="5"/>
      </w:numPr>
    </w:pPr>
  </w:style>
  <w:style w:type="paragraph" w:styleId="ListNumber5">
    <w:name w:val="List Number 5"/>
    <w:basedOn w:val="List5"/>
    <w:rsid w:val="002C6624"/>
    <w:pPr>
      <w:numPr>
        <w:numId w:val="6"/>
      </w:numPr>
    </w:pPr>
  </w:style>
  <w:style w:type="paragraph" w:styleId="BlockText">
    <w:name w:val="Block Text"/>
    <w:basedOn w:val="Normal"/>
    <w:rsid w:val="002C6624"/>
    <w:pPr>
      <w:spacing w:after="120"/>
      <w:ind w:left="1440" w:right="1440"/>
    </w:pPr>
  </w:style>
  <w:style w:type="character" w:customStyle="1" w:styleId="Subscript">
    <w:name w:val="Subscript"/>
    <w:basedOn w:val="DefaultParagraphFont"/>
    <w:rsid w:val="002C6624"/>
    <w:rPr>
      <w:sz w:val="16"/>
      <w:vertAlign w:val="subscript"/>
    </w:rPr>
  </w:style>
  <w:style w:type="character" w:customStyle="1" w:styleId="Superscript">
    <w:name w:val="Superscript"/>
    <w:basedOn w:val="DefaultParagraphFont"/>
    <w:rsid w:val="002C6624"/>
    <w:rPr>
      <w:sz w:val="16"/>
      <w:vertAlign w:val="superscript"/>
    </w:rPr>
  </w:style>
  <w:style w:type="character" w:customStyle="1" w:styleId="Symbols">
    <w:name w:val="Symbols"/>
    <w:basedOn w:val="DefaultParagraphFont"/>
    <w:rsid w:val="002C6624"/>
    <w:rPr>
      <w:rFonts w:ascii="Symbol" w:hAnsi="Symbol"/>
    </w:rPr>
  </w:style>
  <w:style w:type="character" w:customStyle="1" w:styleId="MenuOptions">
    <w:name w:val="Menu Options"/>
    <w:basedOn w:val="DefaultParagraphFont"/>
    <w:rsid w:val="002C6624"/>
    <w:rPr>
      <w:rFonts w:ascii="Arial Narrow" w:hAnsi="Arial Narrow"/>
      <w:smallCaps/>
    </w:rPr>
  </w:style>
  <w:style w:type="character" w:customStyle="1" w:styleId="Buttons">
    <w:name w:val="Buttons"/>
    <w:basedOn w:val="DefaultParagraphFont"/>
    <w:rsid w:val="002C6624"/>
    <w:rPr>
      <w:b/>
    </w:rPr>
  </w:style>
  <w:style w:type="character" w:customStyle="1" w:styleId="Underlined">
    <w:name w:val="Underlined"/>
    <w:basedOn w:val="DefaultParagraphFont"/>
    <w:rsid w:val="002C6624"/>
    <w:rPr>
      <w:u w:val="single"/>
    </w:rPr>
  </w:style>
  <w:style w:type="paragraph" w:customStyle="1" w:styleId="TableBodyTextRight">
    <w:name w:val="Table Body Text Right"/>
    <w:basedOn w:val="TableBodyText"/>
    <w:rsid w:val="002C6624"/>
    <w:pPr>
      <w:widowControl w:val="0"/>
      <w:autoSpaceDE w:val="0"/>
      <w:autoSpaceDN w:val="0"/>
      <w:adjustRightInd w:val="0"/>
      <w:jc w:val="right"/>
    </w:pPr>
    <w:rPr>
      <w:rFonts w:cs="Arial"/>
      <w:szCs w:val="18"/>
    </w:rPr>
  </w:style>
  <w:style w:type="paragraph" w:customStyle="1" w:styleId="CopyrightText">
    <w:name w:val="Copyright Text"/>
    <w:basedOn w:val="BodyText"/>
    <w:rsid w:val="002C6624"/>
    <w:rPr>
      <w:sz w:val="18"/>
    </w:rPr>
  </w:style>
  <w:style w:type="paragraph" w:customStyle="1" w:styleId="BodySmallRight">
    <w:name w:val="Body Small Right"/>
    <w:basedOn w:val="BodyTextRight"/>
    <w:rsid w:val="002C6624"/>
    <w:rPr>
      <w:sz w:val="18"/>
      <w:szCs w:val="18"/>
    </w:rPr>
  </w:style>
  <w:style w:type="paragraph" w:customStyle="1" w:styleId="MarginEdition">
    <w:name w:val="Margin Edition"/>
    <w:basedOn w:val="MarginNote"/>
    <w:rsid w:val="002C6624"/>
    <w:pPr>
      <w:spacing w:before="0" w:after="0"/>
    </w:pPr>
    <w:rPr>
      <w:rFonts w:ascii="Times New Roman" w:hAnsi="Times New Roman"/>
      <w:color w:val="999999"/>
    </w:rPr>
  </w:style>
  <w:style w:type="paragraph" w:customStyle="1" w:styleId="Spacer">
    <w:name w:val="Spacer"/>
    <w:basedOn w:val="Normal"/>
    <w:rsid w:val="002C6624"/>
    <w:rPr>
      <w:sz w:val="2"/>
      <w:szCs w:val="2"/>
    </w:rPr>
  </w:style>
  <w:style w:type="character" w:customStyle="1" w:styleId="Small">
    <w:name w:val="Small"/>
    <w:basedOn w:val="DefaultParagraphFont"/>
    <w:rsid w:val="002C6624"/>
    <w:rPr>
      <w:sz w:val="16"/>
    </w:rPr>
  </w:style>
  <w:style w:type="paragraph" w:customStyle="1" w:styleId="WideTable">
    <w:name w:val="Wide Table"/>
    <w:basedOn w:val="Normal"/>
    <w:rsid w:val="002C6624"/>
    <w:pPr>
      <w:ind w:left="-1418"/>
    </w:pPr>
    <w:rPr>
      <w:sz w:val="2"/>
      <w:szCs w:val="2"/>
    </w:rPr>
  </w:style>
  <w:style w:type="character" w:styleId="PageNumber">
    <w:name w:val="page number"/>
    <w:basedOn w:val="DefaultParagraphFont"/>
    <w:rsid w:val="002C6624"/>
  </w:style>
  <w:style w:type="paragraph" w:styleId="Quote">
    <w:name w:val="Quote"/>
    <w:basedOn w:val="Heading1"/>
    <w:link w:val="QuoteChar"/>
    <w:qFormat/>
    <w:rsid w:val="002C6624"/>
    <w:rPr>
      <w:b w:val="0"/>
      <w:sz w:val="72"/>
      <w:szCs w:val="72"/>
      <w:lang w:val="en-NZ"/>
    </w:rPr>
  </w:style>
  <w:style w:type="character" w:customStyle="1" w:styleId="QuoteChar">
    <w:name w:val="Quote Char"/>
    <w:basedOn w:val="DefaultParagraphFont"/>
    <w:link w:val="Quote"/>
    <w:rsid w:val="002C6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624"/>
    <w:pPr>
      <w:pageBreakBefore/>
    </w:pPr>
  </w:style>
  <w:style w:type="paragraph" w:customStyle="1" w:styleId="Border">
    <w:name w:val="Border"/>
    <w:basedOn w:val="Normal"/>
    <w:qFormat/>
    <w:rsid w:val="002C6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624"/>
    <w:rPr>
      <w:b/>
      <w:bCs/>
      <w:i/>
      <w:iCs/>
      <w:color w:val="auto"/>
    </w:rPr>
  </w:style>
  <w:style w:type="paragraph" w:styleId="IntenseQuote">
    <w:name w:val="Intense Quote"/>
    <w:basedOn w:val="Normal"/>
    <w:next w:val="Normal"/>
    <w:link w:val="IntenseQuoteChar"/>
    <w:uiPriority w:val="30"/>
    <w:qFormat/>
    <w:rsid w:val="002C6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6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6624"/>
    <w:rPr>
      <w:smallCaps/>
      <w:color w:val="auto"/>
      <w:u w:val="single"/>
    </w:rPr>
  </w:style>
  <w:style w:type="character" w:styleId="IntenseReference">
    <w:name w:val="Intense Reference"/>
    <w:basedOn w:val="DefaultParagraphFont"/>
    <w:uiPriority w:val="32"/>
    <w:qFormat/>
    <w:rsid w:val="002C6624"/>
    <w:rPr>
      <w:b/>
      <w:bCs/>
      <w:smallCaps/>
      <w:color w:val="auto"/>
      <w:spacing w:val="5"/>
      <w:u w:val="single"/>
    </w:rPr>
  </w:style>
  <w:style w:type="paragraph" w:customStyle="1" w:styleId="2ColumnHeading">
    <w:name w:val="2Column Heading"/>
    <w:basedOn w:val="BodyText"/>
    <w:qFormat/>
    <w:rsid w:val="002C6624"/>
    <w:pPr>
      <w:spacing w:after="60"/>
      <w:ind w:left="-2268"/>
    </w:pPr>
    <w:rPr>
      <w:b/>
    </w:rPr>
  </w:style>
  <w:style w:type="paragraph" w:customStyle="1" w:styleId="Heading1TOC">
    <w:name w:val="Heading1 TOC"/>
    <w:basedOn w:val="Normal"/>
    <w:qFormat/>
    <w:rsid w:val="002C6624"/>
    <w:pPr>
      <w:spacing w:before="240" w:after="120"/>
    </w:pPr>
    <w:rPr>
      <w:rFonts w:ascii="Times New Roman" w:hAnsi="Times New Roman"/>
      <w:b/>
      <w:sz w:val="32"/>
    </w:rPr>
  </w:style>
  <w:style w:type="paragraph" w:customStyle="1" w:styleId="Heading2TOC">
    <w:name w:val="Heading2 TOC"/>
    <w:basedOn w:val="Normal"/>
    <w:qFormat/>
    <w:rsid w:val="002C6624"/>
    <w:pPr>
      <w:spacing w:before="240" w:after="60"/>
    </w:pPr>
    <w:rPr>
      <w:rFonts w:ascii="Times New Roman" w:hAnsi="Times New Roman"/>
      <w:b/>
      <w:sz w:val="28"/>
    </w:rPr>
  </w:style>
  <w:style w:type="character" w:customStyle="1" w:styleId="Underline">
    <w:name w:val="Underline"/>
    <w:basedOn w:val="DefaultParagraphFont"/>
    <w:qFormat/>
    <w:rsid w:val="002C6624"/>
    <w:rPr>
      <w:u w:val="single"/>
    </w:rPr>
  </w:style>
  <w:style w:type="character" w:customStyle="1" w:styleId="BoldandItalics">
    <w:name w:val="Bold and Italics"/>
    <w:qFormat/>
    <w:rsid w:val="002C6624"/>
    <w:rPr>
      <w:b/>
      <w:i/>
      <w:u w:val="none"/>
    </w:rPr>
  </w:style>
  <w:style w:type="paragraph" w:styleId="BalloonText">
    <w:name w:val="Balloon Text"/>
    <w:basedOn w:val="Normal"/>
    <w:link w:val="BalloonTextChar"/>
    <w:rsid w:val="002C6624"/>
    <w:rPr>
      <w:rFonts w:ascii="Tahoma" w:hAnsi="Tahoma" w:cs="Tahoma"/>
      <w:sz w:val="16"/>
      <w:szCs w:val="16"/>
    </w:rPr>
  </w:style>
  <w:style w:type="character" w:customStyle="1" w:styleId="BalloonTextChar">
    <w:name w:val="Balloon Text Char"/>
    <w:basedOn w:val="DefaultParagraphFont"/>
    <w:link w:val="BalloonText"/>
    <w:rsid w:val="002C66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66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6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975</Words>
  <Characters>5831</Characters>
  <Application>Microsoft Office Word</Application>
  <DocSecurity>0</DocSecurity>
  <Lines>219</Lines>
  <Paragraphs>101</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MEM06008A Hammer forge complex shapes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2012-05-27T01:33:00Z</dcterms:created>
  <dcterms:modified xsi:type="dcterms:W3CDTF">2012-05-27T01:33:00Z</dcterms:modified>
</cp:coreProperties>
</file>