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4CAB" w:rsidP="00B24CAB">
      <w:pPr>
        <w:pStyle w:val="Title"/>
      </w:pPr>
      <w:bookmarkStart w:id="0" w:name="_GoBack"/>
      <w:bookmarkEnd w:id="0"/>
      <w:r>
        <w:fldChar w:fldCharType="begin"/>
      </w:r>
      <w:r>
        <w:instrText xml:space="preserve"> TITLE   \* MERGEFORMAT </w:instrText>
      </w:r>
      <w:r>
        <w:fldChar w:fldCharType="separate"/>
      </w:r>
      <w:r>
        <w:t>MEM06007B Perform basic incidental heat/quenching, tempering and annealing</w:t>
      </w:r>
      <w:r>
        <w:fldChar w:fldCharType="end"/>
      </w:r>
    </w:p>
    <w:p w:rsidR="00B24CAB" w:rsidP="00B24CAB">
      <w:pPr>
        <w:pStyle w:val="Version"/>
        <w:sectPr w:rsidSect="008F701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F7011" w:rsidP="008F7011">
      <w:pPr>
        <w:pStyle w:val="SuperHeading"/>
      </w:pPr>
      <w:r w:rsidRPr="008F7011">
        <w:t>MEM06007B Perform basic incidental heat/quenching, tempering and annealing</w:t>
      </w:r>
    </w:p>
    <w:p w:rsidR="00000000" w:rsidRPr="008F7011" w:rsidP="008F7011">
      <w:pPr>
        <w:pStyle w:val="Heading1"/>
      </w:pPr>
      <w:bookmarkStart w:id="1" w:name="O_272045"/>
      <w:bookmarkEnd w:id="1"/>
      <w:r w:rsidRPr="008F7011">
        <w:t>Modification History</w:t>
      </w:r>
    </w:p>
    <w:p w:rsidR="00000000" w:rsidRPr="008F7011" w:rsidP="008F7011">
      <w:pPr>
        <w:pStyle w:val="BodyText"/>
      </w:pPr>
      <w:r w:rsidRPr="008F7011">
        <w:t>Not Applicable</w:t>
      </w:r>
    </w:p>
    <w:p w:rsidR="00000000" w:rsidRPr="008F7011" w:rsidP="008F7011">
      <w:pPr>
        <w:pStyle w:val="AllowPageBreak"/>
      </w:pPr>
    </w:p>
    <w:p w:rsidR="00000000" w:rsidRPr="008F7011" w:rsidP="008F7011">
      <w:pPr>
        <w:pStyle w:val="Heading1"/>
      </w:pPr>
      <w:bookmarkStart w:id="2" w:name="O_210753"/>
      <w:bookmarkEnd w:id="2"/>
      <w:r w:rsidRPr="008F7011">
        <w:t>Unit Descriptor</w:t>
      </w:r>
    </w:p>
    <w:tbl>
      <w:tblPr>
        <w:tblW w:w="0" w:type="auto"/>
        <w:tblLayout w:type="fixed"/>
        <w:tblCellMar>
          <w:left w:w="62" w:type="dxa"/>
          <w:right w:w="62" w:type="dxa"/>
        </w:tblCellMar>
        <w:tblLook w:val="0000"/>
      </w:tblPr>
      <w:tblGrid>
        <w:gridCol w:w="2655"/>
        <w:gridCol w:w="5867"/>
      </w:tblGrid>
      <w:tr w:rsidTr="00B24CAB">
        <w:tblPrEx>
          <w:tblW w:w="0" w:type="auto"/>
          <w:tblLayout w:type="fixed"/>
          <w:tblCellMar>
            <w:left w:w="62" w:type="dxa"/>
            <w:right w:w="62" w:type="dxa"/>
          </w:tblCellMar>
          <w:tblLook w:val="0000"/>
        </w:tblPrEx>
        <w:trPr>
          <w:tblHeader/>
        </w:trPr>
        <w:tc>
          <w:tcPr>
            <w:tcW w:w="2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011">
            <w:pPr>
              <w:pStyle w:val="BodyText"/>
              <w:rPr>
                <w:lang w:val="en-NZ"/>
              </w:rPr>
            </w:pPr>
            <w:r w:rsidRPr="008F7011">
              <w:rPr>
                <w:rStyle w:val="SpecialBold"/>
              </w:rPr>
              <w:t>Unit d</w:t>
            </w:r>
            <w:r w:rsidRPr="008F7011">
              <w:rPr>
                <w:rStyle w:val="SpecialBold"/>
              </w:rPr>
              <w:t>escriptor</w:t>
            </w:r>
          </w:p>
        </w:tc>
        <w:tc>
          <w:tcPr>
            <w:tcW w:w="5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011" w:rsidP="008F7011">
            <w:pPr>
              <w:pStyle w:val="BodyText"/>
            </w:pPr>
            <w:r w:rsidRPr="008F7011">
              <w:t>This unit covers performing straightforward heating/quenching, tempering and annealing of ferrous and non-ferrous metals.</w:t>
            </w:r>
          </w:p>
        </w:tc>
      </w:tr>
    </w:tbl>
    <w:p w:rsidR="00B24CAB" w:rsidP="008F7011">
      <w:pPr>
        <w:pStyle w:val="BodyText"/>
      </w:pPr>
    </w:p>
    <w:p w:rsidR="00B24CAB" w:rsidP="008F7011">
      <w:pPr>
        <w:pStyle w:val="BodyText"/>
      </w:pPr>
    </w:p>
    <w:p w:rsidR="00000000" w:rsidRPr="008F7011" w:rsidP="008F7011">
      <w:pPr>
        <w:pStyle w:val="Heading1"/>
      </w:pPr>
      <w:bookmarkStart w:id="3" w:name="O_210757"/>
      <w:bookmarkEnd w:id="3"/>
      <w:r w:rsidRPr="008F7011">
        <w:t>Application of the Unit</w:t>
      </w:r>
    </w:p>
    <w:tbl>
      <w:tblPr>
        <w:tblW w:w="0" w:type="auto"/>
        <w:tblLayout w:type="fixed"/>
        <w:tblCellMar>
          <w:left w:w="62" w:type="dxa"/>
          <w:right w:w="62" w:type="dxa"/>
        </w:tblCellMar>
        <w:tblLook w:val="0000"/>
      </w:tblPr>
      <w:tblGrid>
        <w:gridCol w:w="2745"/>
        <w:gridCol w:w="5777"/>
      </w:tblGrid>
      <w:tr w:rsidTr="00B24CAB">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011">
            <w:pPr>
              <w:pStyle w:val="BodyText"/>
              <w:rPr>
                <w:lang w:val="en-NZ"/>
              </w:rPr>
            </w:pPr>
            <w:r w:rsidRPr="008F7011">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011" w:rsidP="008F7011">
            <w:pPr>
              <w:pStyle w:val="BodyText"/>
            </w:pPr>
            <w:r w:rsidRPr="008F7011">
              <w:t>This unit applies to the heat treatment of ferrous and non- ferrous metals of various types and thicknesses by a range of methods. These may include oxy acetylene, LPG gas equipment, forge etc. used to heat/quench, temper and anneal materials to specificat</w:t>
            </w:r>
            <w:r w:rsidRPr="008F7011">
              <w:t xml:space="preserve">ions. </w:t>
            </w:r>
          </w:p>
          <w:p w:rsidR="00000000" w:rsidRPr="008F7011" w:rsidP="008F7011">
            <w:pPr>
              <w:pStyle w:val="BodyText"/>
            </w:pPr>
            <w:r w:rsidRPr="008F7011">
              <w:t>Work would normally cover one-off processes or processes undertaken as incidental to trade work (e.g. toolmaking, metal spinning etc.)</w:t>
            </w:r>
          </w:p>
          <w:p w:rsidR="00000000" w:rsidRPr="008F7011" w:rsidP="008F7011">
            <w:pPr>
              <w:pStyle w:val="BodyText"/>
            </w:pPr>
            <w:r w:rsidRPr="008F7011">
              <w:t>For more comprehensive or complex heating treatment, Units MEM06003C (Carry out heat treatment) and MEM06004B (Sel</w:t>
            </w:r>
            <w:r w:rsidRPr="008F7011">
              <w:t xml:space="preserve">ect heat treatment processes and test finished product) should also be considered. </w:t>
            </w:r>
          </w:p>
          <w:p w:rsidR="00000000" w:rsidRPr="008F7011" w:rsidP="008F7011">
            <w:pPr>
              <w:pStyle w:val="BodyText"/>
            </w:pPr>
            <w:r w:rsidRPr="008F7011">
              <w:t>For continuous or batch heat treatment of materials, Unit MEM07024B (Operate and monitor machine/process) should be selected.</w:t>
            </w:r>
          </w:p>
          <w:p w:rsidR="00000000" w:rsidRPr="008F7011" w:rsidP="008F7011">
            <w:pPr>
              <w:pStyle w:val="BodyText"/>
            </w:pPr>
          </w:p>
          <w:p w:rsidR="00000000" w:rsidRPr="008F7011" w:rsidP="008F7011">
            <w:pPr>
              <w:pStyle w:val="BodyText"/>
            </w:pPr>
            <w:r w:rsidRPr="008F7011">
              <w:rPr>
                <w:rStyle w:val="SpecialBold"/>
              </w:rPr>
              <w:t>Band</w:t>
            </w:r>
            <w:r w:rsidRPr="008F7011">
              <w:t>:</w:t>
            </w:r>
            <w:r w:rsidRPr="008F7011">
              <w:tab/>
            </w:r>
            <w:r w:rsidRPr="008F7011">
              <w:rPr>
                <w:rStyle w:val="SpecialBold"/>
              </w:rPr>
              <w:t>A</w:t>
            </w:r>
          </w:p>
          <w:p w:rsidR="00000000" w:rsidRPr="008F7011" w:rsidP="008F7011">
            <w:pPr>
              <w:pStyle w:val="BodyText"/>
            </w:pPr>
            <w:r w:rsidRPr="008F7011">
              <w:rPr>
                <w:rStyle w:val="SpecialBold"/>
              </w:rPr>
              <w:t>Unit Weight</w:t>
            </w:r>
            <w:r w:rsidRPr="008F7011">
              <w:t>:</w:t>
            </w:r>
            <w:r w:rsidRPr="008F7011">
              <w:tab/>
            </w:r>
            <w:r w:rsidRPr="008F7011">
              <w:rPr>
                <w:rStyle w:val="SpecialBold"/>
              </w:rPr>
              <w:t>2</w:t>
            </w:r>
          </w:p>
        </w:tc>
      </w:tr>
    </w:tbl>
    <w:p w:rsidR="00B24CAB" w:rsidP="008F7011">
      <w:pPr>
        <w:pStyle w:val="BodyText"/>
      </w:pPr>
    </w:p>
    <w:p w:rsidR="00B24CAB" w:rsidP="008F7011">
      <w:pPr>
        <w:pStyle w:val="BodyText"/>
      </w:pPr>
    </w:p>
    <w:p w:rsidR="00000000" w:rsidRPr="008F7011" w:rsidP="008F7011">
      <w:pPr>
        <w:pStyle w:val="Heading1"/>
      </w:pPr>
      <w:bookmarkStart w:id="4" w:name="O_280305"/>
      <w:bookmarkEnd w:id="4"/>
      <w:r w:rsidRPr="008F7011">
        <w:t>Licensing/Regulatory Information</w:t>
      </w:r>
    </w:p>
    <w:p w:rsidR="00000000" w:rsidRPr="008F7011" w:rsidP="008F7011">
      <w:pPr>
        <w:pStyle w:val="BodyText"/>
      </w:pPr>
      <w:r w:rsidRPr="008F7011">
        <w:t>Not Applicable</w:t>
      </w:r>
    </w:p>
    <w:p w:rsidR="00000000" w:rsidRPr="008F7011" w:rsidP="008F7011">
      <w:pPr>
        <w:pStyle w:val="AllowPageBreak"/>
      </w:pPr>
    </w:p>
    <w:p w:rsidR="00000000" w:rsidRPr="008F7011" w:rsidP="008F7011">
      <w:pPr>
        <w:pStyle w:val="Heading1"/>
      </w:pPr>
      <w:bookmarkStart w:id="5" w:name="O_210755"/>
      <w:bookmarkEnd w:id="5"/>
      <w:r w:rsidRPr="008F7011">
        <w:t>Pre-Requisites</w:t>
      </w:r>
    </w:p>
    <w:tbl>
      <w:tblPr>
        <w:tblW w:w="0" w:type="auto"/>
        <w:tblLayout w:type="fixed"/>
        <w:tblCellMar>
          <w:left w:w="62" w:type="dxa"/>
          <w:right w:w="62" w:type="dxa"/>
        </w:tblCellMar>
        <w:tblLook w:val="0000"/>
      </w:tblPr>
      <w:tblGrid>
        <w:gridCol w:w="2775"/>
        <w:gridCol w:w="1295"/>
        <w:gridCol w:w="4452"/>
      </w:tblGrid>
      <w:tr w:rsidTr="00B24CA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011">
            <w:pPr>
              <w:pStyle w:val="BodyText"/>
              <w:rPr>
                <w:lang w:val="en-NZ"/>
              </w:rPr>
            </w:pPr>
            <w:r w:rsidRPr="008F701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011">
            <w:pPr>
              <w:pStyle w:val="BodyText"/>
              <w:rPr>
                <w:lang w:val="en-NZ"/>
              </w:rPr>
            </w:pPr>
          </w:p>
        </w:tc>
      </w:tr>
      <w:tr w:rsidTr="00B24CA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011">
            <w:pPr>
              <w:pStyle w:val="BodyText"/>
              <w:rPr>
                <w:lang w:val="en-NZ"/>
              </w:rPr>
            </w:pPr>
          </w:p>
        </w:tc>
      </w:tr>
      <w:tr w:rsidTr="00B24CA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011" w:rsidP="008F7011">
            <w:pPr>
              <w:pStyle w:val="BodyText"/>
            </w:pPr>
          </w:p>
        </w:tc>
      </w:tr>
    </w:tbl>
    <w:p w:rsidR="00B24CAB" w:rsidP="008F7011">
      <w:pPr>
        <w:pStyle w:val="BodyText"/>
      </w:pPr>
    </w:p>
    <w:p w:rsidR="00B24CAB" w:rsidP="008F7011">
      <w:pPr>
        <w:pStyle w:val="BodyText"/>
      </w:pPr>
    </w:p>
    <w:p w:rsidR="00000000" w:rsidRPr="008F7011" w:rsidP="008F7011">
      <w:pPr>
        <w:pStyle w:val="Heading1"/>
      </w:pPr>
      <w:bookmarkStart w:id="6" w:name="O_210754"/>
      <w:bookmarkEnd w:id="6"/>
      <w:r w:rsidRPr="008F7011">
        <w:t>Employability Skills Information</w:t>
      </w:r>
    </w:p>
    <w:tbl>
      <w:tblPr>
        <w:tblW w:w="0" w:type="auto"/>
        <w:tblLayout w:type="fixed"/>
        <w:tblCellMar>
          <w:left w:w="62" w:type="dxa"/>
          <w:right w:w="62" w:type="dxa"/>
        </w:tblCellMar>
        <w:tblLook w:val="0000"/>
      </w:tblPr>
      <w:tblGrid>
        <w:gridCol w:w="2802"/>
        <w:gridCol w:w="5720"/>
      </w:tblGrid>
      <w:tr w:rsidTr="00B24CA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011">
            <w:pPr>
              <w:pStyle w:val="BodyText"/>
              <w:rPr>
                <w:lang w:val="en-NZ"/>
              </w:rPr>
            </w:pPr>
            <w:r w:rsidRPr="008F701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011" w:rsidP="008F7011">
            <w:pPr>
              <w:pStyle w:val="BodyText"/>
            </w:pPr>
            <w:r w:rsidRPr="008F7011">
              <w:t>This unit contains employability skills.</w:t>
            </w:r>
          </w:p>
        </w:tc>
      </w:tr>
    </w:tbl>
    <w:p w:rsidR="00B24CAB" w:rsidP="008F7011">
      <w:pPr>
        <w:pStyle w:val="BodyText"/>
      </w:pPr>
    </w:p>
    <w:p w:rsidR="00B24CAB" w:rsidP="008F7011">
      <w:pPr>
        <w:pStyle w:val="BodyText"/>
      </w:pPr>
    </w:p>
    <w:p w:rsidR="00000000" w:rsidRPr="008F7011" w:rsidP="008F7011">
      <w:pPr>
        <w:pStyle w:val="Heading1"/>
      </w:pPr>
      <w:bookmarkStart w:id="7" w:name="O_290091"/>
      <w:bookmarkEnd w:id="7"/>
      <w:r w:rsidRPr="008F7011">
        <w:t>Elements and Performance Criteria Pre-Content</w:t>
      </w:r>
    </w:p>
    <w:tbl>
      <w:tblPr>
        <w:tblW w:w="0" w:type="auto"/>
        <w:tblLayout w:type="fixed"/>
        <w:tblCellMar>
          <w:left w:w="62" w:type="dxa"/>
          <w:right w:w="62" w:type="dxa"/>
        </w:tblCellMar>
        <w:tblLook w:val="0000"/>
      </w:tblPr>
      <w:tblGrid>
        <w:gridCol w:w="2604"/>
        <w:gridCol w:w="5918"/>
      </w:tblGrid>
      <w:tr w:rsidTr="00B24CAB">
        <w:tblPrEx>
          <w:tblW w:w="0" w:type="auto"/>
          <w:tblLayout w:type="fixed"/>
          <w:tblCellMar>
            <w:left w:w="62" w:type="dxa"/>
            <w:right w:w="62" w:type="dxa"/>
          </w:tblCellMar>
          <w:tblLook w:val="0000"/>
        </w:tblPrEx>
        <w:tc>
          <w:tcPr>
            <w:tcW w:w="26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011">
            <w:pPr>
              <w:pStyle w:val="BodyText"/>
              <w:rPr>
                <w:lang w:val="en-NZ"/>
              </w:rPr>
            </w:pPr>
            <w:r w:rsidRPr="008F7011">
              <w:t>Elements describe the essential outcomes of a unit of competency.</w:t>
            </w:r>
          </w:p>
        </w:tc>
        <w:tc>
          <w:tcPr>
            <w:tcW w:w="5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011" w:rsidP="008F7011">
            <w:pPr>
              <w:pStyle w:val="BodyText"/>
            </w:pPr>
            <w:r w:rsidRPr="008F7011">
              <w:t xml:space="preserve">Performance criteria describe the performance needed to demonstrate achievement of the element. Where bold italicised text is used, further </w:t>
            </w:r>
            <w:r w:rsidRPr="008F7011">
              <w:t>information is detailed in the required skills and knowledge section and the range statement. Assessment of performance is to be consistent with the evidence guide.</w:t>
            </w:r>
          </w:p>
        </w:tc>
      </w:tr>
    </w:tbl>
    <w:p w:rsidR="00000000" w:rsidRPr="008F7011" w:rsidP="008F7011">
      <w:pPr>
        <w:pStyle w:val="BodyText"/>
      </w:pPr>
    </w:p>
    <w:p w:rsidR="00000000" w:rsidRPr="008F7011" w:rsidP="008F7011">
      <w:pPr>
        <w:pStyle w:val="AllowPageBreak"/>
      </w:pPr>
    </w:p>
    <w:p w:rsidR="00000000" w:rsidRPr="008F7011" w:rsidP="008F7011">
      <w:pPr>
        <w:pStyle w:val="Heading1"/>
      </w:pPr>
      <w:bookmarkStart w:id="8" w:name="O_236758"/>
      <w:bookmarkEnd w:id="8"/>
      <w:r w:rsidRPr="008F7011">
        <w:t>Elements and Performance Criteria</w:t>
      </w:r>
    </w:p>
    <w:tbl>
      <w:tblPr>
        <w:tblW w:w="0" w:type="auto"/>
        <w:tblLayout w:type="fixed"/>
        <w:tblCellMar>
          <w:left w:w="62" w:type="dxa"/>
          <w:right w:w="62" w:type="dxa"/>
        </w:tblCellMar>
        <w:tblLook w:val="0000"/>
      </w:tblPr>
      <w:tblGrid>
        <w:gridCol w:w="2604"/>
        <w:gridCol w:w="5918"/>
      </w:tblGrid>
      <w:tr w:rsidTr="00B24CAB">
        <w:tblPrEx>
          <w:tblW w:w="0" w:type="auto"/>
          <w:tblLayout w:type="fixed"/>
          <w:tblCellMar>
            <w:left w:w="62" w:type="dxa"/>
            <w:right w:w="62" w:type="dxa"/>
          </w:tblCellMar>
          <w:tblLook w:val="0000"/>
        </w:tblPrEx>
        <w:trPr>
          <w:tblHeader/>
        </w:trPr>
        <w:tc>
          <w:tcPr>
            <w:tcW w:w="26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011" w:rsidP="008F7011">
            <w:pPr>
              <w:pStyle w:val="BodyText"/>
            </w:pPr>
            <w:r w:rsidRPr="008F7011">
              <w:rPr>
                <w:rStyle w:val="SpecialBold"/>
              </w:rPr>
              <w:t>ELEMENT</w:t>
            </w:r>
          </w:p>
        </w:tc>
        <w:tc>
          <w:tcPr>
            <w:tcW w:w="5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011">
            <w:pPr>
              <w:pStyle w:val="BodyText"/>
              <w:rPr>
                <w:lang w:val="en-NZ"/>
              </w:rPr>
            </w:pPr>
            <w:r w:rsidRPr="008F7011">
              <w:rPr>
                <w:rStyle w:val="SpecialBold"/>
              </w:rPr>
              <w:t>PERFORMANCE CRITERIA</w:t>
            </w:r>
          </w:p>
        </w:tc>
      </w:tr>
      <w:tr w:rsidTr="00B24CAB">
        <w:tblPrEx>
          <w:tblW w:w="0" w:type="auto"/>
          <w:tblLayout w:type="fixed"/>
          <w:tblCellMar>
            <w:left w:w="62" w:type="dxa"/>
            <w:right w:w="62" w:type="dxa"/>
          </w:tblCellMar>
          <w:tblLook w:val="0000"/>
        </w:tblPrEx>
        <w:tc>
          <w:tcPr>
            <w:tcW w:w="26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011">
            <w:pPr>
              <w:pStyle w:val="List"/>
              <w:rPr>
                <w:lang w:val="en-NZ"/>
              </w:rPr>
            </w:pPr>
            <w:r w:rsidRPr="008F7011">
              <w:t>1.</w:t>
            </w:r>
            <w:r w:rsidRPr="008F7011">
              <w:tab/>
              <w:t>Deter</w:t>
            </w:r>
            <w:r w:rsidRPr="008F7011">
              <w:t xml:space="preserve">mine job requirements </w:t>
            </w:r>
          </w:p>
        </w:tc>
        <w:tc>
          <w:tcPr>
            <w:tcW w:w="5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011">
            <w:pPr>
              <w:pStyle w:val="List2"/>
              <w:rPr>
                <w:lang w:val="en-NZ"/>
              </w:rPr>
            </w:pPr>
            <w:r w:rsidRPr="008F7011">
              <w:t>1.1.</w:t>
            </w:r>
            <w:r w:rsidRPr="008F7011">
              <w:tab/>
              <w:t>Job requirements are determined from engineering drawing, job sheet or verbal instructions.</w:t>
            </w:r>
          </w:p>
        </w:tc>
      </w:tr>
      <w:tr w:rsidTr="00B24CAB">
        <w:tblPrEx>
          <w:tblW w:w="0" w:type="auto"/>
          <w:tblLayout w:type="fixed"/>
          <w:tblCellMar>
            <w:left w:w="62" w:type="dxa"/>
            <w:right w:w="62" w:type="dxa"/>
          </w:tblCellMar>
          <w:tblLook w:val="0000"/>
        </w:tblPrEx>
        <w:tc>
          <w:tcPr>
            <w:tcW w:w="26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011">
            <w:pPr>
              <w:pStyle w:val="List"/>
              <w:rPr>
                <w:lang w:val="en-NZ"/>
              </w:rPr>
            </w:pPr>
            <w:r w:rsidRPr="008F7011">
              <w:t>2.</w:t>
            </w:r>
            <w:r w:rsidRPr="008F7011">
              <w:tab/>
              <w:t>Set up equipment for heat/quenching, tempering and annealing</w:t>
            </w:r>
          </w:p>
        </w:tc>
        <w:tc>
          <w:tcPr>
            <w:tcW w:w="5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011" w:rsidP="008F7011">
            <w:pPr>
              <w:pStyle w:val="List2"/>
            </w:pPr>
            <w:r w:rsidRPr="008F7011">
              <w:t>2.1.</w:t>
            </w:r>
            <w:r w:rsidRPr="008F7011">
              <w:tab/>
            </w:r>
            <w:r w:rsidRPr="008F7011">
              <w:t>Appropriate heating process and/or procedure is selected for the given job.</w:t>
            </w:r>
          </w:p>
          <w:p w:rsidR="00000000" w:rsidP="008F7011">
            <w:pPr>
              <w:pStyle w:val="List2"/>
              <w:rPr>
                <w:lang w:val="en-NZ"/>
              </w:rPr>
            </w:pPr>
            <w:r w:rsidRPr="008F7011">
              <w:t>2.2.</w:t>
            </w:r>
            <w:r w:rsidRPr="008F7011">
              <w:tab/>
              <w:t>Equipment is set up according to standard operating procedures and manufacturers' instructions.</w:t>
            </w:r>
          </w:p>
        </w:tc>
      </w:tr>
      <w:tr w:rsidTr="00B24CAB">
        <w:tblPrEx>
          <w:tblW w:w="0" w:type="auto"/>
          <w:tblLayout w:type="fixed"/>
          <w:tblCellMar>
            <w:left w:w="62" w:type="dxa"/>
            <w:right w:w="62" w:type="dxa"/>
          </w:tblCellMar>
          <w:tblLook w:val="0000"/>
        </w:tblPrEx>
        <w:tc>
          <w:tcPr>
            <w:tcW w:w="26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011">
            <w:pPr>
              <w:pStyle w:val="List"/>
              <w:rPr>
                <w:lang w:val="en-NZ"/>
              </w:rPr>
            </w:pPr>
            <w:r w:rsidRPr="008F7011">
              <w:t>3.</w:t>
            </w:r>
            <w:r w:rsidRPr="008F7011">
              <w:tab/>
              <w:t xml:space="preserve">Operate heating equipment </w:t>
            </w:r>
          </w:p>
        </w:tc>
        <w:tc>
          <w:tcPr>
            <w:tcW w:w="5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011" w:rsidP="008F7011">
            <w:pPr>
              <w:pStyle w:val="List2"/>
            </w:pPr>
            <w:r w:rsidRPr="008F7011">
              <w:t>3.1.</w:t>
            </w:r>
            <w:r w:rsidRPr="008F7011">
              <w:tab/>
              <w:t>All safety procedures are observed.</w:t>
            </w:r>
          </w:p>
          <w:p w:rsidR="00000000" w:rsidRPr="008F7011" w:rsidP="008F7011">
            <w:pPr>
              <w:pStyle w:val="List2"/>
            </w:pPr>
            <w:r w:rsidRPr="008F7011">
              <w:t>3.2.</w:t>
            </w:r>
            <w:r w:rsidRPr="008F7011">
              <w:tab/>
              <w:t>Ap</w:t>
            </w:r>
            <w:r w:rsidRPr="008F7011">
              <w:t>propriate heating equipment operating procedures are followed.</w:t>
            </w:r>
          </w:p>
          <w:p w:rsidR="00000000" w:rsidRPr="008F7011" w:rsidP="008F7011">
            <w:pPr>
              <w:pStyle w:val="List2"/>
            </w:pPr>
            <w:r w:rsidRPr="008F7011">
              <w:t>3.3.</w:t>
            </w:r>
            <w:r w:rsidRPr="008F7011">
              <w:tab/>
              <w:t>Appropriate equipment adjustments are made.</w:t>
            </w:r>
          </w:p>
          <w:p w:rsidR="00000000" w:rsidRPr="008F7011" w:rsidP="008F7011">
            <w:pPr>
              <w:pStyle w:val="List2"/>
            </w:pPr>
            <w:r w:rsidRPr="008F7011">
              <w:t>3.4.</w:t>
            </w:r>
            <w:r w:rsidRPr="008F7011">
              <w:tab/>
              <w:t>Material is treated to achieve required result.</w:t>
            </w:r>
          </w:p>
        </w:tc>
      </w:tr>
    </w:tbl>
    <w:p w:rsidR="00B24CAB" w:rsidP="008F7011">
      <w:pPr>
        <w:pStyle w:val="BodyText"/>
      </w:pPr>
    </w:p>
    <w:p w:rsidR="00B24CAB" w:rsidP="008F7011">
      <w:pPr>
        <w:pStyle w:val="BodyText"/>
      </w:pPr>
    </w:p>
    <w:p w:rsidR="00000000" w:rsidRPr="008F7011" w:rsidP="008F7011">
      <w:pPr>
        <w:pStyle w:val="Heading1"/>
      </w:pPr>
      <w:bookmarkStart w:id="9" w:name="O_260708"/>
      <w:bookmarkEnd w:id="9"/>
      <w:r w:rsidRPr="008F7011">
        <w:t>Required Skills and Knowledge</w:t>
      </w:r>
    </w:p>
    <w:tbl>
      <w:tblPr>
        <w:tblW w:w="0" w:type="auto"/>
        <w:tblLayout w:type="fixed"/>
        <w:tblCellMar>
          <w:left w:w="62" w:type="dxa"/>
          <w:right w:w="62" w:type="dxa"/>
        </w:tblCellMar>
        <w:tblLook w:val="0000"/>
      </w:tblPr>
      <w:tblGrid>
        <w:gridCol w:w="8522"/>
      </w:tblGrid>
      <w:tr w:rsidTr="00B24CA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F7011">
            <w:pPr>
              <w:pStyle w:val="BodyText"/>
              <w:rPr>
                <w:lang w:val="en-NZ"/>
              </w:rPr>
            </w:pPr>
            <w:r w:rsidRPr="008F7011">
              <w:rPr>
                <w:rStyle w:val="SpecialBold"/>
              </w:rPr>
              <w:t>REQUIRED SKILLS AND KNOWLEDGE</w:t>
            </w:r>
          </w:p>
        </w:tc>
      </w:tr>
      <w:tr w:rsidTr="00B24CA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F7011">
            <w:pPr>
              <w:pStyle w:val="BodyText"/>
              <w:rPr>
                <w:lang w:val="en-NZ"/>
              </w:rPr>
            </w:pPr>
            <w:r w:rsidRPr="008F7011">
              <w:t>This section describes the skills and knowledge required for this unit.</w:t>
            </w:r>
          </w:p>
        </w:tc>
      </w:tr>
      <w:tr w:rsidTr="00B24CA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011">
            <w:pPr>
              <w:pStyle w:val="BodyText"/>
              <w:rPr>
                <w:lang w:val="en-NZ"/>
              </w:rPr>
            </w:pPr>
            <w:r w:rsidRPr="008F7011">
              <w:rPr>
                <w:rStyle w:val="SpecialBold"/>
              </w:rPr>
              <w:t>Required skills</w:t>
            </w:r>
          </w:p>
        </w:tc>
      </w:tr>
      <w:tr w:rsidTr="00B24CA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011" w:rsidP="008F7011">
            <w:pPr>
              <w:pStyle w:val="BodyText"/>
            </w:pPr>
            <w:r w:rsidRPr="008F7011">
              <w:t>Look for evidence that confirms skills in:</w:t>
            </w:r>
          </w:p>
          <w:p w:rsidR="00000000" w:rsidRPr="008F7011" w:rsidP="008F7011">
            <w:pPr>
              <w:pStyle w:val="ListBullet"/>
            </w:pPr>
            <w:r w:rsidRPr="008F7011">
              <w:t>reading, interpreting and following information on written job instructions, specifications, standard operating procedures, manufacturer instructions, charts, lists, drawings and other applicable reference documents</w:t>
            </w:r>
          </w:p>
          <w:p w:rsidR="00000000" w:rsidRPr="008F7011" w:rsidP="008F7011">
            <w:pPr>
              <w:pStyle w:val="ListBullet"/>
            </w:pPr>
            <w:r w:rsidRPr="008F7011">
              <w:t>checking and clarifying task-related inf</w:t>
            </w:r>
            <w:r w:rsidRPr="008F7011">
              <w:t>ormation</w:t>
            </w:r>
          </w:p>
          <w:p w:rsidR="00000000" w:rsidRPr="008F7011" w:rsidP="008F7011">
            <w:pPr>
              <w:pStyle w:val="ListBullet"/>
            </w:pPr>
            <w:r w:rsidRPr="008F7011">
              <w:t>following verbal instructions</w:t>
            </w:r>
          </w:p>
          <w:p w:rsidR="00000000" w:rsidRPr="008F7011" w:rsidP="008F7011">
            <w:pPr>
              <w:pStyle w:val="ListBullet"/>
            </w:pPr>
            <w:r w:rsidRPr="008F7011">
              <w:t>orally reporting routine information</w:t>
            </w:r>
          </w:p>
          <w:p w:rsidR="00000000" w:rsidRPr="008F7011" w:rsidP="008F7011">
            <w:pPr>
              <w:pStyle w:val="ListBullet"/>
            </w:pPr>
            <w:r w:rsidRPr="008F7011">
              <w:t>selecting appropriate processes for heating/quenching, tempering, annealing</w:t>
            </w:r>
          </w:p>
          <w:p w:rsidR="00000000" w:rsidP="008F7011">
            <w:pPr>
              <w:pStyle w:val="ListBullet"/>
              <w:rPr>
                <w:lang w:val="en-NZ"/>
              </w:rPr>
            </w:pPr>
            <w:r w:rsidRPr="008F7011">
              <w:t>setting up, adjusting and operating equipment</w:t>
            </w:r>
          </w:p>
        </w:tc>
      </w:tr>
      <w:tr w:rsidTr="00B24CA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011">
            <w:pPr>
              <w:pStyle w:val="BodyText"/>
              <w:rPr>
                <w:lang w:val="en-NZ"/>
              </w:rPr>
            </w:pPr>
            <w:r w:rsidRPr="008F7011">
              <w:rPr>
                <w:rStyle w:val="SpecialBold"/>
              </w:rPr>
              <w:t>Required knowledge</w:t>
            </w:r>
          </w:p>
        </w:tc>
      </w:tr>
      <w:tr w:rsidTr="00B24CA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011" w:rsidP="008F7011">
            <w:pPr>
              <w:pStyle w:val="BodyText"/>
            </w:pPr>
            <w:r w:rsidRPr="008F7011">
              <w:t>Look for evidence that confirms knowl</w:t>
            </w:r>
            <w:r w:rsidRPr="008F7011">
              <w:t>edge of:</w:t>
            </w:r>
          </w:p>
          <w:p w:rsidR="00000000" w:rsidRPr="008F7011" w:rsidP="008F7011">
            <w:pPr>
              <w:pStyle w:val="ListBullet"/>
            </w:pPr>
            <w:r w:rsidRPr="008F7011">
              <w:t>characteristics and applications of heating/quenching, tempering, annealing processes</w:t>
            </w:r>
          </w:p>
          <w:p w:rsidR="00000000" w:rsidRPr="008F7011" w:rsidP="008F7011">
            <w:pPr>
              <w:pStyle w:val="ListBullet"/>
            </w:pPr>
            <w:r w:rsidRPr="008F7011">
              <w:t>specifications for heating, quenching, tempering, and annealing</w:t>
            </w:r>
          </w:p>
          <w:p w:rsidR="00000000" w:rsidRPr="008F7011" w:rsidP="008F7011">
            <w:pPr>
              <w:pStyle w:val="ListBullet"/>
            </w:pPr>
            <w:r w:rsidRPr="008F7011">
              <w:t>process for heating/quenching, tempering, annealing, different materials</w:t>
            </w:r>
          </w:p>
          <w:p w:rsidR="00000000" w:rsidRPr="008F7011" w:rsidP="008F7011">
            <w:pPr>
              <w:pStyle w:val="ListBullet"/>
            </w:pPr>
            <w:r w:rsidRPr="008F7011">
              <w:t>operating/adjusting heating equipment</w:t>
            </w:r>
          </w:p>
          <w:p w:rsidR="00000000" w:rsidRPr="008F7011" w:rsidP="008F7011">
            <w:pPr>
              <w:pStyle w:val="ListBullet"/>
            </w:pPr>
            <w:r w:rsidRPr="008F7011">
              <w:t>hazards and control measures associated with heating/quenching, tempering, annealing, including housekeeping</w:t>
            </w:r>
          </w:p>
          <w:p w:rsidR="00000000" w:rsidRPr="008F7011" w:rsidP="008F7011">
            <w:pPr>
              <w:pStyle w:val="ListBullet"/>
            </w:pPr>
            <w:r w:rsidRPr="008F7011">
              <w:t>use and application of personal protective equipment</w:t>
            </w:r>
          </w:p>
          <w:p w:rsidR="00000000" w:rsidRPr="008F7011" w:rsidP="008F7011">
            <w:pPr>
              <w:pStyle w:val="ListBullet"/>
            </w:pPr>
            <w:r w:rsidRPr="008F7011">
              <w:t>safe work practices and procedures</w:t>
            </w:r>
          </w:p>
        </w:tc>
      </w:tr>
    </w:tbl>
    <w:p w:rsidR="00B24CAB" w:rsidP="008F7011">
      <w:pPr>
        <w:pStyle w:val="BodyText"/>
      </w:pPr>
    </w:p>
    <w:p w:rsidR="00B24CAB" w:rsidP="008F7011">
      <w:pPr>
        <w:pStyle w:val="BodyText"/>
      </w:pPr>
    </w:p>
    <w:p w:rsidR="00000000" w:rsidRPr="008F7011" w:rsidP="008F7011">
      <w:pPr>
        <w:pStyle w:val="AllowPageBreak"/>
      </w:pPr>
    </w:p>
    <w:p w:rsidR="00000000" w:rsidRPr="008F7011" w:rsidP="008F7011">
      <w:pPr>
        <w:pStyle w:val="Heading1"/>
      </w:pPr>
      <w:bookmarkStart w:id="10" w:name="O_244742"/>
      <w:bookmarkEnd w:id="10"/>
      <w:r w:rsidRPr="008F7011">
        <w:t>Evidence Guide</w:t>
      </w:r>
    </w:p>
    <w:tbl>
      <w:tblPr>
        <w:tblW w:w="9570" w:type="dxa"/>
        <w:tblLayout w:type="fixed"/>
        <w:tblCellMar>
          <w:left w:w="62" w:type="dxa"/>
          <w:right w:w="62" w:type="dxa"/>
        </w:tblCellMar>
        <w:tblLook w:val="0000"/>
      </w:tblPr>
      <w:tblGrid>
        <w:gridCol w:w="3908"/>
        <w:gridCol w:w="5662"/>
      </w:tblGrid>
      <w:tr w:rsidTr="00B24CA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011">
            <w:pPr>
              <w:pStyle w:val="BodyText"/>
              <w:rPr>
                <w:lang w:val="en-NZ"/>
              </w:rPr>
            </w:pPr>
            <w:r w:rsidRPr="008F7011">
              <w:rPr>
                <w:rStyle w:val="SpecialBold"/>
              </w:rPr>
              <w:t>EVIDENCE GUIDE</w:t>
            </w:r>
          </w:p>
        </w:tc>
      </w:tr>
      <w:tr w:rsidTr="00B24CA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011">
            <w:pPr>
              <w:pStyle w:val="BodyText"/>
              <w:rPr>
                <w:lang w:val="en-NZ"/>
              </w:rPr>
            </w:pPr>
            <w:r w:rsidRPr="008F7011">
              <w:t>The evidence guide provides advice on assessment and must be read in conjunction with the performance criteria, required skills and knowledge, range statement and the Assessment Guidelines for the Training Pa</w:t>
            </w:r>
            <w:r w:rsidRPr="008F7011">
              <w:t>ckage.</w:t>
            </w:r>
          </w:p>
        </w:tc>
      </w:tr>
      <w:tr w:rsidTr="00B24CA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011">
            <w:pPr>
              <w:pStyle w:val="BodyText"/>
              <w:rPr>
                <w:lang w:val="en-NZ"/>
              </w:rPr>
            </w:pPr>
            <w:r w:rsidRPr="008F701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011">
            <w:pPr>
              <w:pStyle w:val="BodyText"/>
              <w:rPr>
                <w:lang w:val="en-NZ"/>
              </w:rPr>
            </w:pPr>
            <w:r w:rsidRPr="008F7011">
              <w:t xml:space="preserve">A person who demonstrates competency in this unit must be able to perform basic incidental heat/quenching, tempering and annealing of ferrous </w:t>
            </w:r>
            <w:r w:rsidRPr="008F7011">
              <w:t xml:space="preserve">and non-ferrous metals by a range of methods, which may include oxy acetylene, LPG gas equipment, forge, and use to heat/quench temper and anneal materials to specifications. </w:t>
            </w:r>
          </w:p>
        </w:tc>
      </w:tr>
      <w:tr w:rsidTr="00B24CA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011">
            <w:pPr>
              <w:pStyle w:val="BodyText"/>
              <w:rPr>
                <w:lang w:val="en-NZ"/>
              </w:rPr>
            </w:pPr>
            <w:r w:rsidRPr="008F7011">
              <w:rPr>
                <w:rStyle w:val="SpecialBold"/>
              </w:rPr>
              <w:t>Critical aspects for assessment and evidence required to demonstrate competency</w:t>
            </w:r>
            <w:r w:rsidRPr="008F7011">
              <w:rPr>
                <w:rStyle w:val="SpecialBold"/>
              </w:rPr>
              <w:t xml:space="preserv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011">
            <w:pPr>
              <w:pStyle w:val="BodyText"/>
              <w:rPr>
                <w:lang w:val="en-NZ"/>
              </w:rPr>
            </w:pPr>
            <w:r w:rsidRPr="008F7011">
              <w:t>Assessors must be satisfied that the candidate can competently and consistently perform all elements of the unit as specified by the criteria, including required knowledge, and be capable of applying the competency in new and different situat</w:t>
            </w:r>
            <w:r w:rsidRPr="008F7011">
              <w:t>ions and contexts.</w:t>
            </w:r>
          </w:p>
        </w:tc>
      </w:tr>
      <w:tr w:rsidTr="00B24CA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011">
            <w:pPr>
              <w:pStyle w:val="BodyText"/>
              <w:rPr>
                <w:lang w:val="en-NZ"/>
              </w:rPr>
            </w:pPr>
            <w:r w:rsidRPr="008F701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011" w:rsidP="008F7011">
            <w:pPr>
              <w:pStyle w:val="BodyText"/>
            </w:pPr>
            <w:r w:rsidRPr="008F7011">
              <w:t>This unit may be assessed on the job, off the job or a combination of both on and off the job. Where assessment occurs off the job, that is the candidate is not in productive work, then a</w:t>
            </w:r>
            <w:r w:rsidRPr="008F7011">
              <w:t xml:space="preserve">n appropriate simulation must be used where the range of conditions reflects realistic workplace situations. The competencies covered by this unit would be demonstrated by an individual working alone or as part of a team. The assessment environment should </w:t>
            </w:r>
            <w:r w:rsidRPr="008F7011">
              <w:t>not disadvantage the candidate.</w:t>
            </w:r>
          </w:p>
          <w:p w:rsidR="00000000" w:rsidP="008F7011">
            <w:pPr>
              <w:pStyle w:val="BodyText"/>
              <w:rPr>
                <w:lang w:val="en-NZ"/>
              </w:rPr>
            </w:pPr>
            <w:r w:rsidRPr="008F7011">
              <w:t>This unit could be assessed in conjunction with any other units addressing the safety, quality, communication, materials handling, recording and reporting associated with heating/quenching, tempering and annealing ferrous an</w:t>
            </w:r>
            <w:r w:rsidRPr="008F7011">
              <w:t>d non-ferrous metals or other units requiring the exercise of the skills and knowledge covered by this unit.</w:t>
            </w:r>
          </w:p>
        </w:tc>
      </w:tr>
      <w:tr w:rsidTr="00B24CA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011">
            <w:pPr>
              <w:pStyle w:val="BodyText"/>
              <w:rPr>
                <w:lang w:val="en-NZ"/>
              </w:rPr>
            </w:pPr>
            <w:r w:rsidRPr="008F701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011">
            <w:pPr>
              <w:pStyle w:val="BodyText"/>
              <w:rPr>
                <w:lang w:val="en-NZ"/>
              </w:rPr>
            </w:pPr>
            <w:r w:rsidRPr="008F7011">
              <w:t>Assessors should gather a range of evidence that is valid, sufficient, current and authentic. Evidence can be gathered throug</w:t>
            </w:r>
            <w:r w:rsidRPr="008F7011">
              <w:t xml:space="preserve">h a variety of ways including direct observation, supervisor's reports, project work, samples and questioning. Questioning techniques should not require language, literacy and numeracy skills beyond those required in this unit of competency. The candidate </w:t>
            </w:r>
            <w:r w:rsidRPr="008F7011">
              <w:t>must have access to all tools, equipment, materials and documentation required. The candidate must be permitted to refer to any relevant workplace procedures, product and manufacturing specifications, codes, standards, manuals and reference materials.</w:t>
            </w:r>
          </w:p>
        </w:tc>
      </w:tr>
      <w:tr w:rsidTr="00B24CA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011">
            <w:pPr>
              <w:pStyle w:val="BodyText"/>
              <w:rPr>
                <w:lang w:val="en-NZ"/>
              </w:rPr>
            </w:pPr>
            <w:r w:rsidRPr="008F7011">
              <w:rPr>
                <w:rStyle w:val="SpecialBold"/>
              </w:rPr>
              <w:t>Gui</w:t>
            </w:r>
            <w:r w:rsidRPr="008F7011">
              <w:rPr>
                <w:rStyle w:val="SpecialBold"/>
              </w:rPr>
              <w:t>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011" w:rsidP="008F7011">
            <w:pPr>
              <w:pStyle w:val="BodyText"/>
            </w:pPr>
          </w:p>
        </w:tc>
      </w:tr>
    </w:tbl>
    <w:p w:rsidR="00B24CAB" w:rsidP="008F7011">
      <w:pPr>
        <w:pStyle w:val="BodyText"/>
      </w:pPr>
    </w:p>
    <w:p w:rsidR="00B24CAB" w:rsidP="008F7011">
      <w:pPr>
        <w:pStyle w:val="BodyText"/>
      </w:pPr>
    </w:p>
    <w:p w:rsidR="00000000" w:rsidRPr="008F7011" w:rsidP="008F7011">
      <w:pPr>
        <w:pStyle w:val="Heading1"/>
      </w:pPr>
      <w:bookmarkStart w:id="11" w:name="O_252725"/>
      <w:bookmarkEnd w:id="11"/>
      <w:r w:rsidRPr="008F7011">
        <w:t>Range Statement</w:t>
      </w:r>
    </w:p>
    <w:tbl>
      <w:tblPr>
        <w:tblW w:w="0" w:type="auto"/>
        <w:tblLayout w:type="fixed"/>
        <w:tblCellMar>
          <w:left w:w="62" w:type="dxa"/>
          <w:right w:w="62" w:type="dxa"/>
        </w:tblCellMar>
        <w:tblLook w:val="0000"/>
      </w:tblPr>
      <w:tblGrid>
        <w:gridCol w:w="3467"/>
        <w:gridCol w:w="5055"/>
      </w:tblGrid>
      <w:tr w:rsidTr="00B24CA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011">
            <w:pPr>
              <w:pStyle w:val="BodyText"/>
              <w:rPr>
                <w:lang w:val="en-NZ"/>
              </w:rPr>
            </w:pPr>
            <w:r w:rsidRPr="008F7011">
              <w:rPr>
                <w:rStyle w:val="SpecialBold"/>
              </w:rPr>
              <w:t>RANGE STATEMENT</w:t>
            </w:r>
          </w:p>
        </w:tc>
      </w:tr>
      <w:tr w:rsidTr="00B24CA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011">
            <w:pPr>
              <w:pStyle w:val="BodyText"/>
              <w:rPr>
                <w:lang w:val="en-NZ"/>
              </w:rPr>
            </w:pPr>
            <w:r w:rsidRPr="008F7011">
              <w:t xml:space="preserve">The range statement relates to the unit of competency as a whole. It allows for different work environments and situations that may affect </w:t>
            </w:r>
            <w:r w:rsidRPr="008F7011">
              <w:t>performance. Bold italicised wording, if used in the performance criteria, is detailed below. Essential operating conditions that may be present with training and assessment (depending on the work situation, needs of the candidate, accessibility of the ite</w:t>
            </w:r>
            <w:r w:rsidRPr="008F7011">
              <w:t>m, and local industry and regional contexts) may also be included.</w:t>
            </w:r>
          </w:p>
        </w:tc>
      </w:tr>
      <w:tr w:rsidTr="00B24CAB">
        <w:tblPrEx>
          <w:tblW w:w="0" w:type="auto"/>
          <w:tblLayout w:type="fixed"/>
          <w:tblCellMar>
            <w:left w:w="62" w:type="dxa"/>
            <w:right w:w="62" w:type="dxa"/>
          </w:tblCellMar>
          <w:tblLook w:val="0000"/>
        </w:tblPrEx>
        <w:tc>
          <w:tcPr>
            <w:tcW w:w="34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011">
            <w:pPr>
              <w:pStyle w:val="BodyText"/>
              <w:rPr>
                <w:lang w:val="en-NZ"/>
              </w:rPr>
            </w:pPr>
            <w:r w:rsidRPr="008F7011">
              <w:rPr>
                <w:rStyle w:val="SpecialBold"/>
              </w:rPr>
              <w:t>Heating process</w:t>
            </w:r>
          </w:p>
        </w:tc>
        <w:tc>
          <w:tcPr>
            <w:tcW w:w="50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011">
            <w:pPr>
              <w:pStyle w:val="BodyText"/>
              <w:rPr>
                <w:lang w:val="en-NZ"/>
              </w:rPr>
            </w:pPr>
            <w:r w:rsidRPr="008F7011">
              <w:t>Heating/quenching, tempering and annealing</w:t>
            </w:r>
          </w:p>
        </w:tc>
      </w:tr>
      <w:tr w:rsidTr="00B24CAB">
        <w:tblPrEx>
          <w:tblW w:w="0" w:type="auto"/>
          <w:tblLayout w:type="fixed"/>
          <w:tblCellMar>
            <w:left w:w="62" w:type="dxa"/>
            <w:right w:w="62" w:type="dxa"/>
          </w:tblCellMar>
          <w:tblLook w:val="0000"/>
        </w:tblPrEx>
        <w:tc>
          <w:tcPr>
            <w:tcW w:w="34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011">
            <w:pPr>
              <w:pStyle w:val="BodyText"/>
              <w:rPr>
                <w:lang w:val="en-NZ"/>
              </w:rPr>
            </w:pPr>
            <w:r w:rsidRPr="008F7011">
              <w:rPr>
                <w:rStyle w:val="SpecialBold"/>
              </w:rPr>
              <w:t>Heating equipment</w:t>
            </w:r>
          </w:p>
        </w:tc>
        <w:tc>
          <w:tcPr>
            <w:tcW w:w="50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011">
            <w:pPr>
              <w:pStyle w:val="BodyText"/>
              <w:rPr>
                <w:lang w:val="en-NZ"/>
              </w:rPr>
            </w:pPr>
            <w:r w:rsidRPr="008F7011">
              <w:t>Oxy acetylene, LPG gas equipment, forge etc.</w:t>
            </w:r>
          </w:p>
        </w:tc>
      </w:tr>
      <w:tr w:rsidTr="00B24CAB">
        <w:tblPrEx>
          <w:tblW w:w="0" w:type="auto"/>
          <w:tblLayout w:type="fixed"/>
          <w:tblCellMar>
            <w:left w:w="62" w:type="dxa"/>
            <w:right w:w="62" w:type="dxa"/>
          </w:tblCellMar>
          <w:tblLook w:val="0000"/>
        </w:tblPrEx>
        <w:tc>
          <w:tcPr>
            <w:tcW w:w="34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011">
            <w:pPr>
              <w:pStyle w:val="BodyText"/>
              <w:rPr>
                <w:lang w:val="en-NZ"/>
              </w:rPr>
            </w:pPr>
            <w:r w:rsidRPr="008F7011">
              <w:rPr>
                <w:rStyle w:val="SpecialBold"/>
              </w:rPr>
              <w:t>Material</w:t>
            </w:r>
          </w:p>
        </w:tc>
        <w:tc>
          <w:tcPr>
            <w:tcW w:w="50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011" w:rsidP="008F7011">
            <w:pPr>
              <w:pStyle w:val="BodyText"/>
            </w:pPr>
            <w:r w:rsidRPr="008F7011">
              <w:t>Ferrous and non-ferrous metals of various types and thicknesses</w:t>
            </w:r>
          </w:p>
        </w:tc>
      </w:tr>
    </w:tbl>
    <w:p w:rsidR="00B24CAB" w:rsidP="008F7011">
      <w:pPr>
        <w:pStyle w:val="BodyText"/>
      </w:pPr>
    </w:p>
    <w:p w:rsidR="00B24CAB" w:rsidP="008F7011">
      <w:pPr>
        <w:pStyle w:val="BodyText"/>
      </w:pPr>
    </w:p>
    <w:p w:rsidR="00000000" w:rsidRPr="008F7011" w:rsidP="008F7011">
      <w:pPr>
        <w:pStyle w:val="Heading1"/>
      </w:pPr>
      <w:bookmarkStart w:id="12" w:name="O_210759"/>
      <w:bookmarkEnd w:id="12"/>
      <w:r w:rsidRPr="008F7011">
        <w:t>Unit Sector(s)</w:t>
      </w:r>
    </w:p>
    <w:tbl>
      <w:tblPr>
        <w:tblW w:w="0" w:type="auto"/>
        <w:tblLayout w:type="fixed"/>
        <w:tblCellMar>
          <w:left w:w="62" w:type="dxa"/>
          <w:right w:w="62" w:type="dxa"/>
        </w:tblCellMar>
        <w:tblLook w:val="0000"/>
      </w:tblPr>
      <w:tblGrid>
        <w:gridCol w:w="2654"/>
        <w:gridCol w:w="5868"/>
      </w:tblGrid>
      <w:tr w:rsidTr="00B24CAB">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011">
            <w:pPr>
              <w:pStyle w:val="BodyText"/>
              <w:rPr>
                <w:lang w:val="en-NZ"/>
              </w:rPr>
            </w:pPr>
            <w:r w:rsidRPr="008F7011">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011" w:rsidP="008F7011">
            <w:pPr>
              <w:pStyle w:val="BodyText"/>
            </w:pPr>
          </w:p>
        </w:tc>
      </w:tr>
    </w:tbl>
    <w:p w:rsidR="00B24CAB" w:rsidP="008F7011">
      <w:pPr>
        <w:pStyle w:val="BodyText"/>
      </w:pPr>
    </w:p>
    <w:p w:rsidR="00B24CAB" w:rsidP="008F7011">
      <w:pPr>
        <w:pStyle w:val="BodyText"/>
      </w:pPr>
    </w:p>
    <w:p w:rsidR="00000000" w:rsidRPr="008F7011" w:rsidP="008F7011">
      <w:pPr>
        <w:pStyle w:val="Heading1"/>
      </w:pPr>
      <w:bookmarkStart w:id="13" w:name="O_210756"/>
      <w:bookmarkEnd w:id="13"/>
      <w:r w:rsidRPr="008F7011">
        <w:t>Co-requisite units</w:t>
      </w:r>
    </w:p>
    <w:tbl>
      <w:tblPr>
        <w:tblW w:w="0" w:type="auto"/>
        <w:tblLayout w:type="fixed"/>
        <w:tblCellMar>
          <w:left w:w="62" w:type="dxa"/>
          <w:right w:w="62" w:type="dxa"/>
        </w:tblCellMar>
        <w:tblLook w:val="0000"/>
      </w:tblPr>
      <w:tblGrid>
        <w:gridCol w:w="2641"/>
        <w:gridCol w:w="1322"/>
        <w:gridCol w:w="4559"/>
      </w:tblGrid>
      <w:tr w:rsidTr="00B24CA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011">
            <w:pPr>
              <w:pStyle w:val="BodyText"/>
              <w:rPr>
                <w:lang w:val="en-NZ"/>
              </w:rPr>
            </w:pPr>
            <w:r w:rsidRPr="008F701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011">
            <w:pPr>
              <w:pStyle w:val="BodyText"/>
              <w:rPr>
                <w:lang w:val="en-NZ"/>
              </w:rPr>
            </w:pPr>
          </w:p>
        </w:tc>
      </w:tr>
      <w:tr w:rsidTr="00B24CA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011">
            <w:pPr>
              <w:pStyle w:val="BodyText"/>
              <w:rPr>
                <w:lang w:val="en-NZ"/>
              </w:rPr>
            </w:pPr>
          </w:p>
        </w:tc>
      </w:tr>
      <w:tr w:rsidTr="00B24CA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011" w:rsidP="008F7011">
            <w:pPr>
              <w:pStyle w:val="BodyText"/>
            </w:pPr>
          </w:p>
        </w:tc>
      </w:tr>
    </w:tbl>
    <w:p w:rsidR="00B24CAB" w:rsidP="008F7011">
      <w:pPr>
        <w:pStyle w:val="BodyText"/>
      </w:pPr>
    </w:p>
    <w:p w:rsidR="00B24CAB" w:rsidP="008F7011">
      <w:pPr>
        <w:pStyle w:val="BodyText"/>
      </w:pPr>
    </w:p>
    <w:p w:rsidR="00000000" w:rsidRPr="008F7011" w:rsidP="008F7011">
      <w:pPr>
        <w:pStyle w:val="Heading1"/>
      </w:pPr>
      <w:bookmarkStart w:id="14" w:name="O_210758"/>
      <w:bookmarkEnd w:id="14"/>
      <w:r w:rsidRPr="008F7011">
        <w:t>Competency field</w:t>
      </w:r>
    </w:p>
    <w:tbl>
      <w:tblPr>
        <w:tblW w:w="0" w:type="auto"/>
        <w:tblLayout w:type="fixed"/>
        <w:tblCellMar>
          <w:left w:w="62" w:type="dxa"/>
          <w:right w:w="62" w:type="dxa"/>
        </w:tblCellMar>
        <w:tblLook w:val="0000"/>
      </w:tblPr>
      <w:tblGrid>
        <w:gridCol w:w="2778"/>
        <w:gridCol w:w="5744"/>
      </w:tblGrid>
      <w:tr w:rsidTr="00B24CAB">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011">
            <w:pPr>
              <w:pStyle w:val="BodyText"/>
              <w:rPr>
                <w:lang w:val="en-NZ"/>
              </w:rPr>
            </w:pPr>
            <w:r w:rsidRPr="008F7011">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011" w:rsidP="008F7011">
            <w:pPr>
              <w:pStyle w:val="BodyText"/>
            </w:pPr>
            <w:r w:rsidRPr="008F7011">
              <w:t>Forging</w:t>
            </w:r>
          </w:p>
        </w:tc>
      </w:tr>
    </w:tbl>
    <w:p w:rsidR="00B24CAB" w:rsidP="008F7011">
      <w:pPr>
        <w:pStyle w:val="BodyText"/>
      </w:pPr>
    </w:p>
    <w:p w:rsidR="00B24CAB" w:rsidP="008F7011">
      <w:pPr>
        <w:pStyle w:val="BodyText"/>
      </w:pPr>
    </w:p>
    <w:p w:rsidR="00000000" w:rsidRPr="008F7011" w:rsidP="008F7011"/>
    <w:sectPr w:rsidSect="008F701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0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24CAB" w:rsidP="00B24CA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0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CAB" w:rsidP="008F701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B24CAB" w:rsidP="008F701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24CAB" w:rsidP="008F701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0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011" w:rsidRPr="00B24CAB" w:rsidP="00B24CA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0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CAB" w:rsidRPr="002D2AF8" w:rsidP="008F7011">
    <w:pPr>
      <w:pStyle w:val="Header"/>
      <w:framePr w:wrap="around"/>
    </w:pPr>
    <w:r>
      <w:fldChar w:fldCharType="begin"/>
    </w:r>
    <w:r>
      <w:instrText xml:space="preserve"> TITLE   \* MERGEFORMAT </w:instrText>
    </w:r>
    <w:r>
      <w:fldChar w:fldCharType="separate"/>
    </w:r>
    <w:r>
      <w:t>MEM06007B Perform basic incidental heat/quenching, tempering and annealing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B24CAB" w:rsidP="008F701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58231E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701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F7011"/>
    <w:pPr>
      <w:spacing w:before="360" w:after="60"/>
      <w:outlineLvl w:val="0"/>
    </w:pPr>
    <w:rPr>
      <w:sz w:val="32"/>
    </w:rPr>
  </w:style>
  <w:style w:type="paragraph" w:styleId="Heading2">
    <w:name w:val="heading 2"/>
    <w:basedOn w:val="HeadingBase"/>
    <w:next w:val="BodyText"/>
    <w:link w:val="Heading2Char"/>
    <w:qFormat/>
    <w:rsid w:val="008F7011"/>
    <w:pPr>
      <w:keepLines/>
      <w:spacing w:before="240" w:after="120"/>
      <w:outlineLvl w:val="1"/>
    </w:pPr>
    <w:rPr>
      <w:sz w:val="28"/>
      <w:szCs w:val="40"/>
    </w:rPr>
  </w:style>
  <w:style w:type="paragraph" w:styleId="Heading3">
    <w:name w:val="heading 3"/>
    <w:basedOn w:val="HeadingBase"/>
    <w:next w:val="BodyText"/>
    <w:link w:val="Heading3Char"/>
    <w:qFormat/>
    <w:rsid w:val="008F7011"/>
    <w:pPr>
      <w:spacing w:before="180" w:after="120"/>
      <w:outlineLvl w:val="2"/>
    </w:pPr>
    <w:rPr>
      <w:spacing w:val="-10"/>
      <w:kern w:val="32"/>
    </w:rPr>
  </w:style>
  <w:style w:type="paragraph" w:styleId="Heading4">
    <w:name w:val="heading 4"/>
    <w:basedOn w:val="HeadingBase"/>
    <w:next w:val="BodyText"/>
    <w:link w:val="Heading4Char"/>
    <w:qFormat/>
    <w:rsid w:val="008F7011"/>
    <w:pPr>
      <w:spacing w:before="160" w:after="120"/>
      <w:outlineLvl w:val="3"/>
    </w:pPr>
    <w:rPr>
      <w:sz w:val="22"/>
    </w:rPr>
  </w:style>
  <w:style w:type="paragraph" w:styleId="Heading5">
    <w:name w:val="heading 5"/>
    <w:basedOn w:val="HeadingBase"/>
    <w:next w:val="Normal"/>
    <w:link w:val="Heading5Char"/>
    <w:qFormat/>
    <w:rsid w:val="008F7011"/>
    <w:pPr>
      <w:spacing w:before="80"/>
      <w:outlineLvl w:val="4"/>
    </w:pPr>
    <w:rPr>
      <w:color w:val="918585"/>
      <w:sz w:val="20"/>
    </w:rPr>
  </w:style>
  <w:style w:type="paragraph" w:styleId="Heading6">
    <w:name w:val="heading 6"/>
    <w:basedOn w:val="HeadingBase"/>
    <w:next w:val="Normal"/>
    <w:link w:val="Heading6Char"/>
    <w:qFormat/>
    <w:rsid w:val="008F7011"/>
    <w:pPr>
      <w:spacing w:before="60"/>
      <w:outlineLvl w:val="5"/>
    </w:pPr>
    <w:rPr>
      <w:color w:val="918585"/>
      <w:sz w:val="20"/>
    </w:rPr>
  </w:style>
  <w:style w:type="paragraph" w:styleId="Heading7">
    <w:name w:val="heading 7"/>
    <w:basedOn w:val="Normal"/>
    <w:next w:val="Normal"/>
    <w:link w:val="Heading7Char"/>
    <w:qFormat/>
    <w:rsid w:val="008F7011"/>
    <w:pPr>
      <w:ind w:left="720"/>
      <w:outlineLvl w:val="6"/>
    </w:pPr>
    <w:rPr>
      <w:i/>
    </w:rPr>
  </w:style>
  <w:style w:type="paragraph" w:styleId="Heading8">
    <w:name w:val="heading 8"/>
    <w:basedOn w:val="Normal"/>
    <w:next w:val="Normal"/>
    <w:link w:val="Heading8Char"/>
    <w:qFormat/>
    <w:rsid w:val="008F7011"/>
    <w:pPr>
      <w:ind w:left="720"/>
      <w:outlineLvl w:val="7"/>
    </w:pPr>
    <w:rPr>
      <w:i/>
    </w:rPr>
  </w:style>
  <w:style w:type="paragraph" w:styleId="Heading9">
    <w:name w:val="heading 9"/>
    <w:basedOn w:val="Normal"/>
    <w:next w:val="Normal"/>
    <w:link w:val="Heading9Char"/>
    <w:qFormat/>
    <w:rsid w:val="008F7011"/>
    <w:pPr>
      <w:ind w:left="720"/>
      <w:outlineLvl w:val="8"/>
    </w:pPr>
    <w:rPr>
      <w:i/>
    </w:rPr>
  </w:style>
  <w:style w:type="character" w:default="1" w:styleId="DefaultParagraphFont">
    <w:name w:val="Default Paragraph Font"/>
    <w:uiPriority w:val="1"/>
    <w:unhideWhenUsed/>
    <w:rsid w:val="008F70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7011"/>
  </w:style>
  <w:style w:type="character" w:customStyle="1" w:styleId="Heading1Char">
    <w:name w:val="Heading 1 Char"/>
    <w:basedOn w:val="DefaultParagraphFont"/>
    <w:link w:val="Heading1"/>
    <w:rsid w:val="008F7011"/>
    <w:rPr>
      <w:rFonts w:ascii="Times New Roman" w:eastAsia="Times New Roman" w:hAnsi="Times New Roman" w:cs="Times New Roman"/>
      <w:b/>
      <w:sz w:val="32"/>
      <w:szCs w:val="20"/>
      <w:lang w:eastAsia="en-US"/>
    </w:rPr>
  </w:style>
  <w:style w:type="paragraph" w:styleId="BodyText">
    <w:name w:val="Body Text"/>
    <w:basedOn w:val="Normal"/>
    <w:link w:val="BodyTextChar"/>
    <w:rsid w:val="008F701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F7011"/>
    <w:rPr>
      <w:rFonts w:ascii="Times New Roman" w:eastAsia="Times New Roman" w:hAnsi="Times New Roman" w:cs="Times New Roman"/>
      <w:sz w:val="24"/>
      <w:lang w:eastAsia="en-US"/>
    </w:rPr>
  </w:style>
  <w:style w:type="paragraph" w:styleId="Footer">
    <w:name w:val="footer"/>
    <w:basedOn w:val="Normal"/>
    <w:link w:val="FooterChar"/>
    <w:rsid w:val="008F70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7011"/>
    <w:rPr>
      <w:rFonts w:ascii="Times New Roman" w:eastAsia="Times New Roman" w:hAnsi="Times New Roman" w:cs="Times New Roman"/>
      <w:sz w:val="16"/>
      <w:lang w:eastAsia="en-US"/>
    </w:rPr>
  </w:style>
  <w:style w:type="paragraph" w:styleId="List">
    <w:name w:val="List"/>
    <w:basedOn w:val="BodyText"/>
    <w:next w:val="BodyText"/>
    <w:rsid w:val="008F7011"/>
    <w:pPr>
      <w:tabs>
        <w:tab w:val="left" w:pos="340"/>
      </w:tabs>
      <w:spacing w:before="60" w:after="60"/>
      <w:ind w:left="340" w:hanging="340"/>
    </w:pPr>
  </w:style>
  <w:style w:type="paragraph" w:styleId="ListBullet">
    <w:name w:val="List Bullet"/>
    <w:basedOn w:val="List"/>
    <w:rsid w:val="008F7011"/>
    <w:pPr>
      <w:numPr>
        <w:numId w:val="12"/>
      </w:numPr>
      <w:tabs>
        <w:tab w:val="clear" w:pos="340"/>
      </w:tabs>
      <w:spacing w:before="40" w:after="40"/>
    </w:pPr>
  </w:style>
  <w:style w:type="character" w:customStyle="1" w:styleId="SpecialBold">
    <w:name w:val="Special Bold"/>
    <w:basedOn w:val="DefaultParagraphFont"/>
    <w:rsid w:val="008F7011"/>
    <w:rPr>
      <w:b/>
      <w:spacing w:val="0"/>
    </w:rPr>
  </w:style>
  <w:style w:type="paragraph" w:customStyle="1" w:styleId="SuperHeading">
    <w:name w:val="SuperHeading"/>
    <w:basedOn w:val="Normal"/>
    <w:rsid w:val="008F7011"/>
    <w:pPr>
      <w:spacing w:before="240" w:after="120"/>
      <w:outlineLvl w:val="0"/>
    </w:pPr>
    <w:rPr>
      <w:rFonts w:ascii="Times New Roman" w:hAnsi="Times New Roman"/>
      <w:b/>
      <w:sz w:val="28"/>
    </w:rPr>
  </w:style>
  <w:style w:type="paragraph" w:customStyle="1" w:styleId="AllowPageBreak">
    <w:name w:val="AllowPageBreak"/>
    <w:rsid w:val="008F701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F7011"/>
    <w:pPr>
      <w:tabs>
        <w:tab w:val="left" w:pos="680"/>
      </w:tabs>
      <w:spacing w:before="60" w:after="60"/>
      <w:ind w:left="680" w:hanging="340"/>
    </w:pPr>
  </w:style>
  <w:style w:type="character" w:customStyle="1" w:styleId="Heading2Char">
    <w:name w:val="Heading 2 Char"/>
    <w:basedOn w:val="DefaultParagraphFont"/>
    <w:link w:val="Heading2"/>
    <w:rsid w:val="008F70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70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70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70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70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701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F701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F7011"/>
    <w:rPr>
      <w:rFonts w:ascii="Courier New" w:eastAsia="Times New Roman" w:hAnsi="Courier New" w:cs="Times New Roman"/>
      <w:i/>
      <w:szCs w:val="20"/>
      <w:lang w:eastAsia="en-US"/>
    </w:rPr>
  </w:style>
  <w:style w:type="paragraph" w:customStyle="1" w:styleId="HeadingBase">
    <w:name w:val="Heading Base"/>
    <w:rsid w:val="008F70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7011"/>
    <w:pPr>
      <w:tabs>
        <w:tab w:val="right" w:leader="dot" w:pos="9072"/>
      </w:tabs>
      <w:ind w:left="567"/>
    </w:pPr>
    <w:rPr>
      <w:szCs w:val="22"/>
    </w:rPr>
  </w:style>
  <w:style w:type="paragraph" w:customStyle="1" w:styleId="TOCBase">
    <w:name w:val="TOC Base"/>
    <w:rsid w:val="008F70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7011"/>
    <w:pPr>
      <w:tabs>
        <w:tab w:val="right" w:leader="dot" w:pos="9072"/>
      </w:tabs>
      <w:spacing w:before="40" w:after="40"/>
      <w:ind w:left="284"/>
    </w:pPr>
    <w:rPr>
      <w:rFonts w:ascii="Times New Roman" w:hAnsi="Times New Roman"/>
    </w:rPr>
  </w:style>
  <w:style w:type="paragraph" w:styleId="TOC1">
    <w:name w:val="toc 1"/>
    <w:basedOn w:val="TOCBase"/>
    <w:next w:val="Normal"/>
    <w:rsid w:val="008F701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F7011"/>
    <w:pPr>
      <w:spacing w:before="5040"/>
      <w:jc w:val="center"/>
    </w:pPr>
    <w:rPr>
      <w:sz w:val="48"/>
      <w:szCs w:val="72"/>
      <w:lang w:val="en-US"/>
    </w:rPr>
  </w:style>
  <w:style w:type="character" w:customStyle="1" w:styleId="TitleChar">
    <w:name w:val="Title Char"/>
    <w:basedOn w:val="DefaultParagraphFont"/>
    <w:link w:val="Title"/>
    <w:rsid w:val="008F70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7011"/>
    <w:pPr>
      <w:tabs>
        <w:tab w:val="left" w:pos="3600"/>
        <w:tab w:val="left" w:pos="3958"/>
      </w:tabs>
    </w:pPr>
  </w:style>
  <w:style w:type="paragraph" w:customStyle="1" w:styleId="Note">
    <w:name w:val="Note"/>
    <w:basedOn w:val="BodyText"/>
    <w:rsid w:val="008F701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7011"/>
    <w:pPr>
      <w:framePr w:wrap="auto" w:hAnchor="text" w:y="6049"/>
    </w:pPr>
    <w:rPr>
      <w:color w:val="000000"/>
      <w:sz w:val="40"/>
    </w:rPr>
  </w:style>
  <w:style w:type="paragraph" w:customStyle="1" w:styleId="TOCTitle">
    <w:name w:val="TOCTitle"/>
    <w:basedOn w:val="Heading1"/>
    <w:rsid w:val="008F7011"/>
    <w:pPr>
      <w:spacing w:after="240"/>
      <w:jc w:val="center"/>
      <w:outlineLvl w:val="9"/>
    </w:pPr>
    <w:rPr>
      <w:caps/>
    </w:rPr>
  </w:style>
  <w:style w:type="paragraph" w:customStyle="1" w:styleId="Version">
    <w:name w:val="Version"/>
    <w:rsid w:val="008F701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F7011"/>
    <w:pPr>
      <w:numPr>
        <w:numId w:val="13"/>
      </w:numPr>
      <w:tabs>
        <w:tab w:val="clear" w:pos="680"/>
      </w:tabs>
    </w:pPr>
  </w:style>
  <w:style w:type="paragraph" w:styleId="Index1">
    <w:name w:val="index 1"/>
    <w:basedOn w:val="Normal"/>
    <w:next w:val="Normal"/>
    <w:semiHidden/>
    <w:rsid w:val="008F7011"/>
    <w:pPr>
      <w:keepNext w:val="0"/>
      <w:tabs>
        <w:tab w:val="right" w:pos="4176"/>
      </w:tabs>
      <w:ind w:left="198" w:hanging="198"/>
    </w:pPr>
    <w:rPr>
      <w:rFonts w:ascii="Garamond" w:hAnsi="Garamond"/>
    </w:rPr>
  </w:style>
  <w:style w:type="paragraph" w:styleId="IndexHeading">
    <w:name w:val="index heading"/>
    <w:basedOn w:val="Normal"/>
    <w:next w:val="Index1"/>
    <w:semiHidden/>
    <w:rsid w:val="008F7011"/>
    <w:pPr>
      <w:spacing w:before="120" w:after="120"/>
    </w:pPr>
    <w:rPr>
      <w:rFonts w:ascii="Arial" w:hAnsi="Arial"/>
      <w:b/>
      <w:color w:val="918585"/>
      <w:sz w:val="24"/>
    </w:rPr>
  </w:style>
  <w:style w:type="paragraph" w:styleId="Header">
    <w:name w:val="header"/>
    <w:basedOn w:val="Normal"/>
    <w:link w:val="HeaderChar"/>
    <w:rsid w:val="008F70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7011"/>
    <w:rPr>
      <w:rFonts w:ascii="Times New Roman" w:eastAsia="Times New Roman" w:hAnsi="Times New Roman" w:cs="Times New Roman"/>
      <w:sz w:val="16"/>
      <w:szCs w:val="20"/>
      <w:lang w:val="en-GB" w:eastAsia="en-US"/>
    </w:rPr>
  </w:style>
  <w:style w:type="paragraph" w:customStyle="1" w:styleId="Chapter">
    <w:name w:val="Chapter"/>
    <w:basedOn w:val="Normal"/>
    <w:rsid w:val="008F7011"/>
    <w:pPr>
      <w:spacing w:before="240"/>
    </w:pPr>
    <w:rPr>
      <w:rFonts w:ascii="Times New Roman" w:hAnsi="Times New Roman"/>
      <w:smallCaps/>
      <w:spacing w:val="80"/>
      <w:sz w:val="28"/>
    </w:rPr>
  </w:style>
  <w:style w:type="paragraph" w:customStyle="1" w:styleId="InChapter">
    <w:name w:val="InChapter"/>
    <w:basedOn w:val="Heading3"/>
    <w:rsid w:val="008F7011"/>
    <w:pPr>
      <w:spacing w:after="240"/>
      <w:outlineLvl w:val="9"/>
    </w:pPr>
    <w:rPr>
      <w:noProof/>
    </w:rPr>
  </w:style>
  <w:style w:type="paragraph" w:styleId="Index2">
    <w:name w:val="index 2"/>
    <w:basedOn w:val="Normal"/>
    <w:next w:val="Normal"/>
    <w:semiHidden/>
    <w:rsid w:val="008F7011"/>
    <w:pPr>
      <w:tabs>
        <w:tab w:val="right" w:pos="4176"/>
      </w:tabs>
      <w:ind w:left="568" w:hanging="284"/>
    </w:pPr>
    <w:rPr>
      <w:rFonts w:ascii="Garamond" w:hAnsi="Garamond"/>
    </w:rPr>
  </w:style>
  <w:style w:type="paragraph" w:customStyle="1" w:styleId="Byline">
    <w:name w:val="Byline"/>
    <w:rsid w:val="008F70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7011"/>
    <w:pPr>
      <w:tabs>
        <w:tab w:val="clear" w:pos="3600"/>
        <w:tab w:val="clear" w:pos="3958"/>
      </w:tabs>
      <w:jc w:val="right"/>
    </w:pPr>
  </w:style>
  <w:style w:type="character" w:styleId="Emphasis">
    <w:name w:val="Emphasis"/>
    <w:basedOn w:val="DefaultParagraphFont"/>
    <w:qFormat/>
    <w:rsid w:val="008F7011"/>
    <w:rPr>
      <w:i/>
    </w:rPr>
  </w:style>
  <w:style w:type="paragraph" w:styleId="Caption">
    <w:name w:val="caption"/>
    <w:basedOn w:val="BodyText"/>
    <w:next w:val="Normal"/>
    <w:qFormat/>
    <w:rsid w:val="008F7011"/>
    <w:pPr>
      <w:framePr w:w="2268" w:hSpace="181" w:vSpace="181" w:wrap="around" w:vAnchor="text" w:hAnchor="page" w:x="1135" w:y="285" w:anchorLock="1"/>
    </w:pPr>
    <w:rPr>
      <w:i/>
    </w:rPr>
  </w:style>
  <w:style w:type="paragraph" w:customStyle="1" w:styleId="MiniTOCTitle">
    <w:name w:val="MiniTOCTitle"/>
    <w:basedOn w:val="Heading4"/>
    <w:rsid w:val="008F7011"/>
    <w:pPr>
      <w:spacing w:before="240"/>
      <w:outlineLvl w:val="9"/>
    </w:pPr>
    <w:rPr>
      <w:noProof/>
      <w:sz w:val="24"/>
    </w:rPr>
  </w:style>
  <w:style w:type="paragraph" w:customStyle="1" w:styleId="MiniTOCItem">
    <w:name w:val="MiniTOCItem"/>
    <w:basedOn w:val="ListBullet"/>
    <w:rsid w:val="008F7011"/>
    <w:pPr>
      <w:numPr>
        <w:numId w:val="0"/>
      </w:numPr>
      <w:tabs>
        <w:tab w:val="right" w:leader="dot" w:pos="6521"/>
      </w:tabs>
      <w:spacing w:before="0" w:after="0"/>
    </w:pPr>
  </w:style>
  <w:style w:type="paragraph" w:customStyle="1" w:styleId="TOFTitle">
    <w:name w:val="TOFTitle"/>
    <w:basedOn w:val="TOCTitle"/>
    <w:rsid w:val="008F7011"/>
  </w:style>
  <w:style w:type="paragraph" w:styleId="TableofFigures">
    <w:name w:val="table of figures"/>
    <w:basedOn w:val="Normal"/>
    <w:next w:val="Normal"/>
    <w:semiHidden/>
    <w:rsid w:val="008F7011"/>
    <w:pPr>
      <w:tabs>
        <w:tab w:val="right" w:leader="dot" w:pos="9072"/>
      </w:tabs>
      <w:ind w:left="970" w:hanging="403"/>
    </w:pPr>
    <w:rPr>
      <w:rFonts w:ascii="Times New Roman" w:hAnsi="Times New Roman"/>
      <w:b/>
    </w:rPr>
  </w:style>
  <w:style w:type="paragraph" w:styleId="ListNumber">
    <w:name w:val="List Number"/>
    <w:basedOn w:val="List"/>
    <w:rsid w:val="008F7011"/>
    <w:pPr>
      <w:numPr>
        <w:numId w:val="10"/>
      </w:numPr>
    </w:pPr>
  </w:style>
  <w:style w:type="character" w:customStyle="1" w:styleId="WingdingSymbols">
    <w:name w:val="Wingding Symbols"/>
    <w:rsid w:val="008F7011"/>
    <w:rPr>
      <w:rFonts w:ascii="Wingdings" w:hAnsi="Wingdings"/>
    </w:rPr>
  </w:style>
  <w:style w:type="paragraph" w:customStyle="1" w:styleId="TableHeading">
    <w:name w:val="Table Heading"/>
    <w:basedOn w:val="HeadingBase"/>
    <w:rsid w:val="008F7011"/>
    <w:pPr>
      <w:keepLines/>
      <w:pBdr>
        <w:bottom w:val="single" w:sz="6" w:space="1" w:color="918585"/>
      </w:pBdr>
      <w:spacing w:before="240"/>
    </w:pPr>
  </w:style>
  <w:style w:type="character" w:customStyle="1" w:styleId="HotSpot">
    <w:name w:val="HotSpot"/>
    <w:rsid w:val="008F7011"/>
    <w:rPr>
      <w:color w:val="0033CC"/>
      <w:u w:val="none"/>
    </w:rPr>
  </w:style>
  <w:style w:type="paragraph" w:customStyle="1" w:styleId="BodyTextRight">
    <w:name w:val="Body Text Right"/>
    <w:basedOn w:val="BodyText"/>
    <w:rsid w:val="008F7011"/>
    <w:pPr>
      <w:spacing w:before="0" w:after="0"/>
      <w:jc w:val="right"/>
    </w:pPr>
  </w:style>
  <w:style w:type="paragraph" w:styleId="Index3">
    <w:name w:val="index 3"/>
    <w:basedOn w:val="ListNumber2"/>
    <w:next w:val="Normal"/>
    <w:semiHidden/>
    <w:rsid w:val="008F7011"/>
    <w:pPr>
      <w:numPr>
        <w:numId w:val="0"/>
      </w:numPr>
      <w:tabs>
        <w:tab w:val="right" w:leader="dot" w:pos="4176"/>
      </w:tabs>
    </w:pPr>
  </w:style>
  <w:style w:type="paragraph" w:styleId="ListNumber2">
    <w:name w:val="List Number 2"/>
    <w:basedOn w:val="List2"/>
    <w:rsid w:val="008F7011"/>
    <w:pPr>
      <w:numPr>
        <w:numId w:val="9"/>
      </w:numPr>
      <w:tabs>
        <w:tab w:val="clear" w:pos="1060"/>
      </w:tabs>
    </w:pPr>
  </w:style>
  <w:style w:type="paragraph" w:customStyle="1" w:styleId="MarginNote">
    <w:name w:val="Margin Note"/>
    <w:basedOn w:val="BodyText"/>
    <w:rsid w:val="008F70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70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701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F7011"/>
    <w:rPr>
      <w:sz w:val="32"/>
    </w:rPr>
  </w:style>
  <w:style w:type="paragraph" w:customStyle="1" w:styleId="HeadingProcedure">
    <w:name w:val="Heading Procedure"/>
    <w:basedOn w:val="HeadingBase"/>
    <w:next w:val="Normal"/>
    <w:rsid w:val="008F7011"/>
    <w:pPr>
      <w:tabs>
        <w:tab w:val="left" w:pos="0"/>
      </w:tabs>
      <w:spacing w:before="120" w:after="60"/>
    </w:pPr>
    <w:rPr>
      <w:i/>
      <w:color w:val="918585"/>
      <w:sz w:val="22"/>
    </w:rPr>
  </w:style>
  <w:style w:type="paragraph" w:customStyle="1" w:styleId="TableBodyText">
    <w:name w:val="Table Body Text"/>
    <w:basedOn w:val="BodyText"/>
    <w:rsid w:val="008F7011"/>
    <w:pPr>
      <w:spacing w:before="60" w:after="60"/>
    </w:pPr>
  </w:style>
  <w:style w:type="paragraph" w:styleId="ListContinue">
    <w:name w:val="List Continue"/>
    <w:basedOn w:val="List"/>
    <w:rsid w:val="008F7011"/>
    <w:pPr>
      <w:ind w:firstLine="0"/>
    </w:pPr>
  </w:style>
  <w:style w:type="paragraph" w:customStyle="1" w:styleId="ListNote">
    <w:name w:val="List Note"/>
    <w:basedOn w:val="List"/>
    <w:rsid w:val="008F7011"/>
    <w:pPr>
      <w:pBdr>
        <w:top w:val="single" w:sz="6" w:space="2" w:color="918585"/>
        <w:bottom w:val="single" w:sz="6" w:space="2" w:color="918585"/>
      </w:pBdr>
      <w:tabs>
        <w:tab w:val="left" w:pos="1021"/>
      </w:tabs>
      <w:ind w:firstLine="0"/>
    </w:pPr>
  </w:style>
  <w:style w:type="paragraph" w:customStyle="1" w:styleId="Warning">
    <w:name w:val="Warning"/>
    <w:basedOn w:val="BodyText"/>
    <w:rsid w:val="008F7011"/>
    <w:pPr>
      <w:shd w:val="clear" w:color="auto" w:fill="D9D9D9"/>
      <w:tabs>
        <w:tab w:val="left" w:pos="992"/>
      </w:tabs>
      <w:ind w:left="119" w:right="119"/>
    </w:pPr>
    <w:rPr>
      <w:sz w:val="20"/>
    </w:rPr>
  </w:style>
  <w:style w:type="paragraph" w:customStyle="1" w:styleId="MarginIcons">
    <w:name w:val="Margin Icons"/>
    <w:basedOn w:val="BodyText"/>
    <w:rsid w:val="008F70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7011"/>
    <w:rPr>
      <w:rFonts w:ascii="Courier New" w:hAnsi="Courier New"/>
    </w:rPr>
  </w:style>
  <w:style w:type="paragraph" w:customStyle="1" w:styleId="NoteBullet">
    <w:name w:val="Note Bullet"/>
    <w:basedOn w:val="Note"/>
    <w:rsid w:val="008F7011"/>
    <w:pPr>
      <w:tabs>
        <w:tab w:val="clear" w:pos="680"/>
      </w:tabs>
      <w:spacing w:before="60" w:after="60"/>
    </w:pPr>
  </w:style>
  <w:style w:type="paragraph" w:customStyle="1" w:styleId="SubHeading2">
    <w:name w:val="SubHeading2"/>
    <w:basedOn w:val="HeadingBase"/>
    <w:rsid w:val="008F7011"/>
    <w:pPr>
      <w:spacing w:before="240" w:after="60"/>
    </w:pPr>
    <w:rPr>
      <w:sz w:val="20"/>
    </w:rPr>
  </w:style>
  <w:style w:type="paragraph" w:customStyle="1" w:styleId="SubHeading1">
    <w:name w:val="SubHeading1"/>
    <w:basedOn w:val="HeadingBase"/>
    <w:rsid w:val="008F7011"/>
    <w:pPr>
      <w:spacing w:before="240" w:after="60"/>
    </w:pPr>
    <w:rPr>
      <w:color w:val="918585"/>
      <w:sz w:val="22"/>
    </w:rPr>
  </w:style>
  <w:style w:type="paragraph" w:customStyle="1" w:styleId="SideHeading">
    <w:name w:val="Side Heading"/>
    <w:basedOn w:val="HeadingBase"/>
    <w:rsid w:val="008F70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7011"/>
    <w:pPr>
      <w:tabs>
        <w:tab w:val="num" w:pos="360"/>
      </w:tabs>
    </w:pPr>
  </w:style>
  <w:style w:type="paragraph" w:styleId="PlainText">
    <w:name w:val="Plain Text"/>
    <w:basedOn w:val="Normal"/>
    <w:link w:val="PlainTextChar"/>
    <w:rsid w:val="008F7011"/>
    <w:rPr>
      <w:sz w:val="20"/>
    </w:rPr>
  </w:style>
  <w:style w:type="character" w:customStyle="1" w:styleId="PlainTextChar">
    <w:name w:val="Plain Text Char"/>
    <w:basedOn w:val="DefaultParagraphFont"/>
    <w:link w:val="PlainText"/>
    <w:rsid w:val="008F7011"/>
    <w:rPr>
      <w:rFonts w:ascii="Courier New" w:eastAsia="Times New Roman" w:hAnsi="Courier New" w:cs="Times New Roman"/>
      <w:sz w:val="20"/>
      <w:szCs w:val="20"/>
      <w:lang w:eastAsia="en-US"/>
    </w:rPr>
  </w:style>
  <w:style w:type="character" w:customStyle="1" w:styleId="MenuOption">
    <w:name w:val="Menu Option"/>
    <w:basedOn w:val="DefaultParagraphFont"/>
    <w:rsid w:val="008F7011"/>
    <w:rPr>
      <w:b/>
      <w:smallCaps/>
    </w:rPr>
  </w:style>
  <w:style w:type="paragraph" w:customStyle="1" w:styleId="TableListNumber">
    <w:name w:val="Table List Number"/>
    <w:basedOn w:val="ListNumber"/>
    <w:rsid w:val="008F7011"/>
    <w:pPr>
      <w:numPr>
        <w:numId w:val="0"/>
      </w:numPr>
    </w:pPr>
  </w:style>
  <w:style w:type="paragraph" w:styleId="TOC4">
    <w:name w:val="toc 4"/>
    <w:basedOn w:val="TOCBase"/>
    <w:next w:val="Normal"/>
    <w:semiHidden/>
    <w:rsid w:val="008F7011"/>
    <w:pPr>
      <w:tabs>
        <w:tab w:val="right" w:leader="dot" w:pos="9071"/>
      </w:tabs>
      <w:ind w:left="1701"/>
    </w:pPr>
  </w:style>
  <w:style w:type="paragraph" w:customStyle="1" w:styleId="ListAlpha">
    <w:name w:val="List Alpha"/>
    <w:basedOn w:val="List"/>
    <w:rsid w:val="008F7011"/>
    <w:pPr>
      <w:numPr>
        <w:numId w:val="8"/>
      </w:numPr>
    </w:pPr>
  </w:style>
  <w:style w:type="paragraph" w:customStyle="1" w:styleId="ListAlpha2">
    <w:name w:val="List Alpha 2"/>
    <w:basedOn w:val="List2"/>
    <w:rsid w:val="008F7011"/>
    <w:pPr>
      <w:numPr>
        <w:numId w:val="7"/>
      </w:numPr>
    </w:pPr>
  </w:style>
  <w:style w:type="paragraph" w:styleId="List3">
    <w:name w:val="List 3"/>
    <w:basedOn w:val="BodyText"/>
    <w:rsid w:val="008F7011"/>
    <w:pPr>
      <w:tabs>
        <w:tab w:val="left" w:pos="1021"/>
      </w:tabs>
      <w:spacing w:before="60" w:after="60"/>
      <w:ind w:left="1020" w:hanging="340"/>
    </w:pPr>
  </w:style>
  <w:style w:type="paragraph" w:styleId="List4">
    <w:name w:val="List 4"/>
    <w:basedOn w:val="BodyText"/>
    <w:rsid w:val="008F7011"/>
    <w:pPr>
      <w:tabs>
        <w:tab w:val="left" w:pos="1361"/>
      </w:tabs>
      <w:spacing w:before="60" w:after="60"/>
      <w:ind w:left="1361" w:hanging="340"/>
    </w:pPr>
  </w:style>
  <w:style w:type="paragraph" w:styleId="List5">
    <w:name w:val="List 5"/>
    <w:basedOn w:val="BodyText"/>
    <w:rsid w:val="008F7011"/>
    <w:pPr>
      <w:tabs>
        <w:tab w:val="left" w:pos="1701"/>
      </w:tabs>
      <w:spacing w:before="60" w:after="60"/>
      <w:ind w:left="1701" w:hanging="340"/>
    </w:pPr>
  </w:style>
  <w:style w:type="paragraph" w:styleId="ListBullet3">
    <w:name w:val="List Bullet 3"/>
    <w:basedOn w:val="List3"/>
    <w:rsid w:val="008F7011"/>
    <w:pPr>
      <w:numPr>
        <w:numId w:val="14"/>
      </w:numPr>
      <w:tabs>
        <w:tab w:val="clear" w:pos="1021"/>
      </w:tabs>
      <w:ind w:left="1037" w:hanging="357"/>
    </w:pPr>
  </w:style>
  <w:style w:type="paragraph" w:styleId="ListBullet4">
    <w:name w:val="List Bullet 4"/>
    <w:basedOn w:val="List4"/>
    <w:rsid w:val="008F7011"/>
    <w:pPr>
      <w:numPr>
        <w:numId w:val="2"/>
      </w:numPr>
    </w:pPr>
  </w:style>
  <w:style w:type="paragraph" w:styleId="ListBullet5">
    <w:name w:val="List Bullet 5"/>
    <w:basedOn w:val="List5"/>
    <w:rsid w:val="008F7011"/>
    <w:pPr>
      <w:numPr>
        <w:numId w:val="3"/>
      </w:numPr>
    </w:pPr>
  </w:style>
  <w:style w:type="paragraph" w:styleId="ListContinue2">
    <w:name w:val="List Continue 2"/>
    <w:basedOn w:val="List2"/>
    <w:rsid w:val="008F7011"/>
    <w:pPr>
      <w:ind w:firstLine="0"/>
    </w:pPr>
  </w:style>
  <w:style w:type="paragraph" w:styleId="ListContinue3">
    <w:name w:val="List Continue 3"/>
    <w:basedOn w:val="List3"/>
    <w:rsid w:val="008F7011"/>
    <w:pPr>
      <w:ind w:left="1021" w:firstLine="0"/>
    </w:pPr>
  </w:style>
  <w:style w:type="paragraph" w:styleId="ListContinue4">
    <w:name w:val="List Continue 4"/>
    <w:basedOn w:val="List4"/>
    <w:rsid w:val="008F7011"/>
    <w:pPr>
      <w:ind w:firstLine="0"/>
    </w:pPr>
  </w:style>
  <w:style w:type="paragraph" w:styleId="ListContinue5">
    <w:name w:val="List Continue 5"/>
    <w:basedOn w:val="List5"/>
    <w:rsid w:val="008F7011"/>
    <w:pPr>
      <w:ind w:firstLine="0"/>
    </w:pPr>
  </w:style>
  <w:style w:type="paragraph" w:styleId="ListNumber3">
    <w:name w:val="List Number 3"/>
    <w:basedOn w:val="List3"/>
    <w:rsid w:val="008F7011"/>
    <w:pPr>
      <w:numPr>
        <w:numId w:val="4"/>
      </w:numPr>
    </w:pPr>
  </w:style>
  <w:style w:type="paragraph" w:styleId="ListNumber4">
    <w:name w:val="List Number 4"/>
    <w:basedOn w:val="List4"/>
    <w:rsid w:val="008F7011"/>
    <w:pPr>
      <w:numPr>
        <w:numId w:val="5"/>
      </w:numPr>
    </w:pPr>
  </w:style>
  <w:style w:type="paragraph" w:styleId="ListNumber5">
    <w:name w:val="List Number 5"/>
    <w:basedOn w:val="List5"/>
    <w:rsid w:val="008F7011"/>
    <w:pPr>
      <w:numPr>
        <w:numId w:val="6"/>
      </w:numPr>
    </w:pPr>
  </w:style>
  <w:style w:type="paragraph" w:styleId="BlockText">
    <w:name w:val="Block Text"/>
    <w:basedOn w:val="Normal"/>
    <w:rsid w:val="008F7011"/>
    <w:pPr>
      <w:spacing w:after="120"/>
      <w:ind w:left="1440" w:right="1440"/>
    </w:pPr>
  </w:style>
  <w:style w:type="character" w:customStyle="1" w:styleId="Subscript">
    <w:name w:val="Subscript"/>
    <w:basedOn w:val="DefaultParagraphFont"/>
    <w:rsid w:val="008F7011"/>
    <w:rPr>
      <w:sz w:val="16"/>
      <w:vertAlign w:val="subscript"/>
    </w:rPr>
  </w:style>
  <w:style w:type="character" w:customStyle="1" w:styleId="Superscript">
    <w:name w:val="Superscript"/>
    <w:basedOn w:val="DefaultParagraphFont"/>
    <w:rsid w:val="008F7011"/>
    <w:rPr>
      <w:sz w:val="16"/>
      <w:vertAlign w:val="superscript"/>
    </w:rPr>
  </w:style>
  <w:style w:type="character" w:customStyle="1" w:styleId="Symbols">
    <w:name w:val="Symbols"/>
    <w:basedOn w:val="DefaultParagraphFont"/>
    <w:rsid w:val="008F7011"/>
    <w:rPr>
      <w:rFonts w:ascii="Symbol" w:hAnsi="Symbol"/>
    </w:rPr>
  </w:style>
  <w:style w:type="character" w:customStyle="1" w:styleId="MenuOptions">
    <w:name w:val="Menu Options"/>
    <w:basedOn w:val="DefaultParagraphFont"/>
    <w:rsid w:val="008F7011"/>
    <w:rPr>
      <w:rFonts w:ascii="Arial Narrow" w:hAnsi="Arial Narrow"/>
      <w:smallCaps/>
    </w:rPr>
  </w:style>
  <w:style w:type="character" w:customStyle="1" w:styleId="Buttons">
    <w:name w:val="Buttons"/>
    <w:basedOn w:val="DefaultParagraphFont"/>
    <w:rsid w:val="008F7011"/>
    <w:rPr>
      <w:b/>
    </w:rPr>
  </w:style>
  <w:style w:type="character" w:customStyle="1" w:styleId="Underlined">
    <w:name w:val="Underlined"/>
    <w:basedOn w:val="DefaultParagraphFont"/>
    <w:rsid w:val="008F7011"/>
    <w:rPr>
      <w:u w:val="single"/>
    </w:rPr>
  </w:style>
  <w:style w:type="paragraph" w:customStyle="1" w:styleId="TableBodyTextRight">
    <w:name w:val="Table Body Text Right"/>
    <w:basedOn w:val="TableBodyText"/>
    <w:rsid w:val="008F7011"/>
    <w:pPr>
      <w:widowControl w:val="0"/>
      <w:autoSpaceDE w:val="0"/>
      <w:autoSpaceDN w:val="0"/>
      <w:adjustRightInd w:val="0"/>
      <w:jc w:val="right"/>
    </w:pPr>
    <w:rPr>
      <w:rFonts w:cs="Arial"/>
      <w:szCs w:val="18"/>
    </w:rPr>
  </w:style>
  <w:style w:type="paragraph" w:customStyle="1" w:styleId="CopyrightText">
    <w:name w:val="Copyright Text"/>
    <w:basedOn w:val="BodyText"/>
    <w:rsid w:val="008F7011"/>
    <w:rPr>
      <w:sz w:val="18"/>
    </w:rPr>
  </w:style>
  <w:style w:type="paragraph" w:customStyle="1" w:styleId="BodySmallRight">
    <w:name w:val="Body Small Right"/>
    <w:basedOn w:val="BodyTextRight"/>
    <w:rsid w:val="008F7011"/>
    <w:rPr>
      <w:sz w:val="18"/>
      <w:szCs w:val="18"/>
    </w:rPr>
  </w:style>
  <w:style w:type="paragraph" w:customStyle="1" w:styleId="MarginEdition">
    <w:name w:val="Margin Edition"/>
    <w:basedOn w:val="MarginNote"/>
    <w:rsid w:val="008F7011"/>
    <w:pPr>
      <w:spacing w:before="0" w:after="0"/>
    </w:pPr>
    <w:rPr>
      <w:rFonts w:ascii="Times New Roman" w:hAnsi="Times New Roman"/>
      <w:color w:val="999999"/>
    </w:rPr>
  </w:style>
  <w:style w:type="paragraph" w:customStyle="1" w:styleId="Spacer">
    <w:name w:val="Spacer"/>
    <w:basedOn w:val="Normal"/>
    <w:rsid w:val="008F7011"/>
    <w:rPr>
      <w:sz w:val="2"/>
      <w:szCs w:val="2"/>
    </w:rPr>
  </w:style>
  <w:style w:type="character" w:customStyle="1" w:styleId="Small">
    <w:name w:val="Small"/>
    <w:basedOn w:val="DefaultParagraphFont"/>
    <w:rsid w:val="008F7011"/>
    <w:rPr>
      <w:sz w:val="16"/>
    </w:rPr>
  </w:style>
  <w:style w:type="paragraph" w:customStyle="1" w:styleId="WideTable">
    <w:name w:val="Wide Table"/>
    <w:basedOn w:val="Normal"/>
    <w:rsid w:val="008F7011"/>
    <w:pPr>
      <w:ind w:left="-1418"/>
    </w:pPr>
    <w:rPr>
      <w:sz w:val="2"/>
      <w:szCs w:val="2"/>
    </w:rPr>
  </w:style>
  <w:style w:type="character" w:styleId="PageNumber">
    <w:name w:val="page number"/>
    <w:basedOn w:val="DefaultParagraphFont"/>
    <w:rsid w:val="008F7011"/>
  </w:style>
  <w:style w:type="paragraph" w:styleId="Quote">
    <w:name w:val="Quote"/>
    <w:basedOn w:val="Heading1"/>
    <w:link w:val="QuoteChar"/>
    <w:qFormat/>
    <w:rsid w:val="008F7011"/>
    <w:rPr>
      <w:b w:val="0"/>
      <w:sz w:val="72"/>
      <w:szCs w:val="72"/>
      <w:lang w:val="en-NZ"/>
    </w:rPr>
  </w:style>
  <w:style w:type="character" w:customStyle="1" w:styleId="QuoteChar">
    <w:name w:val="Quote Char"/>
    <w:basedOn w:val="DefaultParagraphFont"/>
    <w:link w:val="Quote"/>
    <w:rsid w:val="008F70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7011"/>
    <w:pPr>
      <w:pageBreakBefore/>
    </w:pPr>
  </w:style>
  <w:style w:type="paragraph" w:customStyle="1" w:styleId="Border">
    <w:name w:val="Border"/>
    <w:basedOn w:val="Normal"/>
    <w:qFormat/>
    <w:rsid w:val="008F70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7011"/>
    <w:rPr>
      <w:b/>
      <w:bCs/>
      <w:i/>
      <w:iCs/>
      <w:color w:val="auto"/>
    </w:rPr>
  </w:style>
  <w:style w:type="paragraph" w:styleId="IntenseQuote">
    <w:name w:val="Intense Quote"/>
    <w:basedOn w:val="Normal"/>
    <w:next w:val="Normal"/>
    <w:link w:val="IntenseQuoteChar"/>
    <w:uiPriority w:val="30"/>
    <w:qFormat/>
    <w:rsid w:val="008F70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701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F7011"/>
    <w:rPr>
      <w:smallCaps/>
      <w:color w:val="auto"/>
      <w:u w:val="single"/>
    </w:rPr>
  </w:style>
  <w:style w:type="character" w:styleId="IntenseReference">
    <w:name w:val="Intense Reference"/>
    <w:basedOn w:val="DefaultParagraphFont"/>
    <w:uiPriority w:val="32"/>
    <w:qFormat/>
    <w:rsid w:val="008F7011"/>
    <w:rPr>
      <w:b/>
      <w:bCs/>
      <w:smallCaps/>
      <w:color w:val="auto"/>
      <w:spacing w:val="5"/>
      <w:u w:val="single"/>
    </w:rPr>
  </w:style>
  <w:style w:type="paragraph" w:customStyle="1" w:styleId="2ColumnHeading">
    <w:name w:val="2Column Heading"/>
    <w:basedOn w:val="BodyText"/>
    <w:qFormat/>
    <w:rsid w:val="008F7011"/>
    <w:pPr>
      <w:spacing w:after="60"/>
      <w:ind w:left="-2268"/>
    </w:pPr>
    <w:rPr>
      <w:b/>
    </w:rPr>
  </w:style>
  <w:style w:type="paragraph" w:customStyle="1" w:styleId="Heading1TOC">
    <w:name w:val="Heading1 TOC"/>
    <w:basedOn w:val="Normal"/>
    <w:qFormat/>
    <w:rsid w:val="008F7011"/>
    <w:pPr>
      <w:spacing w:before="240" w:after="120"/>
    </w:pPr>
    <w:rPr>
      <w:rFonts w:ascii="Times New Roman" w:hAnsi="Times New Roman"/>
      <w:b/>
      <w:sz w:val="32"/>
    </w:rPr>
  </w:style>
  <w:style w:type="paragraph" w:customStyle="1" w:styleId="Heading2TOC">
    <w:name w:val="Heading2 TOC"/>
    <w:basedOn w:val="Normal"/>
    <w:qFormat/>
    <w:rsid w:val="008F7011"/>
    <w:pPr>
      <w:spacing w:before="240" w:after="60"/>
    </w:pPr>
    <w:rPr>
      <w:rFonts w:ascii="Times New Roman" w:hAnsi="Times New Roman"/>
      <w:b/>
      <w:sz w:val="28"/>
    </w:rPr>
  </w:style>
  <w:style w:type="character" w:customStyle="1" w:styleId="Underline">
    <w:name w:val="Underline"/>
    <w:basedOn w:val="DefaultParagraphFont"/>
    <w:qFormat/>
    <w:rsid w:val="008F7011"/>
    <w:rPr>
      <w:u w:val="single"/>
    </w:rPr>
  </w:style>
  <w:style w:type="character" w:customStyle="1" w:styleId="BoldandItalics">
    <w:name w:val="Bold and Italics"/>
    <w:qFormat/>
    <w:rsid w:val="008F7011"/>
    <w:rPr>
      <w:b/>
      <w:i/>
      <w:u w:val="none"/>
    </w:rPr>
  </w:style>
  <w:style w:type="paragraph" w:styleId="BalloonText">
    <w:name w:val="Balloon Text"/>
    <w:basedOn w:val="Normal"/>
    <w:link w:val="BalloonTextChar"/>
    <w:rsid w:val="008F7011"/>
    <w:rPr>
      <w:rFonts w:ascii="Tahoma" w:hAnsi="Tahoma" w:cs="Tahoma"/>
      <w:sz w:val="16"/>
      <w:szCs w:val="16"/>
    </w:rPr>
  </w:style>
  <w:style w:type="character" w:customStyle="1" w:styleId="BalloonTextChar">
    <w:name w:val="Balloon Text Char"/>
    <w:basedOn w:val="DefaultParagraphFont"/>
    <w:link w:val="BalloonText"/>
    <w:rsid w:val="008F701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F701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F701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F7011"/>
    <w:rPr>
      <w:b/>
      <w:color w:val="660033"/>
      <w:spacing w:val="0"/>
    </w:rPr>
  </w:style>
  <w:style w:type="paragraph" w:customStyle="1" w:styleId="Nameditemlist">
    <w:name w:val="Named item list"/>
    <w:basedOn w:val="BodyText"/>
    <w:qFormat/>
    <w:rsid w:val="008F701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933</Words>
  <Characters>5944</Characters>
  <Application>Microsoft Office Word</Application>
  <DocSecurity>0</DocSecurity>
  <Lines>214</Lines>
  <Paragraphs>88</Paragraphs>
  <ScaleCrop>false</ScaleCrop>
  <Company>Author-it Software Corporation Ltd.</Company>
  <LinksUpToDate>false</LinksUpToDate>
  <CharactersWithSpaces>6806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MEM06007B Perform basic incidental heat/quenching, tempering and annealing</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2012-10-05T07:50:00Z</dcterms:created>
  <dcterms:modified xsi:type="dcterms:W3CDTF">2012-10-05T07:50:00Z</dcterms:modified>
</cp:coreProperties>
</file>