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F24" w:rsidP="004A2F24">
      <w:pPr>
        <w:pStyle w:val="Title"/>
      </w:pPr>
      <w:r>
        <w:fldChar w:fldCharType="begin"/>
      </w:r>
      <w:r>
        <w:instrText xml:space="preserve"> TITLE   \* MERGEFORMAT </w:instrText>
      </w:r>
      <w:r>
        <w:fldChar w:fldCharType="separate"/>
      </w:r>
      <w:r>
        <w:t>MEM06004B Select heat treatment processes and test finished product</w:t>
      </w:r>
      <w:r>
        <w:fldChar w:fldCharType="end"/>
      </w:r>
    </w:p>
    <w:p w:rsidR="004A2F24" w:rsidP="004A2F24">
      <w:pPr>
        <w:pStyle w:val="Version"/>
        <w:sectPr w:rsidSect="008F2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16D" w:rsidP="008F216D">
      <w:pPr>
        <w:pStyle w:val="SuperHeading"/>
      </w:pPr>
      <w:r w:rsidRPr="008F216D">
        <w:t>MEM06004B Select heat treatment processes and test finished product</w:t>
      </w:r>
    </w:p>
    <w:p w:rsidR="00000000" w:rsidRPr="008F216D" w:rsidP="008F216D">
      <w:pPr>
        <w:pStyle w:val="Heading1"/>
      </w:pPr>
      <w:bookmarkStart w:id="1" w:name="O_272042"/>
      <w:bookmarkEnd w:id="1"/>
      <w:r w:rsidRPr="008F216D">
        <w:t>Modification History</w:t>
      </w:r>
    </w:p>
    <w:p w:rsidR="00000000" w:rsidRPr="008F216D" w:rsidP="008F216D">
      <w:pPr>
        <w:pStyle w:val="BodyText"/>
      </w:pPr>
      <w:r w:rsidRPr="008F216D">
        <w:t>Not Applicable</w:t>
      </w:r>
    </w:p>
    <w:p w:rsidR="00000000" w:rsidRPr="008F216D" w:rsidP="008F216D">
      <w:pPr>
        <w:pStyle w:val="AllowPageBreak"/>
      </w:pPr>
    </w:p>
    <w:p w:rsidR="00000000" w:rsidRPr="008F216D" w:rsidP="008F216D">
      <w:pPr>
        <w:pStyle w:val="Heading1"/>
      </w:pPr>
      <w:bookmarkStart w:id="2" w:name="O_210732"/>
      <w:bookmarkEnd w:id="2"/>
      <w:r w:rsidRPr="008F216D">
        <w:t>Unit Descriptor</w:t>
      </w:r>
    </w:p>
    <w:tbl>
      <w:tblPr>
        <w:tblW w:w="0" w:type="auto"/>
        <w:tblLayout w:type="fixed"/>
        <w:tblCellMar>
          <w:left w:w="62" w:type="dxa"/>
          <w:right w:w="62" w:type="dxa"/>
        </w:tblCellMar>
        <w:tblLook w:val="0000"/>
      </w:tblPr>
      <w:tblGrid>
        <w:gridCol w:w="2672"/>
        <w:gridCol w:w="5850"/>
      </w:tblGrid>
      <w:tr w:rsidTr="004A2F24">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t>This unit covers selecting the appropriate process to achieve the desired result, rec</w:t>
            </w:r>
            <w:r w:rsidRPr="008F216D">
              <w:t>ording and maintaining heat treatment information, and testing treated materials.</w:t>
            </w:r>
          </w:p>
        </w:tc>
      </w:tr>
    </w:tbl>
    <w:p w:rsidR="004A2F24" w:rsidP="008F216D">
      <w:pPr>
        <w:pStyle w:val="BodyText"/>
      </w:pPr>
    </w:p>
    <w:p w:rsidR="004A2F24" w:rsidP="008F216D">
      <w:pPr>
        <w:pStyle w:val="BodyText"/>
      </w:pPr>
    </w:p>
    <w:p w:rsidR="00000000" w:rsidRPr="008F216D" w:rsidP="008F216D">
      <w:pPr>
        <w:pStyle w:val="Heading1"/>
      </w:pPr>
      <w:bookmarkStart w:id="3" w:name="O_210736"/>
      <w:bookmarkEnd w:id="3"/>
      <w:r w:rsidRPr="008F216D">
        <w:t>Application of the Unit</w:t>
      </w:r>
    </w:p>
    <w:tbl>
      <w:tblPr>
        <w:tblW w:w="0" w:type="auto"/>
        <w:tblLayout w:type="fixed"/>
        <w:tblCellMar>
          <w:left w:w="62" w:type="dxa"/>
          <w:right w:w="62" w:type="dxa"/>
        </w:tblCellMar>
        <w:tblLook w:val="0000"/>
      </w:tblPr>
      <w:tblGrid>
        <w:gridCol w:w="2745"/>
        <w:gridCol w:w="5777"/>
      </w:tblGrid>
      <w:tr w:rsidTr="004A2F2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t>This unit applies to the heat treatment of ferrous and non-ferrous metals using a variety of equipment. Equipment range does not include drop and upset machinery, vacuum furnaces or rolling and extruding mill machinery.</w:t>
            </w:r>
          </w:p>
          <w:p w:rsidR="00000000" w:rsidRPr="008F216D" w:rsidP="008F216D">
            <w:pPr>
              <w:pStyle w:val="BodyText"/>
            </w:pPr>
          </w:p>
          <w:p w:rsidR="00000000" w:rsidRPr="008F216D" w:rsidP="008F216D">
            <w:pPr>
              <w:pStyle w:val="BodyText"/>
            </w:pPr>
            <w:r w:rsidRPr="008F216D">
              <w:rPr>
                <w:rStyle w:val="SpecialBold"/>
              </w:rPr>
              <w:t>Band</w:t>
            </w:r>
            <w:r w:rsidRPr="008F216D">
              <w:t>:</w:t>
            </w:r>
            <w:r w:rsidRPr="008F216D">
              <w:tab/>
            </w:r>
            <w:r w:rsidRPr="008F216D">
              <w:rPr>
                <w:rStyle w:val="SpecialBold"/>
              </w:rPr>
              <w:t>A</w:t>
            </w:r>
          </w:p>
          <w:p w:rsidR="00000000" w:rsidRPr="008F216D" w:rsidP="008F216D">
            <w:pPr>
              <w:pStyle w:val="BodyText"/>
            </w:pPr>
            <w:r w:rsidRPr="008F216D">
              <w:rPr>
                <w:rStyle w:val="SpecialBold"/>
              </w:rPr>
              <w:t>Unit Weight</w:t>
            </w:r>
            <w:r w:rsidRPr="008F216D">
              <w:t>:</w:t>
            </w:r>
            <w:r w:rsidRPr="008F216D">
              <w:tab/>
            </w:r>
            <w:r w:rsidRPr="008F216D">
              <w:rPr>
                <w:rStyle w:val="SpecialBold"/>
              </w:rPr>
              <w:t>6</w:t>
            </w:r>
          </w:p>
        </w:tc>
      </w:tr>
    </w:tbl>
    <w:p w:rsidR="004A2F24" w:rsidP="008F216D">
      <w:pPr>
        <w:pStyle w:val="BodyText"/>
      </w:pPr>
    </w:p>
    <w:p w:rsidR="004A2F24" w:rsidP="008F216D">
      <w:pPr>
        <w:pStyle w:val="BodyText"/>
      </w:pPr>
    </w:p>
    <w:p w:rsidR="00000000" w:rsidRPr="008F216D" w:rsidP="008F216D">
      <w:pPr>
        <w:pStyle w:val="Heading1"/>
      </w:pPr>
      <w:bookmarkStart w:id="4" w:name="O_280302"/>
      <w:bookmarkEnd w:id="4"/>
      <w:r w:rsidRPr="008F216D">
        <w:t>Licensing/Regulatory Information</w:t>
      </w:r>
    </w:p>
    <w:p w:rsidR="00000000" w:rsidRPr="008F216D" w:rsidP="008F216D">
      <w:pPr>
        <w:pStyle w:val="BodyText"/>
      </w:pPr>
      <w:r w:rsidRPr="008F216D">
        <w:t>Not Applicable</w:t>
      </w:r>
    </w:p>
    <w:p w:rsidR="00000000" w:rsidRPr="008F216D" w:rsidP="008F216D">
      <w:pPr>
        <w:pStyle w:val="AllowPageBreak"/>
      </w:pPr>
    </w:p>
    <w:p w:rsidR="00000000" w:rsidRPr="008F216D" w:rsidP="008F216D">
      <w:pPr>
        <w:pStyle w:val="Heading1"/>
      </w:pPr>
      <w:bookmarkStart w:id="5" w:name="O_210734"/>
      <w:bookmarkEnd w:id="5"/>
      <w:r w:rsidRPr="008F216D">
        <w:t>Pre-Requisites</w:t>
      </w:r>
    </w:p>
    <w:tbl>
      <w:tblPr>
        <w:tblW w:w="0" w:type="auto"/>
        <w:tblLayout w:type="fixed"/>
        <w:tblCellMar>
          <w:left w:w="62" w:type="dxa"/>
          <w:right w:w="62" w:type="dxa"/>
        </w:tblCellMar>
        <w:tblLook w:val="0000"/>
      </w:tblPr>
      <w:tblGrid>
        <w:gridCol w:w="2719"/>
        <w:gridCol w:w="2207"/>
        <w:gridCol w:w="3596"/>
      </w:tblGrid>
      <w:tr w:rsidTr="004A2F24">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p>
        </w:tc>
      </w:tr>
      <w:tr w:rsidTr="004A2F24">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 xml:space="preserve">MEM06003C </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Carry out heat treatment</w:t>
            </w:r>
          </w:p>
        </w:tc>
      </w:tr>
      <w:tr w:rsidTr="004A2F24">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p>
        </w:tc>
      </w:tr>
    </w:tbl>
    <w:p w:rsidR="004A2F24" w:rsidP="008F216D">
      <w:pPr>
        <w:pStyle w:val="BodyText"/>
      </w:pPr>
    </w:p>
    <w:p w:rsidR="004A2F24" w:rsidP="008F216D">
      <w:pPr>
        <w:pStyle w:val="BodyText"/>
      </w:pPr>
    </w:p>
    <w:p w:rsidR="00000000" w:rsidRPr="008F216D" w:rsidP="008F216D">
      <w:pPr>
        <w:pStyle w:val="Heading1"/>
      </w:pPr>
      <w:bookmarkStart w:id="6" w:name="O_210733"/>
      <w:bookmarkEnd w:id="6"/>
      <w:r w:rsidRPr="008F216D">
        <w:t>Employability Skills Information</w:t>
      </w:r>
    </w:p>
    <w:tbl>
      <w:tblPr>
        <w:tblW w:w="0" w:type="auto"/>
        <w:tblLayout w:type="fixed"/>
        <w:tblCellMar>
          <w:left w:w="62" w:type="dxa"/>
          <w:right w:w="62" w:type="dxa"/>
        </w:tblCellMar>
        <w:tblLook w:val="0000"/>
      </w:tblPr>
      <w:tblGrid>
        <w:gridCol w:w="2802"/>
        <w:gridCol w:w="5720"/>
      </w:tblGrid>
      <w:tr w:rsidTr="004A2F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t>This unit contains employability skills.</w:t>
            </w:r>
          </w:p>
        </w:tc>
      </w:tr>
    </w:tbl>
    <w:p w:rsidR="004A2F24" w:rsidP="008F216D">
      <w:pPr>
        <w:pStyle w:val="BodyText"/>
      </w:pPr>
    </w:p>
    <w:p w:rsidR="004A2F24" w:rsidP="008F216D">
      <w:pPr>
        <w:pStyle w:val="BodyText"/>
      </w:pPr>
    </w:p>
    <w:p w:rsidR="00000000" w:rsidRPr="008F216D" w:rsidP="008F216D">
      <w:pPr>
        <w:pStyle w:val="Heading1"/>
      </w:pPr>
      <w:bookmarkStart w:id="7" w:name="O_290088"/>
      <w:bookmarkEnd w:id="7"/>
      <w:r w:rsidRPr="008F216D">
        <w:t>Elements and Performance Criteria Pre-Content</w:t>
      </w:r>
    </w:p>
    <w:tbl>
      <w:tblPr>
        <w:tblW w:w="0" w:type="auto"/>
        <w:tblLayout w:type="fixed"/>
        <w:tblCellMar>
          <w:left w:w="62" w:type="dxa"/>
          <w:right w:w="62" w:type="dxa"/>
        </w:tblCellMar>
        <w:tblLook w:val="0000"/>
      </w:tblPr>
      <w:tblGrid>
        <w:gridCol w:w="2576"/>
        <w:gridCol w:w="5946"/>
      </w:tblGrid>
      <w:tr w:rsidTr="004A2F2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t xml:space="preserve">Performance criteria describe the performance needed to demonstrate achievement of </w:t>
            </w:r>
            <w:r w:rsidRPr="008F216D">
              <w:t>the element. Where bold italicised text is used, further information is detailed in the required skills and knowledge section and the range statement. Assessment of performance is to be consistent with the evidence guide.</w:t>
            </w:r>
          </w:p>
        </w:tc>
      </w:tr>
    </w:tbl>
    <w:p w:rsidR="00000000" w:rsidRPr="008F216D" w:rsidP="008F216D">
      <w:pPr>
        <w:pStyle w:val="BodyText"/>
      </w:pPr>
    </w:p>
    <w:p w:rsidR="00000000" w:rsidRPr="008F216D" w:rsidP="008F216D">
      <w:pPr>
        <w:pStyle w:val="AllowPageBreak"/>
      </w:pPr>
    </w:p>
    <w:p w:rsidR="00000000" w:rsidRPr="008F216D" w:rsidP="008F216D">
      <w:pPr>
        <w:pStyle w:val="Heading1"/>
      </w:pPr>
      <w:bookmarkStart w:id="8" w:name="O_236755"/>
      <w:bookmarkEnd w:id="8"/>
      <w:r w:rsidRPr="008F216D">
        <w:t>Elements and Performance Criteria</w:t>
      </w:r>
    </w:p>
    <w:tbl>
      <w:tblPr>
        <w:tblW w:w="0" w:type="auto"/>
        <w:tblLayout w:type="fixed"/>
        <w:tblCellMar>
          <w:left w:w="62" w:type="dxa"/>
          <w:right w:w="62" w:type="dxa"/>
        </w:tblCellMar>
        <w:tblLook w:val="0000"/>
      </w:tblPr>
      <w:tblGrid>
        <w:gridCol w:w="2576"/>
        <w:gridCol w:w="5946"/>
      </w:tblGrid>
      <w:tr w:rsidTr="004A2F24">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PERFORMANCE CRITERIA</w:t>
            </w:r>
          </w:p>
        </w:tc>
      </w:tr>
      <w:tr w:rsidTr="004A2F2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List"/>
              <w:rPr>
                <w:lang w:val="en-NZ"/>
              </w:rPr>
            </w:pPr>
            <w:r w:rsidRPr="008F216D">
              <w:t>1.</w:t>
            </w:r>
            <w:r w:rsidRPr="008F216D">
              <w:tab/>
              <w:t xml:space="preserve">Determine job requirements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List2"/>
            </w:pPr>
            <w:r w:rsidRPr="008F216D">
              <w:t>1.1.</w:t>
            </w:r>
            <w:r w:rsidRPr="008F216D">
              <w:tab/>
              <w:t>Heat treatment process to achieve specified result is determined using reference material, metallurgist's report, consultation with technical specialists or</w:t>
            </w:r>
            <w:r w:rsidRPr="008F216D">
              <w:t xml:space="preserve"> other appropriate personnel.</w:t>
            </w:r>
          </w:p>
          <w:p w:rsidR="00000000" w:rsidP="008F216D">
            <w:pPr>
              <w:pStyle w:val="List2"/>
              <w:rPr>
                <w:lang w:val="en-NZ"/>
              </w:rPr>
            </w:pPr>
            <w:r w:rsidRPr="008F216D">
              <w:t>1.2.</w:t>
            </w:r>
            <w:r w:rsidRPr="008F216D">
              <w:tab/>
              <w:t>Knowledge of metal composition and effects of heat and cooling is applied to selection of appropriate process and equipment.</w:t>
            </w:r>
          </w:p>
        </w:tc>
      </w:tr>
      <w:tr w:rsidTr="004A2F2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List"/>
              <w:rPr>
                <w:lang w:val="en-NZ"/>
              </w:rPr>
            </w:pPr>
            <w:r w:rsidRPr="008F216D">
              <w:t>2.</w:t>
            </w:r>
            <w:r w:rsidRPr="008F216D">
              <w:tab/>
              <w:t>Record and maintain heat treatment information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List2"/>
            </w:pPr>
            <w:r w:rsidRPr="008F216D">
              <w:t>2.1.</w:t>
            </w:r>
            <w:r w:rsidRPr="008F216D">
              <w:tab/>
            </w:r>
            <w:r w:rsidRPr="008F216D">
              <w:t>All relevant task information is recorded according to standard operating procedures.</w:t>
            </w:r>
          </w:p>
          <w:p w:rsidR="00000000" w:rsidP="008F216D">
            <w:pPr>
              <w:pStyle w:val="List2"/>
              <w:rPr>
                <w:lang w:val="en-NZ"/>
              </w:rPr>
            </w:pPr>
            <w:r w:rsidRPr="008F216D">
              <w:t>2.2.</w:t>
            </w:r>
            <w:r w:rsidRPr="008F216D">
              <w:tab/>
              <w:t>Information relating to equipment and processes is maintained as required.</w:t>
            </w:r>
          </w:p>
        </w:tc>
      </w:tr>
      <w:tr w:rsidTr="004A2F2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List"/>
              <w:rPr>
                <w:lang w:val="en-NZ"/>
              </w:rPr>
            </w:pPr>
            <w:r w:rsidRPr="008F216D">
              <w:t>3.</w:t>
            </w:r>
            <w:r w:rsidRPr="008F216D">
              <w:tab/>
              <w:t xml:space="preserve">Test material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List2"/>
            </w:pPr>
            <w:r w:rsidRPr="008F216D">
              <w:t>3.1.</w:t>
            </w:r>
            <w:r w:rsidRPr="008F216D">
              <w:tab/>
              <w:t>Material is prepared for testing as required.</w:t>
            </w:r>
          </w:p>
          <w:p w:rsidR="00000000" w:rsidRPr="008F216D" w:rsidP="008F216D">
            <w:pPr>
              <w:pStyle w:val="List2"/>
            </w:pPr>
            <w:r w:rsidRPr="008F216D">
              <w:t>3.2.</w:t>
            </w:r>
            <w:r w:rsidRPr="008F216D">
              <w:tab/>
              <w:t>Properties of m</w:t>
            </w:r>
            <w:r w:rsidRPr="008F216D">
              <w:t>aterial are tested using appropriate testing equipment as required.</w:t>
            </w:r>
          </w:p>
          <w:p w:rsidR="00000000" w:rsidRPr="008F216D" w:rsidP="008F216D">
            <w:pPr>
              <w:pStyle w:val="List2"/>
            </w:pPr>
            <w:r w:rsidRPr="008F216D">
              <w:t>3.3.</w:t>
            </w:r>
            <w:r w:rsidRPr="008F216D">
              <w:tab/>
              <w:t>Heat treatment faults are identified and reported if appropriate.</w:t>
            </w:r>
          </w:p>
          <w:p w:rsidR="00000000" w:rsidRPr="008F216D" w:rsidP="008F216D">
            <w:pPr>
              <w:pStyle w:val="List2"/>
            </w:pPr>
            <w:r w:rsidRPr="008F216D">
              <w:t>3.4.</w:t>
            </w:r>
            <w:r w:rsidRPr="008F216D">
              <w:tab/>
              <w:t>Heat treatment faults are rectified where possible.</w:t>
            </w:r>
          </w:p>
        </w:tc>
      </w:tr>
    </w:tbl>
    <w:p w:rsidR="004A2F24" w:rsidP="008F216D">
      <w:pPr>
        <w:pStyle w:val="BodyText"/>
      </w:pPr>
    </w:p>
    <w:p w:rsidR="004A2F24" w:rsidP="008F216D">
      <w:pPr>
        <w:pStyle w:val="BodyText"/>
      </w:pPr>
    </w:p>
    <w:p w:rsidR="00000000" w:rsidRPr="008F216D" w:rsidP="008F216D">
      <w:pPr>
        <w:pStyle w:val="Heading1"/>
      </w:pPr>
      <w:bookmarkStart w:id="9" w:name="O_260705"/>
      <w:bookmarkEnd w:id="9"/>
      <w:r w:rsidRPr="008F216D">
        <w:t>Required Skills and Knowledge</w:t>
      </w:r>
    </w:p>
    <w:tbl>
      <w:tblPr>
        <w:tblW w:w="0" w:type="auto"/>
        <w:tblLayout w:type="fixed"/>
        <w:tblCellMar>
          <w:left w:w="62" w:type="dxa"/>
          <w:right w:w="62" w:type="dxa"/>
        </w:tblCellMar>
        <w:tblLook w:val="0000"/>
      </w:tblPr>
      <w:tblGrid>
        <w:gridCol w:w="8522"/>
      </w:tblGrid>
      <w:tr w:rsidTr="004A2F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REQUIRED SKILLS AND KNOWLEDGE</w:t>
            </w:r>
          </w:p>
        </w:tc>
      </w:tr>
      <w:tr w:rsidTr="004A2F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This section describes the skills and knowledge required for this unit.</w:t>
            </w:r>
          </w:p>
        </w:tc>
      </w:tr>
      <w:tr w:rsidTr="004A2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Required skills</w:t>
            </w:r>
          </w:p>
        </w:tc>
      </w:tr>
      <w:tr w:rsidTr="004A2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t>Look for evidence that confirms skills in:</w:t>
            </w:r>
          </w:p>
          <w:p w:rsidR="00000000" w:rsidRPr="008F216D" w:rsidP="008F216D">
            <w:pPr>
              <w:pStyle w:val="ListBullet"/>
            </w:pPr>
            <w:r w:rsidRPr="008F216D">
              <w:t>preparing materials for testing</w:t>
            </w:r>
          </w:p>
          <w:p w:rsidR="00000000" w:rsidRPr="008F216D" w:rsidP="008F216D">
            <w:pPr>
              <w:pStyle w:val="ListBullet"/>
            </w:pPr>
            <w:r w:rsidRPr="008F216D">
              <w:t>using appropriate equipment to test materials</w:t>
            </w:r>
          </w:p>
          <w:p w:rsidR="00000000" w:rsidRPr="008F216D" w:rsidP="008F216D">
            <w:pPr>
              <w:pStyle w:val="ListBullet"/>
            </w:pPr>
            <w:r w:rsidRPr="008F216D">
              <w:t>identifying heat treatment faults</w:t>
            </w:r>
          </w:p>
          <w:p w:rsidR="00000000" w:rsidRPr="008F216D" w:rsidP="008F216D">
            <w:pPr>
              <w:pStyle w:val="ListBullet"/>
            </w:pPr>
            <w:r w:rsidRPr="008F216D">
              <w:t>rectifying heat treatment faults</w:t>
            </w:r>
          </w:p>
          <w:p w:rsidR="00000000" w:rsidRPr="008F216D" w:rsidP="008F216D">
            <w:pPr>
              <w:pStyle w:val="ListBullet"/>
            </w:pPr>
            <w:r w:rsidRPr="008F216D">
              <w:t>reading, interpreting and following information on written job instructions, specifications, standard operating procedures, reports and other a</w:t>
            </w:r>
            <w:r w:rsidRPr="008F216D">
              <w:t>pplicable reference documents</w:t>
            </w:r>
          </w:p>
          <w:p w:rsidR="00000000" w:rsidRPr="008F216D" w:rsidP="008F216D">
            <w:pPr>
              <w:pStyle w:val="ListBullet"/>
            </w:pPr>
            <w:r w:rsidRPr="008F216D">
              <w:t>entering routine and familiar information onto proformas and standard workplace forms</w:t>
            </w:r>
          </w:p>
          <w:p w:rsidR="00000000" w:rsidP="008F216D">
            <w:pPr>
              <w:pStyle w:val="ListBullet"/>
              <w:rPr>
                <w:lang w:val="en-NZ"/>
              </w:rPr>
            </w:pPr>
            <w:r w:rsidRPr="008F216D">
              <w:t>checking and clarifying task-related information</w:t>
            </w:r>
          </w:p>
        </w:tc>
      </w:tr>
      <w:tr w:rsidTr="004A2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Required knowledge</w:t>
            </w:r>
          </w:p>
        </w:tc>
      </w:tr>
      <w:tr w:rsidTr="004A2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t>Look for evidence that confirms knowledge of:</w:t>
            </w:r>
          </w:p>
          <w:p w:rsidR="00000000" w:rsidRPr="008F216D" w:rsidP="008F216D">
            <w:pPr>
              <w:pStyle w:val="ListBullet"/>
            </w:pPr>
            <w:r w:rsidRPr="008F216D">
              <w:t>material characteristic</w:t>
            </w:r>
            <w:r w:rsidRPr="008F216D">
              <w:t>s and properties</w:t>
            </w:r>
          </w:p>
          <w:p w:rsidR="00000000" w:rsidRPr="008F216D" w:rsidP="008F216D">
            <w:pPr>
              <w:pStyle w:val="ListBullet"/>
            </w:pPr>
            <w:r w:rsidRPr="008F216D">
              <w:t>heat treatment processes</w:t>
            </w:r>
          </w:p>
          <w:p w:rsidR="00000000" w:rsidRPr="008F216D" w:rsidP="008F216D">
            <w:pPr>
              <w:pStyle w:val="ListBullet"/>
            </w:pPr>
            <w:r w:rsidRPr="008F216D">
              <w:t>effect of heat on material characteristics</w:t>
            </w:r>
          </w:p>
          <w:p w:rsidR="00000000" w:rsidRPr="008F216D" w:rsidP="008F216D">
            <w:pPr>
              <w:pStyle w:val="ListBullet"/>
            </w:pPr>
            <w:r w:rsidRPr="008F216D">
              <w:t>material preparation</w:t>
            </w:r>
          </w:p>
          <w:p w:rsidR="00000000" w:rsidRPr="008F216D" w:rsidP="008F216D">
            <w:pPr>
              <w:pStyle w:val="ListBullet"/>
            </w:pPr>
            <w:r w:rsidRPr="008F216D">
              <w:t>quenching, preheating, temperature requirements for different materials and processes</w:t>
            </w:r>
          </w:p>
          <w:p w:rsidR="00000000" w:rsidRPr="008F216D" w:rsidP="008F216D">
            <w:pPr>
              <w:pStyle w:val="ListBullet"/>
            </w:pPr>
            <w:r w:rsidRPr="008F216D">
              <w:t>types of destructive and non-destructive testing</w:t>
            </w:r>
          </w:p>
          <w:p w:rsidR="00000000" w:rsidRPr="008F216D" w:rsidP="008F216D">
            <w:pPr>
              <w:pStyle w:val="ListBullet"/>
            </w:pPr>
            <w:r w:rsidRPr="008F216D">
              <w:t>heat treatment faults and corrections</w:t>
            </w:r>
          </w:p>
          <w:p w:rsidR="00000000" w:rsidRPr="008F216D" w:rsidP="008F216D">
            <w:pPr>
              <w:pStyle w:val="ListBullet"/>
            </w:pPr>
            <w:r w:rsidRPr="008F216D">
              <w:t>hazards/control measures within the scope of this unit</w:t>
            </w:r>
          </w:p>
          <w:p w:rsidR="00000000" w:rsidRPr="008F216D" w:rsidP="008F216D">
            <w:pPr>
              <w:pStyle w:val="ListBullet"/>
            </w:pPr>
            <w:r w:rsidRPr="008F216D">
              <w:t>use and application of personal protective equipment</w:t>
            </w:r>
          </w:p>
          <w:p w:rsidR="00000000" w:rsidRPr="008F216D" w:rsidP="008F216D">
            <w:pPr>
              <w:pStyle w:val="ListBullet"/>
            </w:pPr>
            <w:r w:rsidRPr="008F216D">
              <w:t>safe work practices and procedures</w:t>
            </w:r>
          </w:p>
        </w:tc>
      </w:tr>
    </w:tbl>
    <w:p w:rsidR="004A2F24" w:rsidP="008F216D">
      <w:pPr>
        <w:pStyle w:val="BodyText"/>
      </w:pPr>
    </w:p>
    <w:p w:rsidR="004A2F24" w:rsidP="008F216D">
      <w:pPr>
        <w:pStyle w:val="BodyText"/>
      </w:pPr>
    </w:p>
    <w:p w:rsidR="00000000" w:rsidRPr="008F216D" w:rsidP="008F216D">
      <w:pPr>
        <w:pStyle w:val="AllowPageBreak"/>
      </w:pPr>
    </w:p>
    <w:p w:rsidR="00000000" w:rsidRPr="008F216D" w:rsidP="008F216D">
      <w:pPr>
        <w:pStyle w:val="Heading1"/>
      </w:pPr>
      <w:bookmarkStart w:id="10" w:name="O_244739"/>
      <w:bookmarkEnd w:id="10"/>
      <w:r w:rsidRPr="008F216D">
        <w:t>Evidence Guide</w:t>
      </w:r>
    </w:p>
    <w:tbl>
      <w:tblPr>
        <w:tblW w:w="9570" w:type="dxa"/>
        <w:tblLayout w:type="fixed"/>
        <w:tblCellMar>
          <w:left w:w="62" w:type="dxa"/>
          <w:right w:w="62" w:type="dxa"/>
        </w:tblCellMar>
        <w:tblLook w:val="0000"/>
      </w:tblPr>
      <w:tblGrid>
        <w:gridCol w:w="3908"/>
        <w:gridCol w:w="5662"/>
      </w:tblGrid>
      <w:tr w:rsidTr="004A2F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EVIDENCE GUIDE</w:t>
            </w:r>
          </w:p>
        </w:tc>
      </w:tr>
      <w:tr w:rsidTr="004A2F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The evidence guide provides advice on assessment and must be read in conjunction with the performance criteria, required skills and knowledge, range statement and the Assessment Guidelines for the Training Package.</w:t>
            </w:r>
          </w:p>
        </w:tc>
      </w:tr>
      <w:tr w:rsidTr="004A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A person who demonstrates competency in this unit must be able to determine the appropriate process to achieve the desired result, maintain documentation of jobs, and test the treated material. Competency in this unit cannot be claimed until all prerequisi</w:t>
            </w:r>
            <w:r w:rsidRPr="008F216D">
              <w:t>tes have been satisfied.</w:t>
            </w:r>
          </w:p>
        </w:tc>
      </w:tr>
      <w:tr w:rsidTr="004A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Assessors must be satisfied that the candidate can competently and consistently perform all elements of the unit as specified by the crit</w:t>
            </w:r>
            <w:r w:rsidRPr="008F216D">
              <w:t>eria, including required knowledge, and be capable of applying the competency in new and different situations and contexts.</w:t>
            </w:r>
          </w:p>
        </w:tc>
      </w:tr>
      <w:tr w:rsidTr="004A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t xml:space="preserve">This unit may be assessed on the job, off the job or a combination of both on and </w:t>
            </w:r>
            <w:r w:rsidRPr="008F216D">
              <w:t>off the job. Where assessment occurs off the job, that is the candidate is not in productive work, then an appropriate simulation must be used where the range of conditions reflects realistic workplace situations. The competencies covered by this unit woul</w:t>
            </w:r>
            <w:r w:rsidRPr="008F216D">
              <w:t>d be demonstrated by an individual working alone or as part of a team. The assessment environment should not disadvantage the candidate.</w:t>
            </w:r>
          </w:p>
          <w:p w:rsidR="00000000" w:rsidP="008F216D">
            <w:pPr>
              <w:pStyle w:val="BodyText"/>
              <w:rPr>
                <w:lang w:val="en-NZ"/>
              </w:rPr>
            </w:pPr>
            <w:r w:rsidRPr="008F216D">
              <w:t>This unit could be assessed in conjunction with any other units addressing the safety, quality, communication, material</w:t>
            </w:r>
            <w:r w:rsidRPr="008F216D">
              <w:t>s handling, recording and reporting associated with selecting heat treatment processes and testing finished products or other units requiring the exercise of the skills and knowledge covered by this unit.</w:t>
            </w:r>
          </w:p>
        </w:tc>
      </w:tr>
      <w:tr w:rsidTr="004A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Assessors should gather a ran</w:t>
            </w:r>
            <w:r w:rsidRPr="008F216D">
              <w:t>ge of evidence that is valid, sufficient, current and authentic. Evidence can be gathered through a variety of ways including direct observation, supervisor's reports, project work, samples and questioning. Questioning should not require language, literacy</w:t>
            </w:r>
            <w:r w:rsidRPr="008F216D">
              <w:t xml:space="preserve"> and numeracy skills beyond those required in this unit. The candidate must have access to tools, equipment, materials and documentation required and must be permitted to refer to any relevant workplace procedures, product and manufacturing specifications,</w:t>
            </w:r>
            <w:r w:rsidRPr="008F216D">
              <w:t xml:space="preserve"> codes, standards, manuals and reference materials.</w:t>
            </w:r>
          </w:p>
        </w:tc>
      </w:tr>
      <w:tr w:rsidTr="004A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p>
        </w:tc>
      </w:tr>
    </w:tbl>
    <w:p w:rsidR="004A2F24" w:rsidP="008F216D">
      <w:pPr>
        <w:pStyle w:val="BodyText"/>
      </w:pPr>
    </w:p>
    <w:p w:rsidR="004A2F24" w:rsidP="008F216D">
      <w:pPr>
        <w:pStyle w:val="BodyText"/>
      </w:pPr>
    </w:p>
    <w:p w:rsidR="00000000" w:rsidRPr="008F216D" w:rsidP="008F216D">
      <w:pPr>
        <w:pStyle w:val="Heading1"/>
      </w:pPr>
      <w:bookmarkStart w:id="11" w:name="O_252722"/>
      <w:bookmarkEnd w:id="11"/>
      <w:r w:rsidRPr="008F216D">
        <w:t>Range Statement</w:t>
      </w:r>
    </w:p>
    <w:tbl>
      <w:tblPr>
        <w:tblW w:w="0" w:type="auto"/>
        <w:tblLayout w:type="fixed"/>
        <w:tblCellMar>
          <w:left w:w="62" w:type="dxa"/>
          <w:right w:w="62" w:type="dxa"/>
        </w:tblCellMar>
        <w:tblLook w:val="0000"/>
      </w:tblPr>
      <w:tblGrid>
        <w:gridCol w:w="3532"/>
        <w:gridCol w:w="4990"/>
      </w:tblGrid>
      <w:tr w:rsidTr="004A2F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RANGE STATEMENT</w:t>
            </w:r>
          </w:p>
        </w:tc>
      </w:tr>
      <w:tr w:rsidTr="004A2F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The range statement relates to the unit of competency as a whole. It allows for different work environments and situations that may affect performance. Bold italicised wording, if used in the performance criteria, is detailed below. Essential operating con</w:t>
            </w:r>
            <w:r w:rsidRPr="008F216D">
              <w:t>ditions that may be present with training and assessment (depending on the work situation, needs of the candidate, accessibility of the item, and local industry and regional contexts) may also be included.</w:t>
            </w:r>
          </w:p>
        </w:tc>
      </w:tr>
      <w:tr w:rsidTr="004A2F2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Heat treatment process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Coatings and packings, pr</w:t>
            </w:r>
            <w:r w:rsidRPr="008F216D">
              <w:t>eheating, soaking, quenching, tempering, annealing, normalising, carburising, sintering</w:t>
            </w:r>
          </w:p>
        </w:tc>
      </w:tr>
      <w:tr w:rsidTr="004A2F2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Metal composition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High/low carbon steel, ferrous/non-ferrous</w:t>
            </w:r>
          </w:p>
        </w:tc>
      </w:tr>
      <w:tr w:rsidTr="004A2F2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Salt baths, vacuum furnace, induction heating, kilns, gas fired furnaces etc. Equipment range does not include drop and upset machinery, vacuum furnaces or rolling and extruding mill machinery.</w:t>
            </w:r>
          </w:p>
        </w:tc>
      </w:tr>
      <w:tr w:rsidTr="004A2F2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Material</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Ferrous and non-ferrous metals</w:t>
            </w:r>
          </w:p>
        </w:tc>
      </w:tr>
      <w:tr w:rsidTr="004A2F2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Testing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t>Testing includes destructive and non-destructive methods</w:t>
            </w:r>
          </w:p>
        </w:tc>
      </w:tr>
      <w:tr w:rsidTr="004A2F2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Heat treatment faults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t>Thermal fractures, distortion, shrinkage, oxidisation, etc.</w:t>
            </w:r>
          </w:p>
        </w:tc>
      </w:tr>
    </w:tbl>
    <w:p w:rsidR="004A2F24" w:rsidP="008F216D">
      <w:pPr>
        <w:pStyle w:val="BodyText"/>
      </w:pPr>
    </w:p>
    <w:p w:rsidR="004A2F24" w:rsidP="008F216D">
      <w:pPr>
        <w:pStyle w:val="BodyText"/>
      </w:pPr>
    </w:p>
    <w:p w:rsidR="00000000" w:rsidRPr="008F216D" w:rsidP="008F216D">
      <w:pPr>
        <w:pStyle w:val="Heading1"/>
      </w:pPr>
      <w:bookmarkStart w:id="12" w:name="O_210738"/>
      <w:bookmarkEnd w:id="12"/>
      <w:r w:rsidRPr="008F216D">
        <w:t>Unit Sector(s)</w:t>
      </w:r>
    </w:p>
    <w:tbl>
      <w:tblPr>
        <w:tblW w:w="0" w:type="auto"/>
        <w:tblLayout w:type="fixed"/>
        <w:tblCellMar>
          <w:left w:w="62" w:type="dxa"/>
          <w:right w:w="62" w:type="dxa"/>
        </w:tblCellMar>
        <w:tblLook w:val="0000"/>
      </w:tblPr>
      <w:tblGrid>
        <w:gridCol w:w="2654"/>
        <w:gridCol w:w="5868"/>
      </w:tblGrid>
      <w:tr w:rsidTr="004A2F2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p>
        </w:tc>
      </w:tr>
    </w:tbl>
    <w:p w:rsidR="004A2F24" w:rsidP="008F216D">
      <w:pPr>
        <w:pStyle w:val="BodyText"/>
      </w:pPr>
    </w:p>
    <w:p w:rsidR="004A2F24" w:rsidP="008F216D">
      <w:pPr>
        <w:pStyle w:val="BodyText"/>
      </w:pPr>
    </w:p>
    <w:p w:rsidR="00000000" w:rsidRPr="008F216D" w:rsidP="008F216D">
      <w:pPr>
        <w:pStyle w:val="Heading1"/>
      </w:pPr>
      <w:bookmarkStart w:id="13" w:name="O_210735"/>
      <w:bookmarkEnd w:id="13"/>
      <w:r w:rsidRPr="008F216D">
        <w:t>Co-requisite units</w:t>
      </w:r>
    </w:p>
    <w:tbl>
      <w:tblPr>
        <w:tblW w:w="0" w:type="auto"/>
        <w:tblLayout w:type="fixed"/>
        <w:tblCellMar>
          <w:left w:w="62" w:type="dxa"/>
          <w:right w:w="62" w:type="dxa"/>
        </w:tblCellMar>
        <w:tblLook w:val="0000"/>
      </w:tblPr>
      <w:tblGrid>
        <w:gridCol w:w="2641"/>
        <w:gridCol w:w="1322"/>
        <w:gridCol w:w="4559"/>
      </w:tblGrid>
      <w:tr w:rsidTr="004A2F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p>
        </w:tc>
      </w:tr>
      <w:tr w:rsidTr="004A2F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p>
        </w:tc>
      </w:tr>
      <w:tr w:rsidTr="004A2F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p>
        </w:tc>
      </w:tr>
    </w:tbl>
    <w:p w:rsidR="004A2F24" w:rsidP="008F216D">
      <w:pPr>
        <w:pStyle w:val="BodyText"/>
      </w:pPr>
    </w:p>
    <w:p w:rsidR="004A2F24" w:rsidP="008F216D">
      <w:pPr>
        <w:pStyle w:val="BodyText"/>
      </w:pPr>
    </w:p>
    <w:p w:rsidR="00000000" w:rsidRPr="008F216D" w:rsidP="008F216D">
      <w:pPr>
        <w:pStyle w:val="Heading1"/>
      </w:pPr>
      <w:bookmarkStart w:id="14" w:name="O_210737"/>
      <w:bookmarkEnd w:id="14"/>
      <w:r w:rsidRPr="008F216D">
        <w:t>Competency field</w:t>
      </w:r>
    </w:p>
    <w:tbl>
      <w:tblPr>
        <w:tblW w:w="0" w:type="auto"/>
        <w:tblLayout w:type="fixed"/>
        <w:tblCellMar>
          <w:left w:w="62" w:type="dxa"/>
          <w:right w:w="62" w:type="dxa"/>
        </w:tblCellMar>
        <w:tblLook w:val="0000"/>
      </w:tblPr>
      <w:tblGrid>
        <w:gridCol w:w="2778"/>
        <w:gridCol w:w="5744"/>
      </w:tblGrid>
      <w:tr w:rsidTr="004A2F2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16D">
            <w:pPr>
              <w:pStyle w:val="BodyText"/>
              <w:rPr>
                <w:lang w:val="en-NZ"/>
              </w:rPr>
            </w:pPr>
            <w:r w:rsidRPr="008F216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16D" w:rsidP="008F216D">
            <w:pPr>
              <w:pStyle w:val="BodyText"/>
            </w:pPr>
            <w:r w:rsidRPr="008F216D">
              <w:t>Forging</w:t>
            </w:r>
          </w:p>
        </w:tc>
      </w:tr>
    </w:tbl>
    <w:p w:rsidR="004A2F24" w:rsidP="008F216D">
      <w:pPr>
        <w:pStyle w:val="BodyText"/>
      </w:pPr>
    </w:p>
    <w:p w:rsidR="004A2F24" w:rsidP="008F216D">
      <w:pPr>
        <w:pStyle w:val="BodyText"/>
      </w:pPr>
    </w:p>
    <w:p w:rsidR="00000000" w:rsidRPr="008F216D" w:rsidP="008F216D"/>
    <w:sectPr w:rsidSect="008F2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F24" w:rsidP="004A2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24" w:rsidP="008F2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2F24" w:rsidP="008F21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2F24" w:rsidP="008F21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F24" w:rsidP="004A2F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24" w:rsidP="008F216D">
    <w:pPr>
      <w:pStyle w:val="Header"/>
      <w:framePr w:wrap="around"/>
    </w:pPr>
    <w:r>
      <w:fldChar w:fldCharType="begin"/>
    </w:r>
    <w:r>
      <w:instrText xml:space="preserve"> TITLE   \* MERGEFORMAT </w:instrText>
    </w:r>
    <w:r>
      <w:fldChar w:fldCharType="separate"/>
    </w:r>
    <w:r>
      <w:t>MEM06004B Select heat treatment processes and test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2F24" w:rsidP="008F21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5CF1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C470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1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16D"/>
    <w:pPr>
      <w:spacing w:before="360" w:after="60"/>
      <w:outlineLvl w:val="0"/>
    </w:pPr>
    <w:rPr>
      <w:sz w:val="32"/>
    </w:rPr>
  </w:style>
  <w:style w:type="paragraph" w:styleId="Heading2">
    <w:name w:val="heading 2"/>
    <w:basedOn w:val="HeadingBase"/>
    <w:next w:val="BodyText"/>
    <w:link w:val="Heading2Char"/>
    <w:qFormat/>
    <w:rsid w:val="008F216D"/>
    <w:pPr>
      <w:keepLines/>
      <w:spacing w:before="240" w:after="120"/>
      <w:outlineLvl w:val="1"/>
    </w:pPr>
    <w:rPr>
      <w:sz w:val="28"/>
      <w:szCs w:val="40"/>
    </w:rPr>
  </w:style>
  <w:style w:type="paragraph" w:styleId="Heading3">
    <w:name w:val="heading 3"/>
    <w:basedOn w:val="HeadingBase"/>
    <w:next w:val="BodyText"/>
    <w:link w:val="Heading3Char"/>
    <w:qFormat/>
    <w:rsid w:val="008F216D"/>
    <w:pPr>
      <w:spacing w:before="180" w:after="120"/>
      <w:outlineLvl w:val="2"/>
    </w:pPr>
    <w:rPr>
      <w:spacing w:val="-10"/>
      <w:kern w:val="32"/>
    </w:rPr>
  </w:style>
  <w:style w:type="paragraph" w:styleId="Heading4">
    <w:name w:val="heading 4"/>
    <w:basedOn w:val="HeadingBase"/>
    <w:next w:val="BodyText"/>
    <w:link w:val="Heading4Char"/>
    <w:qFormat/>
    <w:rsid w:val="008F216D"/>
    <w:pPr>
      <w:spacing w:before="160" w:after="120"/>
      <w:outlineLvl w:val="3"/>
    </w:pPr>
    <w:rPr>
      <w:sz w:val="22"/>
    </w:rPr>
  </w:style>
  <w:style w:type="paragraph" w:styleId="Heading5">
    <w:name w:val="heading 5"/>
    <w:basedOn w:val="HeadingBase"/>
    <w:next w:val="Normal"/>
    <w:link w:val="Heading5Char"/>
    <w:qFormat/>
    <w:rsid w:val="008F216D"/>
    <w:pPr>
      <w:spacing w:before="80"/>
      <w:outlineLvl w:val="4"/>
    </w:pPr>
    <w:rPr>
      <w:color w:val="918585"/>
      <w:sz w:val="20"/>
    </w:rPr>
  </w:style>
  <w:style w:type="paragraph" w:styleId="Heading6">
    <w:name w:val="heading 6"/>
    <w:basedOn w:val="HeadingBase"/>
    <w:next w:val="Normal"/>
    <w:link w:val="Heading6Char"/>
    <w:qFormat/>
    <w:rsid w:val="008F216D"/>
    <w:pPr>
      <w:spacing w:before="60"/>
      <w:outlineLvl w:val="5"/>
    </w:pPr>
    <w:rPr>
      <w:color w:val="918585"/>
      <w:sz w:val="20"/>
    </w:rPr>
  </w:style>
  <w:style w:type="paragraph" w:styleId="Heading7">
    <w:name w:val="heading 7"/>
    <w:basedOn w:val="Normal"/>
    <w:next w:val="Normal"/>
    <w:link w:val="Heading7Char"/>
    <w:qFormat/>
    <w:rsid w:val="008F216D"/>
    <w:pPr>
      <w:ind w:left="720"/>
      <w:outlineLvl w:val="6"/>
    </w:pPr>
    <w:rPr>
      <w:i/>
    </w:rPr>
  </w:style>
  <w:style w:type="paragraph" w:styleId="Heading8">
    <w:name w:val="heading 8"/>
    <w:basedOn w:val="Normal"/>
    <w:next w:val="Normal"/>
    <w:link w:val="Heading8Char"/>
    <w:qFormat/>
    <w:rsid w:val="008F216D"/>
    <w:pPr>
      <w:ind w:left="720"/>
      <w:outlineLvl w:val="7"/>
    </w:pPr>
    <w:rPr>
      <w:i/>
    </w:rPr>
  </w:style>
  <w:style w:type="paragraph" w:styleId="Heading9">
    <w:name w:val="heading 9"/>
    <w:basedOn w:val="Normal"/>
    <w:next w:val="Normal"/>
    <w:link w:val="Heading9Char"/>
    <w:qFormat/>
    <w:rsid w:val="008F216D"/>
    <w:pPr>
      <w:ind w:left="720"/>
      <w:outlineLvl w:val="8"/>
    </w:pPr>
    <w:rPr>
      <w:i/>
    </w:rPr>
  </w:style>
  <w:style w:type="character" w:default="1" w:styleId="DefaultParagraphFont">
    <w:name w:val="Default Paragraph Font"/>
    <w:uiPriority w:val="1"/>
    <w:unhideWhenUsed/>
    <w:rsid w:val="008F2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16D"/>
  </w:style>
  <w:style w:type="character" w:customStyle="1" w:styleId="Heading1Char">
    <w:name w:val="Heading 1 Char"/>
    <w:basedOn w:val="DefaultParagraphFont"/>
    <w:link w:val="Heading1"/>
    <w:rsid w:val="008F216D"/>
    <w:rPr>
      <w:rFonts w:ascii="Times New Roman" w:eastAsia="Times New Roman" w:hAnsi="Times New Roman" w:cs="Times New Roman"/>
      <w:b/>
      <w:sz w:val="32"/>
      <w:szCs w:val="20"/>
      <w:lang w:eastAsia="en-US"/>
    </w:rPr>
  </w:style>
  <w:style w:type="paragraph" w:styleId="BodyText">
    <w:name w:val="Body Text"/>
    <w:basedOn w:val="Normal"/>
    <w:link w:val="BodyTextChar"/>
    <w:rsid w:val="008F21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16D"/>
    <w:rPr>
      <w:rFonts w:ascii="Times New Roman" w:eastAsia="Times New Roman" w:hAnsi="Times New Roman" w:cs="Times New Roman"/>
      <w:sz w:val="24"/>
      <w:lang w:val="en-US" w:eastAsia="en-US"/>
    </w:rPr>
  </w:style>
  <w:style w:type="paragraph" w:styleId="Footer">
    <w:name w:val="footer"/>
    <w:basedOn w:val="Normal"/>
    <w:link w:val="FooterChar"/>
    <w:rsid w:val="008F2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16D"/>
    <w:rPr>
      <w:rFonts w:ascii="Times New Roman" w:eastAsia="Times New Roman" w:hAnsi="Times New Roman" w:cs="Times New Roman"/>
      <w:sz w:val="16"/>
      <w:lang w:val="en-US" w:eastAsia="en-US"/>
    </w:rPr>
  </w:style>
  <w:style w:type="paragraph" w:styleId="List">
    <w:name w:val="List"/>
    <w:basedOn w:val="BodyText"/>
    <w:next w:val="BodyText"/>
    <w:rsid w:val="008F216D"/>
    <w:pPr>
      <w:tabs>
        <w:tab w:val="left" w:pos="340"/>
      </w:tabs>
      <w:spacing w:before="60" w:after="60"/>
      <w:ind w:left="340" w:hanging="340"/>
    </w:pPr>
  </w:style>
  <w:style w:type="paragraph" w:styleId="ListBullet">
    <w:name w:val="List Bullet"/>
    <w:basedOn w:val="List"/>
    <w:rsid w:val="008F216D"/>
    <w:pPr>
      <w:numPr>
        <w:numId w:val="12"/>
      </w:numPr>
      <w:tabs>
        <w:tab w:val="clear" w:pos="340"/>
      </w:tabs>
      <w:spacing w:before="40" w:after="40"/>
    </w:pPr>
  </w:style>
  <w:style w:type="character" w:customStyle="1" w:styleId="SpecialBold">
    <w:name w:val="Special Bold"/>
    <w:basedOn w:val="DefaultParagraphFont"/>
    <w:rsid w:val="008F216D"/>
    <w:rPr>
      <w:b/>
      <w:spacing w:val="0"/>
    </w:rPr>
  </w:style>
  <w:style w:type="paragraph" w:styleId="Header">
    <w:name w:val="header"/>
    <w:basedOn w:val="Normal"/>
    <w:link w:val="HeaderChar"/>
    <w:rsid w:val="008F2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1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216D"/>
    <w:pPr>
      <w:spacing w:before="240" w:after="120"/>
      <w:outlineLvl w:val="0"/>
    </w:pPr>
    <w:rPr>
      <w:rFonts w:ascii="Times New Roman" w:hAnsi="Times New Roman"/>
      <w:b/>
      <w:sz w:val="28"/>
    </w:rPr>
  </w:style>
  <w:style w:type="paragraph" w:customStyle="1" w:styleId="AllowPageBreak">
    <w:name w:val="AllowPageBreak"/>
    <w:rsid w:val="008F21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216D"/>
    <w:pPr>
      <w:tabs>
        <w:tab w:val="left" w:pos="680"/>
      </w:tabs>
      <w:spacing w:before="60" w:after="60"/>
      <w:ind w:left="680" w:hanging="340"/>
    </w:pPr>
  </w:style>
  <w:style w:type="character" w:customStyle="1" w:styleId="Heading2Char">
    <w:name w:val="Heading 2 Char"/>
    <w:basedOn w:val="DefaultParagraphFont"/>
    <w:link w:val="Heading2"/>
    <w:rsid w:val="008F2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1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1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16D"/>
    <w:rPr>
      <w:rFonts w:ascii="Courier New" w:eastAsia="Times New Roman" w:hAnsi="Courier New" w:cs="Times New Roman"/>
      <w:i/>
      <w:szCs w:val="20"/>
      <w:lang w:val="en-US" w:eastAsia="en-US"/>
    </w:rPr>
  </w:style>
  <w:style w:type="paragraph" w:customStyle="1" w:styleId="HeadingBase">
    <w:name w:val="Heading Base"/>
    <w:rsid w:val="008F2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16D"/>
    <w:pPr>
      <w:tabs>
        <w:tab w:val="right" w:leader="dot" w:pos="9072"/>
      </w:tabs>
      <w:ind w:left="567"/>
    </w:pPr>
    <w:rPr>
      <w:szCs w:val="22"/>
    </w:rPr>
  </w:style>
  <w:style w:type="paragraph" w:customStyle="1" w:styleId="TOCBase">
    <w:name w:val="TOC Base"/>
    <w:rsid w:val="008F2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16D"/>
    <w:pPr>
      <w:tabs>
        <w:tab w:val="right" w:leader="dot" w:pos="9072"/>
      </w:tabs>
      <w:spacing w:before="40" w:after="40"/>
      <w:ind w:left="284"/>
    </w:pPr>
    <w:rPr>
      <w:rFonts w:ascii="Times New Roman" w:hAnsi="Times New Roman"/>
    </w:rPr>
  </w:style>
  <w:style w:type="paragraph" w:styleId="TOC1">
    <w:name w:val="toc 1"/>
    <w:basedOn w:val="TOCBase"/>
    <w:next w:val="Normal"/>
    <w:rsid w:val="008F21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16D"/>
    <w:pPr>
      <w:spacing w:before="5040"/>
      <w:jc w:val="center"/>
    </w:pPr>
    <w:rPr>
      <w:sz w:val="48"/>
      <w:szCs w:val="72"/>
      <w:lang w:val="en-US"/>
    </w:rPr>
  </w:style>
  <w:style w:type="character" w:customStyle="1" w:styleId="TitleChar">
    <w:name w:val="Title Char"/>
    <w:basedOn w:val="DefaultParagraphFont"/>
    <w:link w:val="Title"/>
    <w:rsid w:val="008F2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16D"/>
    <w:pPr>
      <w:tabs>
        <w:tab w:val="left" w:pos="3600"/>
        <w:tab w:val="left" w:pos="3958"/>
      </w:tabs>
    </w:pPr>
  </w:style>
  <w:style w:type="paragraph" w:customStyle="1" w:styleId="Note">
    <w:name w:val="Note"/>
    <w:basedOn w:val="BodyText"/>
    <w:rsid w:val="008F2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16D"/>
    <w:pPr>
      <w:framePr w:wrap="auto" w:hAnchor="text" w:y="6049"/>
    </w:pPr>
    <w:rPr>
      <w:color w:val="000000"/>
      <w:sz w:val="40"/>
    </w:rPr>
  </w:style>
  <w:style w:type="paragraph" w:customStyle="1" w:styleId="TOCTitle">
    <w:name w:val="TOCTitle"/>
    <w:basedOn w:val="Heading1"/>
    <w:rsid w:val="008F216D"/>
    <w:pPr>
      <w:spacing w:after="240"/>
      <w:jc w:val="center"/>
      <w:outlineLvl w:val="9"/>
    </w:pPr>
    <w:rPr>
      <w:caps/>
    </w:rPr>
  </w:style>
  <w:style w:type="paragraph" w:customStyle="1" w:styleId="Version">
    <w:name w:val="Version"/>
    <w:rsid w:val="008F21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216D"/>
    <w:pPr>
      <w:numPr>
        <w:numId w:val="13"/>
      </w:numPr>
      <w:tabs>
        <w:tab w:val="clear" w:pos="680"/>
      </w:tabs>
    </w:pPr>
  </w:style>
  <w:style w:type="paragraph" w:styleId="Index1">
    <w:name w:val="index 1"/>
    <w:basedOn w:val="Normal"/>
    <w:next w:val="Normal"/>
    <w:semiHidden/>
    <w:rsid w:val="008F216D"/>
    <w:pPr>
      <w:keepNext w:val="0"/>
      <w:tabs>
        <w:tab w:val="right" w:pos="4176"/>
      </w:tabs>
      <w:ind w:left="198" w:hanging="198"/>
    </w:pPr>
    <w:rPr>
      <w:rFonts w:ascii="Garamond" w:hAnsi="Garamond"/>
    </w:rPr>
  </w:style>
  <w:style w:type="paragraph" w:styleId="IndexHeading">
    <w:name w:val="index heading"/>
    <w:basedOn w:val="Normal"/>
    <w:next w:val="Index1"/>
    <w:semiHidden/>
    <w:rsid w:val="008F216D"/>
    <w:pPr>
      <w:spacing w:before="120" w:after="120"/>
    </w:pPr>
    <w:rPr>
      <w:rFonts w:ascii="Arial" w:hAnsi="Arial"/>
      <w:b/>
      <w:color w:val="918585"/>
      <w:sz w:val="24"/>
    </w:rPr>
  </w:style>
  <w:style w:type="paragraph" w:customStyle="1" w:styleId="Chapter">
    <w:name w:val="Chapter"/>
    <w:basedOn w:val="Normal"/>
    <w:rsid w:val="008F216D"/>
    <w:pPr>
      <w:spacing w:before="240"/>
    </w:pPr>
    <w:rPr>
      <w:rFonts w:ascii="Times New Roman" w:hAnsi="Times New Roman"/>
      <w:smallCaps/>
      <w:spacing w:val="80"/>
      <w:sz w:val="28"/>
    </w:rPr>
  </w:style>
  <w:style w:type="paragraph" w:customStyle="1" w:styleId="InChapter">
    <w:name w:val="InChapter"/>
    <w:basedOn w:val="Heading3"/>
    <w:rsid w:val="008F216D"/>
    <w:pPr>
      <w:spacing w:after="240"/>
      <w:outlineLvl w:val="9"/>
    </w:pPr>
    <w:rPr>
      <w:noProof/>
    </w:rPr>
  </w:style>
  <w:style w:type="paragraph" w:styleId="Index2">
    <w:name w:val="index 2"/>
    <w:basedOn w:val="Normal"/>
    <w:next w:val="Normal"/>
    <w:semiHidden/>
    <w:rsid w:val="008F216D"/>
    <w:pPr>
      <w:tabs>
        <w:tab w:val="right" w:pos="4176"/>
      </w:tabs>
      <w:ind w:left="568" w:hanging="284"/>
    </w:pPr>
    <w:rPr>
      <w:rFonts w:ascii="Garamond" w:hAnsi="Garamond"/>
    </w:rPr>
  </w:style>
  <w:style w:type="paragraph" w:customStyle="1" w:styleId="Byline">
    <w:name w:val="Byline"/>
    <w:rsid w:val="008F2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16D"/>
    <w:pPr>
      <w:tabs>
        <w:tab w:val="clear" w:pos="3600"/>
        <w:tab w:val="clear" w:pos="3958"/>
      </w:tabs>
      <w:jc w:val="right"/>
    </w:pPr>
  </w:style>
  <w:style w:type="character" w:styleId="Emphasis">
    <w:name w:val="Emphasis"/>
    <w:basedOn w:val="DefaultParagraphFont"/>
    <w:qFormat/>
    <w:rsid w:val="008F216D"/>
    <w:rPr>
      <w:i/>
    </w:rPr>
  </w:style>
  <w:style w:type="paragraph" w:styleId="Caption">
    <w:name w:val="caption"/>
    <w:basedOn w:val="BodyText"/>
    <w:next w:val="Normal"/>
    <w:qFormat/>
    <w:rsid w:val="008F216D"/>
    <w:pPr>
      <w:framePr w:w="2268" w:hSpace="181" w:vSpace="181" w:wrap="around" w:vAnchor="text" w:hAnchor="page" w:x="1135" w:y="285" w:anchorLock="1"/>
    </w:pPr>
    <w:rPr>
      <w:i/>
    </w:rPr>
  </w:style>
  <w:style w:type="paragraph" w:customStyle="1" w:styleId="MiniTOCTitle">
    <w:name w:val="MiniTOCTitle"/>
    <w:basedOn w:val="Heading4"/>
    <w:rsid w:val="008F216D"/>
    <w:pPr>
      <w:spacing w:before="240"/>
      <w:outlineLvl w:val="9"/>
    </w:pPr>
    <w:rPr>
      <w:noProof/>
      <w:sz w:val="24"/>
    </w:rPr>
  </w:style>
  <w:style w:type="paragraph" w:customStyle="1" w:styleId="MiniTOCItem">
    <w:name w:val="MiniTOCItem"/>
    <w:basedOn w:val="ListBullet"/>
    <w:rsid w:val="008F216D"/>
    <w:pPr>
      <w:numPr>
        <w:numId w:val="0"/>
      </w:numPr>
      <w:tabs>
        <w:tab w:val="right" w:leader="dot" w:pos="6521"/>
      </w:tabs>
      <w:spacing w:before="0" w:after="0"/>
    </w:pPr>
  </w:style>
  <w:style w:type="paragraph" w:customStyle="1" w:styleId="TOFTitle">
    <w:name w:val="TOFTitle"/>
    <w:basedOn w:val="TOCTitle"/>
    <w:rsid w:val="008F216D"/>
  </w:style>
  <w:style w:type="paragraph" w:styleId="TableofFigures">
    <w:name w:val="table of figures"/>
    <w:basedOn w:val="Normal"/>
    <w:next w:val="Normal"/>
    <w:semiHidden/>
    <w:rsid w:val="008F216D"/>
    <w:pPr>
      <w:tabs>
        <w:tab w:val="right" w:leader="dot" w:pos="9072"/>
      </w:tabs>
      <w:ind w:left="970" w:hanging="403"/>
    </w:pPr>
    <w:rPr>
      <w:rFonts w:ascii="Times New Roman" w:hAnsi="Times New Roman"/>
      <w:b/>
    </w:rPr>
  </w:style>
  <w:style w:type="paragraph" w:styleId="ListNumber">
    <w:name w:val="List Number"/>
    <w:basedOn w:val="List"/>
    <w:rsid w:val="008F216D"/>
    <w:pPr>
      <w:numPr>
        <w:numId w:val="10"/>
      </w:numPr>
    </w:pPr>
  </w:style>
  <w:style w:type="character" w:customStyle="1" w:styleId="WingdingSymbols">
    <w:name w:val="Wingding Symbols"/>
    <w:rsid w:val="008F216D"/>
    <w:rPr>
      <w:rFonts w:ascii="Wingdings" w:hAnsi="Wingdings"/>
    </w:rPr>
  </w:style>
  <w:style w:type="paragraph" w:customStyle="1" w:styleId="TableHeading">
    <w:name w:val="Table Heading"/>
    <w:basedOn w:val="HeadingBase"/>
    <w:rsid w:val="008F216D"/>
    <w:pPr>
      <w:keepLines/>
      <w:pBdr>
        <w:bottom w:val="single" w:sz="6" w:space="1" w:color="918585"/>
      </w:pBdr>
      <w:spacing w:before="240"/>
    </w:pPr>
  </w:style>
  <w:style w:type="character" w:customStyle="1" w:styleId="HotSpot">
    <w:name w:val="HotSpot"/>
    <w:rsid w:val="008F216D"/>
    <w:rPr>
      <w:color w:val="0033CC"/>
      <w:u w:val="none"/>
    </w:rPr>
  </w:style>
  <w:style w:type="paragraph" w:customStyle="1" w:styleId="BodyTextRight">
    <w:name w:val="Body Text Right"/>
    <w:basedOn w:val="BodyText"/>
    <w:rsid w:val="008F216D"/>
    <w:pPr>
      <w:spacing w:before="0" w:after="0"/>
      <w:jc w:val="right"/>
    </w:pPr>
  </w:style>
  <w:style w:type="paragraph" w:styleId="Index3">
    <w:name w:val="index 3"/>
    <w:basedOn w:val="ListNumber2"/>
    <w:next w:val="Normal"/>
    <w:semiHidden/>
    <w:rsid w:val="008F216D"/>
    <w:pPr>
      <w:numPr>
        <w:numId w:val="0"/>
      </w:numPr>
      <w:tabs>
        <w:tab w:val="right" w:leader="dot" w:pos="4176"/>
      </w:tabs>
    </w:pPr>
  </w:style>
  <w:style w:type="paragraph" w:styleId="ListNumber2">
    <w:name w:val="List Number 2"/>
    <w:basedOn w:val="List2"/>
    <w:rsid w:val="008F216D"/>
    <w:pPr>
      <w:numPr>
        <w:numId w:val="9"/>
      </w:numPr>
      <w:tabs>
        <w:tab w:val="clear" w:pos="1060"/>
      </w:tabs>
    </w:pPr>
  </w:style>
  <w:style w:type="paragraph" w:customStyle="1" w:styleId="MarginNote">
    <w:name w:val="Margin Note"/>
    <w:basedOn w:val="BodyText"/>
    <w:rsid w:val="008F2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1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16D"/>
    <w:rPr>
      <w:sz w:val="32"/>
    </w:rPr>
  </w:style>
  <w:style w:type="paragraph" w:customStyle="1" w:styleId="HeadingProcedure">
    <w:name w:val="Heading Procedure"/>
    <w:basedOn w:val="HeadingBase"/>
    <w:next w:val="Normal"/>
    <w:rsid w:val="008F216D"/>
    <w:pPr>
      <w:tabs>
        <w:tab w:val="left" w:pos="0"/>
      </w:tabs>
      <w:spacing w:before="120" w:after="60"/>
    </w:pPr>
    <w:rPr>
      <w:i/>
      <w:color w:val="918585"/>
      <w:sz w:val="22"/>
    </w:rPr>
  </w:style>
  <w:style w:type="paragraph" w:customStyle="1" w:styleId="TableBodyText">
    <w:name w:val="Table Body Text"/>
    <w:basedOn w:val="BodyText"/>
    <w:rsid w:val="008F216D"/>
    <w:pPr>
      <w:spacing w:before="60" w:after="60"/>
    </w:pPr>
  </w:style>
  <w:style w:type="paragraph" w:styleId="ListContinue">
    <w:name w:val="List Continue"/>
    <w:basedOn w:val="List"/>
    <w:rsid w:val="008F216D"/>
    <w:pPr>
      <w:ind w:firstLine="0"/>
    </w:pPr>
  </w:style>
  <w:style w:type="paragraph" w:customStyle="1" w:styleId="ListNote">
    <w:name w:val="List Note"/>
    <w:basedOn w:val="List"/>
    <w:rsid w:val="008F216D"/>
    <w:pPr>
      <w:pBdr>
        <w:top w:val="single" w:sz="6" w:space="2" w:color="918585"/>
        <w:bottom w:val="single" w:sz="6" w:space="2" w:color="918585"/>
      </w:pBdr>
      <w:tabs>
        <w:tab w:val="left" w:pos="1021"/>
      </w:tabs>
      <w:ind w:firstLine="0"/>
    </w:pPr>
  </w:style>
  <w:style w:type="paragraph" w:customStyle="1" w:styleId="Warning">
    <w:name w:val="Warning"/>
    <w:basedOn w:val="BodyText"/>
    <w:rsid w:val="008F216D"/>
    <w:pPr>
      <w:shd w:val="clear" w:color="auto" w:fill="D9D9D9"/>
      <w:tabs>
        <w:tab w:val="left" w:pos="992"/>
      </w:tabs>
      <w:ind w:left="119" w:right="119"/>
    </w:pPr>
    <w:rPr>
      <w:sz w:val="20"/>
    </w:rPr>
  </w:style>
  <w:style w:type="paragraph" w:customStyle="1" w:styleId="MarginIcons">
    <w:name w:val="Margin Icons"/>
    <w:basedOn w:val="BodyText"/>
    <w:rsid w:val="008F2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16D"/>
    <w:rPr>
      <w:rFonts w:ascii="Courier New" w:hAnsi="Courier New"/>
    </w:rPr>
  </w:style>
  <w:style w:type="paragraph" w:customStyle="1" w:styleId="NoteBullet">
    <w:name w:val="Note Bullet"/>
    <w:basedOn w:val="Note"/>
    <w:rsid w:val="008F216D"/>
    <w:pPr>
      <w:tabs>
        <w:tab w:val="clear" w:pos="680"/>
      </w:tabs>
      <w:spacing w:before="60" w:after="60"/>
    </w:pPr>
  </w:style>
  <w:style w:type="paragraph" w:customStyle="1" w:styleId="SubHeading2">
    <w:name w:val="SubHeading2"/>
    <w:basedOn w:val="HeadingBase"/>
    <w:rsid w:val="008F216D"/>
    <w:pPr>
      <w:spacing w:before="240" w:after="60"/>
    </w:pPr>
    <w:rPr>
      <w:sz w:val="20"/>
    </w:rPr>
  </w:style>
  <w:style w:type="paragraph" w:customStyle="1" w:styleId="SubHeading1">
    <w:name w:val="SubHeading1"/>
    <w:basedOn w:val="HeadingBase"/>
    <w:rsid w:val="008F216D"/>
    <w:pPr>
      <w:spacing w:before="240" w:after="60"/>
    </w:pPr>
    <w:rPr>
      <w:color w:val="918585"/>
      <w:sz w:val="22"/>
    </w:rPr>
  </w:style>
  <w:style w:type="paragraph" w:customStyle="1" w:styleId="SideHeading">
    <w:name w:val="Side Heading"/>
    <w:basedOn w:val="HeadingBase"/>
    <w:rsid w:val="008F2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16D"/>
    <w:pPr>
      <w:tabs>
        <w:tab w:val="num" w:pos="360"/>
      </w:tabs>
    </w:pPr>
  </w:style>
  <w:style w:type="paragraph" w:styleId="PlainText">
    <w:name w:val="Plain Text"/>
    <w:basedOn w:val="Normal"/>
    <w:link w:val="PlainTextChar"/>
    <w:rsid w:val="008F216D"/>
    <w:rPr>
      <w:sz w:val="20"/>
    </w:rPr>
  </w:style>
  <w:style w:type="character" w:customStyle="1" w:styleId="PlainTextChar">
    <w:name w:val="Plain Text Char"/>
    <w:basedOn w:val="DefaultParagraphFont"/>
    <w:link w:val="PlainText"/>
    <w:rsid w:val="008F21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16D"/>
    <w:rPr>
      <w:b/>
      <w:smallCaps/>
    </w:rPr>
  </w:style>
  <w:style w:type="paragraph" w:customStyle="1" w:styleId="TableListNumber">
    <w:name w:val="Table List Number"/>
    <w:basedOn w:val="ListNumber"/>
    <w:rsid w:val="008F216D"/>
    <w:pPr>
      <w:numPr>
        <w:numId w:val="0"/>
      </w:numPr>
    </w:pPr>
  </w:style>
  <w:style w:type="paragraph" w:styleId="TOC4">
    <w:name w:val="toc 4"/>
    <w:basedOn w:val="TOCBase"/>
    <w:next w:val="Normal"/>
    <w:semiHidden/>
    <w:rsid w:val="008F216D"/>
    <w:pPr>
      <w:tabs>
        <w:tab w:val="right" w:leader="dot" w:pos="9071"/>
      </w:tabs>
      <w:ind w:left="1701"/>
    </w:pPr>
  </w:style>
  <w:style w:type="paragraph" w:customStyle="1" w:styleId="ListAlpha">
    <w:name w:val="List Alpha"/>
    <w:basedOn w:val="List"/>
    <w:rsid w:val="008F216D"/>
    <w:pPr>
      <w:numPr>
        <w:numId w:val="8"/>
      </w:numPr>
    </w:pPr>
  </w:style>
  <w:style w:type="paragraph" w:customStyle="1" w:styleId="ListAlpha2">
    <w:name w:val="List Alpha 2"/>
    <w:basedOn w:val="List2"/>
    <w:rsid w:val="008F216D"/>
    <w:pPr>
      <w:numPr>
        <w:numId w:val="7"/>
      </w:numPr>
    </w:pPr>
  </w:style>
  <w:style w:type="paragraph" w:styleId="List3">
    <w:name w:val="List 3"/>
    <w:basedOn w:val="BodyText"/>
    <w:rsid w:val="008F216D"/>
    <w:pPr>
      <w:tabs>
        <w:tab w:val="left" w:pos="1021"/>
      </w:tabs>
      <w:spacing w:before="60" w:after="60"/>
      <w:ind w:left="1020" w:hanging="340"/>
    </w:pPr>
  </w:style>
  <w:style w:type="paragraph" w:styleId="List4">
    <w:name w:val="List 4"/>
    <w:basedOn w:val="BodyText"/>
    <w:rsid w:val="008F216D"/>
    <w:pPr>
      <w:tabs>
        <w:tab w:val="left" w:pos="1361"/>
      </w:tabs>
      <w:spacing w:before="60" w:after="60"/>
      <w:ind w:left="1361" w:hanging="340"/>
    </w:pPr>
  </w:style>
  <w:style w:type="paragraph" w:styleId="List5">
    <w:name w:val="List 5"/>
    <w:basedOn w:val="BodyText"/>
    <w:rsid w:val="008F216D"/>
    <w:pPr>
      <w:tabs>
        <w:tab w:val="left" w:pos="1701"/>
      </w:tabs>
      <w:spacing w:before="60" w:after="60"/>
      <w:ind w:left="1701" w:hanging="340"/>
    </w:pPr>
  </w:style>
  <w:style w:type="paragraph" w:styleId="ListBullet3">
    <w:name w:val="List Bullet 3"/>
    <w:basedOn w:val="List3"/>
    <w:rsid w:val="008F216D"/>
    <w:pPr>
      <w:numPr>
        <w:numId w:val="14"/>
      </w:numPr>
      <w:tabs>
        <w:tab w:val="clear" w:pos="1021"/>
      </w:tabs>
      <w:ind w:left="1037" w:hanging="357"/>
    </w:pPr>
  </w:style>
  <w:style w:type="paragraph" w:styleId="ListBullet4">
    <w:name w:val="List Bullet 4"/>
    <w:basedOn w:val="List4"/>
    <w:rsid w:val="008F216D"/>
    <w:pPr>
      <w:numPr>
        <w:numId w:val="2"/>
      </w:numPr>
    </w:pPr>
  </w:style>
  <w:style w:type="paragraph" w:styleId="ListBullet5">
    <w:name w:val="List Bullet 5"/>
    <w:basedOn w:val="List5"/>
    <w:rsid w:val="008F216D"/>
    <w:pPr>
      <w:numPr>
        <w:numId w:val="3"/>
      </w:numPr>
    </w:pPr>
  </w:style>
  <w:style w:type="paragraph" w:styleId="ListContinue2">
    <w:name w:val="List Continue 2"/>
    <w:basedOn w:val="List2"/>
    <w:rsid w:val="008F216D"/>
    <w:pPr>
      <w:ind w:firstLine="0"/>
    </w:pPr>
  </w:style>
  <w:style w:type="paragraph" w:styleId="ListContinue3">
    <w:name w:val="List Continue 3"/>
    <w:basedOn w:val="List3"/>
    <w:rsid w:val="008F216D"/>
    <w:pPr>
      <w:ind w:left="1021" w:firstLine="0"/>
    </w:pPr>
  </w:style>
  <w:style w:type="paragraph" w:styleId="ListContinue4">
    <w:name w:val="List Continue 4"/>
    <w:basedOn w:val="List4"/>
    <w:rsid w:val="008F216D"/>
    <w:pPr>
      <w:ind w:firstLine="0"/>
    </w:pPr>
  </w:style>
  <w:style w:type="paragraph" w:styleId="ListContinue5">
    <w:name w:val="List Continue 5"/>
    <w:basedOn w:val="List5"/>
    <w:rsid w:val="008F216D"/>
    <w:pPr>
      <w:ind w:firstLine="0"/>
    </w:pPr>
  </w:style>
  <w:style w:type="paragraph" w:styleId="ListNumber3">
    <w:name w:val="List Number 3"/>
    <w:basedOn w:val="List3"/>
    <w:rsid w:val="008F216D"/>
    <w:pPr>
      <w:numPr>
        <w:numId w:val="4"/>
      </w:numPr>
    </w:pPr>
  </w:style>
  <w:style w:type="paragraph" w:styleId="ListNumber4">
    <w:name w:val="List Number 4"/>
    <w:basedOn w:val="List4"/>
    <w:rsid w:val="008F216D"/>
    <w:pPr>
      <w:numPr>
        <w:numId w:val="5"/>
      </w:numPr>
    </w:pPr>
  </w:style>
  <w:style w:type="paragraph" w:styleId="ListNumber5">
    <w:name w:val="List Number 5"/>
    <w:basedOn w:val="List5"/>
    <w:rsid w:val="008F216D"/>
    <w:pPr>
      <w:numPr>
        <w:numId w:val="6"/>
      </w:numPr>
    </w:pPr>
  </w:style>
  <w:style w:type="paragraph" w:styleId="BlockText">
    <w:name w:val="Block Text"/>
    <w:basedOn w:val="Normal"/>
    <w:rsid w:val="008F216D"/>
    <w:pPr>
      <w:spacing w:after="120"/>
      <w:ind w:left="1440" w:right="1440"/>
    </w:pPr>
  </w:style>
  <w:style w:type="character" w:customStyle="1" w:styleId="Subscript">
    <w:name w:val="Subscript"/>
    <w:basedOn w:val="DefaultParagraphFont"/>
    <w:rsid w:val="008F216D"/>
    <w:rPr>
      <w:sz w:val="16"/>
      <w:vertAlign w:val="subscript"/>
    </w:rPr>
  </w:style>
  <w:style w:type="character" w:customStyle="1" w:styleId="Superscript">
    <w:name w:val="Superscript"/>
    <w:basedOn w:val="DefaultParagraphFont"/>
    <w:rsid w:val="008F216D"/>
    <w:rPr>
      <w:sz w:val="16"/>
      <w:vertAlign w:val="superscript"/>
    </w:rPr>
  </w:style>
  <w:style w:type="character" w:customStyle="1" w:styleId="Symbols">
    <w:name w:val="Symbols"/>
    <w:basedOn w:val="DefaultParagraphFont"/>
    <w:rsid w:val="008F216D"/>
    <w:rPr>
      <w:rFonts w:ascii="Symbol" w:hAnsi="Symbol"/>
    </w:rPr>
  </w:style>
  <w:style w:type="character" w:customStyle="1" w:styleId="MenuOptions">
    <w:name w:val="Menu Options"/>
    <w:basedOn w:val="DefaultParagraphFont"/>
    <w:rsid w:val="008F216D"/>
    <w:rPr>
      <w:rFonts w:ascii="Arial Narrow" w:hAnsi="Arial Narrow"/>
      <w:smallCaps/>
    </w:rPr>
  </w:style>
  <w:style w:type="character" w:customStyle="1" w:styleId="Buttons">
    <w:name w:val="Buttons"/>
    <w:basedOn w:val="DefaultParagraphFont"/>
    <w:rsid w:val="008F216D"/>
    <w:rPr>
      <w:b/>
    </w:rPr>
  </w:style>
  <w:style w:type="character" w:customStyle="1" w:styleId="Underlined">
    <w:name w:val="Underlined"/>
    <w:basedOn w:val="DefaultParagraphFont"/>
    <w:rsid w:val="008F216D"/>
    <w:rPr>
      <w:u w:val="single"/>
    </w:rPr>
  </w:style>
  <w:style w:type="paragraph" w:customStyle="1" w:styleId="TableBodyTextRight">
    <w:name w:val="Table Body Text Right"/>
    <w:basedOn w:val="TableBodyText"/>
    <w:rsid w:val="008F216D"/>
    <w:pPr>
      <w:widowControl w:val="0"/>
      <w:autoSpaceDE w:val="0"/>
      <w:autoSpaceDN w:val="0"/>
      <w:adjustRightInd w:val="0"/>
      <w:jc w:val="right"/>
    </w:pPr>
    <w:rPr>
      <w:rFonts w:cs="Arial"/>
      <w:szCs w:val="18"/>
    </w:rPr>
  </w:style>
  <w:style w:type="paragraph" w:customStyle="1" w:styleId="CopyrightText">
    <w:name w:val="Copyright Text"/>
    <w:basedOn w:val="BodyText"/>
    <w:rsid w:val="008F216D"/>
    <w:rPr>
      <w:sz w:val="18"/>
    </w:rPr>
  </w:style>
  <w:style w:type="paragraph" w:customStyle="1" w:styleId="BodySmallRight">
    <w:name w:val="Body Small Right"/>
    <w:basedOn w:val="BodyTextRight"/>
    <w:rsid w:val="008F216D"/>
    <w:rPr>
      <w:sz w:val="18"/>
      <w:szCs w:val="18"/>
    </w:rPr>
  </w:style>
  <w:style w:type="paragraph" w:customStyle="1" w:styleId="MarginEdition">
    <w:name w:val="Margin Edition"/>
    <w:basedOn w:val="MarginNote"/>
    <w:rsid w:val="008F216D"/>
    <w:pPr>
      <w:spacing w:before="0" w:after="0"/>
    </w:pPr>
    <w:rPr>
      <w:rFonts w:ascii="Times New Roman" w:hAnsi="Times New Roman"/>
      <w:color w:val="999999"/>
    </w:rPr>
  </w:style>
  <w:style w:type="paragraph" w:customStyle="1" w:styleId="Spacer">
    <w:name w:val="Spacer"/>
    <w:basedOn w:val="Normal"/>
    <w:rsid w:val="008F216D"/>
    <w:rPr>
      <w:sz w:val="2"/>
      <w:szCs w:val="2"/>
    </w:rPr>
  </w:style>
  <w:style w:type="character" w:customStyle="1" w:styleId="Small">
    <w:name w:val="Small"/>
    <w:basedOn w:val="DefaultParagraphFont"/>
    <w:rsid w:val="008F216D"/>
    <w:rPr>
      <w:sz w:val="16"/>
    </w:rPr>
  </w:style>
  <w:style w:type="paragraph" w:customStyle="1" w:styleId="WideTable">
    <w:name w:val="Wide Table"/>
    <w:basedOn w:val="Normal"/>
    <w:rsid w:val="008F216D"/>
    <w:pPr>
      <w:ind w:left="-1418"/>
    </w:pPr>
    <w:rPr>
      <w:sz w:val="2"/>
      <w:szCs w:val="2"/>
    </w:rPr>
  </w:style>
  <w:style w:type="character" w:styleId="PageNumber">
    <w:name w:val="page number"/>
    <w:basedOn w:val="DefaultParagraphFont"/>
    <w:rsid w:val="008F216D"/>
  </w:style>
  <w:style w:type="paragraph" w:styleId="Quote">
    <w:name w:val="Quote"/>
    <w:basedOn w:val="Heading1"/>
    <w:link w:val="QuoteChar"/>
    <w:qFormat/>
    <w:rsid w:val="008F216D"/>
    <w:rPr>
      <w:b w:val="0"/>
      <w:sz w:val="72"/>
      <w:szCs w:val="72"/>
      <w:lang w:val="en-NZ"/>
    </w:rPr>
  </w:style>
  <w:style w:type="character" w:customStyle="1" w:styleId="QuoteChar">
    <w:name w:val="Quote Char"/>
    <w:basedOn w:val="DefaultParagraphFont"/>
    <w:link w:val="Quote"/>
    <w:rsid w:val="008F2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16D"/>
    <w:pPr>
      <w:pageBreakBefore/>
    </w:pPr>
  </w:style>
  <w:style w:type="paragraph" w:customStyle="1" w:styleId="Border">
    <w:name w:val="Border"/>
    <w:basedOn w:val="Normal"/>
    <w:qFormat/>
    <w:rsid w:val="008F2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16D"/>
    <w:rPr>
      <w:b/>
      <w:bCs/>
      <w:i/>
      <w:iCs/>
      <w:color w:val="auto"/>
    </w:rPr>
  </w:style>
  <w:style w:type="paragraph" w:styleId="IntenseQuote">
    <w:name w:val="Intense Quote"/>
    <w:basedOn w:val="Normal"/>
    <w:next w:val="Normal"/>
    <w:link w:val="IntenseQuoteChar"/>
    <w:uiPriority w:val="30"/>
    <w:qFormat/>
    <w:rsid w:val="008F2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1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16D"/>
    <w:rPr>
      <w:smallCaps/>
      <w:color w:val="auto"/>
      <w:u w:val="single"/>
    </w:rPr>
  </w:style>
  <w:style w:type="character" w:styleId="IntenseReference">
    <w:name w:val="Intense Reference"/>
    <w:basedOn w:val="DefaultParagraphFont"/>
    <w:uiPriority w:val="32"/>
    <w:qFormat/>
    <w:rsid w:val="008F216D"/>
    <w:rPr>
      <w:b/>
      <w:bCs/>
      <w:smallCaps/>
      <w:color w:val="auto"/>
      <w:spacing w:val="5"/>
      <w:u w:val="single"/>
    </w:rPr>
  </w:style>
  <w:style w:type="paragraph" w:customStyle="1" w:styleId="2ColumnHeading">
    <w:name w:val="2Column Heading"/>
    <w:basedOn w:val="BodyText"/>
    <w:qFormat/>
    <w:rsid w:val="008F216D"/>
    <w:pPr>
      <w:spacing w:after="60"/>
      <w:ind w:left="-2268"/>
    </w:pPr>
    <w:rPr>
      <w:b/>
    </w:rPr>
  </w:style>
  <w:style w:type="paragraph" w:customStyle="1" w:styleId="Heading1TOC">
    <w:name w:val="Heading1 TOC"/>
    <w:basedOn w:val="Normal"/>
    <w:qFormat/>
    <w:rsid w:val="008F216D"/>
    <w:pPr>
      <w:spacing w:before="240" w:after="120"/>
    </w:pPr>
    <w:rPr>
      <w:rFonts w:ascii="Times New Roman" w:hAnsi="Times New Roman"/>
      <w:b/>
      <w:sz w:val="32"/>
    </w:rPr>
  </w:style>
  <w:style w:type="paragraph" w:customStyle="1" w:styleId="Heading2TOC">
    <w:name w:val="Heading2 TOC"/>
    <w:basedOn w:val="Normal"/>
    <w:qFormat/>
    <w:rsid w:val="008F216D"/>
    <w:pPr>
      <w:spacing w:before="240" w:after="60"/>
    </w:pPr>
    <w:rPr>
      <w:rFonts w:ascii="Times New Roman" w:hAnsi="Times New Roman"/>
      <w:b/>
      <w:sz w:val="28"/>
    </w:rPr>
  </w:style>
  <w:style w:type="character" w:customStyle="1" w:styleId="Underline">
    <w:name w:val="Underline"/>
    <w:basedOn w:val="DefaultParagraphFont"/>
    <w:qFormat/>
    <w:rsid w:val="008F216D"/>
    <w:rPr>
      <w:u w:val="single"/>
    </w:rPr>
  </w:style>
  <w:style w:type="character" w:customStyle="1" w:styleId="BoldandItalics">
    <w:name w:val="Bold and Italics"/>
    <w:qFormat/>
    <w:rsid w:val="008F216D"/>
    <w:rPr>
      <w:b/>
      <w:i/>
      <w:u w:val="none"/>
    </w:rPr>
  </w:style>
  <w:style w:type="paragraph" w:styleId="BalloonText">
    <w:name w:val="Balloon Text"/>
    <w:basedOn w:val="Normal"/>
    <w:link w:val="BalloonTextChar"/>
    <w:rsid w:val="008F216D"/>
    <w:rPr>
      <w:rFonts w:ascii="Tahoma" w:hAnsi="Tahoma" w:cs="Tahoma"/>
      <w:sz w:val="16"/>
      <w:szCs w:val="16"/>
    </w:rPr>
  </w:style>
  <w:style w:type="character" w:customStyle="1" w:styleId="BalloonTextChar">
    <w:name w:val="Balloon Text Char"/>
    <w:basedOn w:val="DefaultParagraphFont"/>
    <w:link w:val="BalloonText"/>
    <w:rsid w:val="008F21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1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1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961</Words>
  <Characters>6028</Characters>
  <Application>Microsoft Office Word</Application>
  <DocSecurity>0</DocSecurity>
  <Lines>221</Lines>
  <Paragraphs>99</Paragraphs>
  <ScaleCrop>false</ScaleCrop>
  <Company>Author-it Software Corporation Ltd.</Company>
  <LinksUpToDate>false</LinksUpToDate>
  <CharactersWithSpaces>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MEM06004B Select heat treatment processes and test finished product</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2012-05-27T01:33:00Z</dcterms:created>
  <dcterms:modified xsi:type="dcterms:W3CDTF">2012-05-27T01:33:00Z</dcterms:modified>
</cp:coreProperties>
</file>