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1723" w:rsidP="00FE1723">
      <w:pPr>
        <w:pStyle w:val="Title"/>
      </w:pPr>
      <w:r>
        <w:fldChar w:fldCharType="begin"/>
      </w:r>
      <w:r>
        <w:instrText xml:space="preserve"> TITLE   \* MERGEFORMAT </w:instrText>
      </w:r>
      <w:r>
        <w:fldChar w:fldCharType="separate"/>
      </w:r>
      <w:r>
        <w:t>MEM06003C Carry out heat treatment</w:t>
      </w:r>
      <w:r>
        <w:fldChar w:fldCharType="end"/>
      </w:r>
    </w:p>
    <w:p w:rsidR="00FE1723" w:rsidP="00FE1723">
      <w:pPr>
        <w:pStyle w:val="Version"/>
        <w:sectPr w:rsidSect="004A39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914" w:rsidP="004A3914">
      <w:pPr>
        <w:pStyle w:val="SuperHeading"/>
      </w:pPr>
      <w:r w:rsidRPr="004A3914">
        <w:t>MEM06003C Carry out heat treatment</w:t>
      </w:r>
    </w:p>
    <w:p w:rsidR="00000000" w:rsidRPr="004A3914" w:rsidP="004A3914">
      <w:pPr>
        <w:pStyle w:val="Heading1"/>
      </w:pPr>
      <w:bookmarkStart w:id="1" w:name="O_272041"/>
      <w:bookmarkEnd w:id="1"/>
      <w:r w:rsidRPr="004A3914">
        <w:t>Modification History</w:t>
      </w:r>
    </w:p>
    <w:p w:rsidR="00000000" w:rsidRPr="004A3914" w:rsidP="004A3914">
      <w:pPr>
        <w:pStyle w:val="BodyText"/>
      </w:pPr>
      <w:r w:rsidRPr="004A3914">
        <w:t>Not Applicable</w:t>
      </w:r>
    </w:p>
    <w:p w:rsidR="00000000" w:rsidRPr="004A3914" w:rsidP="004A3914">
      <w:pPr>
        <w:pStyle w:val="AllowPageBreak"/>
      </w:pPr>
    </w:p>
    <w:p w:rsidR="00000000" w:rsidRPr="004A3914" w:rsidP="004A3914">
      <w:pPr>
        <w:pStyle w:val="Heading1"/>
      </w:pPr>
      <w:bookmarkStart w:id="2" w:name="O_210725"/>
      <w:bookmarkEnd w:id="2"/>
      <w:r w:rsidRPr="004A3914">
        <w:t>Unit Descriptor</w:t>
      </w:r>
    </w:p>
    <w:tbl>
      <w:tblPr>
        <w:tblW w:w="0" w:type="auto"/>
        <w:tblLayout w:type="fixed"/>
        <w:tblCellMar>
          <w:left w:w="62" w:type="dxa"/>
          <w:right w:w="62" w:type="dxa"/>
        </w:tblCellMar>
        <w:tblLook w:val="0000"/>
      </w:tblPr>
      <w:tblGrid>
        <w:gridCol w:w="2673"/>
        <w:gridCol w:w="5849"/>
      </w:tblGrid>
      <w:tr w:rsidTr="00FE172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This unit covers carrying out heat treatment of materials using a variety of equipment.</w:t>
            </w:r>
          </w:p>
        </w:tc>
      </w:tr>
    </w:tbl>
    <w:p w:rsidR="00FE1723" w:rsidP="004A3914">
      <w:pPr>
        <w:pStyle w:val="BodyText"/>
      </w:pPr>
    </w:p>
    <w:p w:rsidR="00FE1723" w:rsidP="004A3914">
      <w:pPr>
        <w:pStyle w:val="BodyText"/>
      </w:pPr>
    </w:p>
    <w:p w:rsidR="00000000" w:rsidRPr="004A3914" w:rsidP="004A3914">
      <w:pPr>
        <w:pStyle w:val="Heading1"/>
      </w:pPr>
      <w:bookmarkStart w:id="3" w:name="O_210729"/>
      <w:bookmarkEnd w:id="3"/>
      <w:r w:rsidRPr="004A3914">
        <w:t>Application of the Unit</w:t>
      </w:r>
    </w:p>
    <w:tbl>
      <w:tblPr>
        <w:tblW w:w="0" w:type="auto"/>
        <w:tblLayout w:type="fixed"/>
        <w:tblCellMar>
          <w:left w:w="62" w:type="dxa"/>
          <w:right w:w="62" w:type="dxa"/>
        </w:tblCellMar>
        <w:tblLook w:val="0000"/>
      </w:tblPr>
      <w:tblGrid>
        <w:gridCol w:w="2745"/>
        <w:gridCol w:w="5777"/>
      </w:tblGrid>
      <w:tr w:rsidTr="00FE172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 xml:space="preserve">This unit applies to the heat treatment of ferrous and non-ferrous metals using a variety of equipment. </w:t>
            </w:r>
          </w:p>
          <w:p w:rsidR="00000000" w:rsidRPr="004A3914" w:rsidP="004A3914">
            <w:pPr>
              <w:pStyle w:val="BodyText"/>
            </w:pPr>
            <w:r w:rsidRPr="004A3914">
              <w:t>Examples of applications include cast metal products, machine tooling, and forged and machined componen</w:t>
            </w:r>
            <w:r w:rsidRPr="004A3914">
              <w:t>ts.</w:t>
            </w:r>
          </w:p>
          <w:p w:rsidR="00000000" w:rsidRPr="004A3914" w:rsidP="004A3914">
            <w:pPr>
              <w:pStyle w:val="BodyText"/>
            </w:pPr>
            <w:r w:rsidRPr="004A3914">
              <w:t>Simple heat treatment applications like annealing and/or heat/quench processes undertaken as incidental to trade work (e.g. toolmaking) are covered by Unit MEM06007B (Perform basic incidental heat/quenching, tempering and annealing).</w:t>
            </w:r>
          </w:p>
          <w:p w:rsidR="00000000" w:rsidRPr="004A3914" w:rsidP="004A3914">
            <w:pPr>
              <w:pStyle w:val="BodyText"/>
            </w:pPr>
          </w:p>
          <w:p w:rsidR="00000000" w:rsidRPr="004A3914" w:rsidP="004A3914">
            <w:pPr>
              <w:pStyle w:val="BodyText"/>
            </w:pPr>
            <w:r w:rsidRPr="004A3914">
              <w:rPr>
                <w:rStyle w:val="SpecialBold"/>
              </w:rPr>
              <w:t>Band</w:t>
            </w:r>
            <w:r w:rsidRPr="004A3914">
              <w:t>:</w:t>
            </w:r>
            <w:r w:rsidRPr="004A3914">
              <w:tab/>
            </w:r>
            <w:r w:rsidRPr="004A3914">
              <w:rPr>
                <w:rStyle w:val="SpecialBold"/>
              </w:rPr>
              <w:t>A</w:t>
            </w:r>
          </w:p>
          <w:p w:rsidR="00000000" w:rsidRPr="004A3914" w:rsidP="004A3914">
            <w:pPr>
              <w:pStyle w:val="BodyText"/>
            </w:pPr>
            <w:r w:rsidRPr="004A3914">
              <w:rPr>
                <w:rStyle w:val="SpecialBold"/>
              </w:rPr>
              <w:t>Unit Weig</w:t>
            </w:r>
            <w:r w:rsidRPr="004A3914">
              <w:rPr>
                <w:rStyle w:val="SpecialBold"/>
              </w:rPr>
              <w:t>ht</w:t>
            </w:r>
            <w:r w:rsidRPr="004A3914">
              <w:t>:</w:t>
            </w:r>
            <w:r w:rsidRPr="004A3914">
              <w:tab/>
            </w:r>
            <w:r w:rsidRPr="004A3914">
              <w:rPr>
                <w:rStyle w:val="SpecialBold"/>
              </w:rPr>
              <w:t>6</w:t>
            </w:r>
          </w:p>
        </w:tc>
      </w:tr>
    </w:tbl>
    <w:p w:rsidR="00FE1723" w:rsidP="004A3914">
      <w:pPr>
        <w:pStyle w:val="BodyText"/>
      </w:pPr>
    </w:p>
    <w:p w:rsidR="00FE1723" w:rsidP="004A3914">
      <w:pPr>
        <w:pStyle w:val="BodyText"/>
      </w:pPr>
    </w:p>
    <w:p w:rsidR="00000000" w:rsidRPr="004A3914" w:rsidP="004A3914">
      <w:pPr>
        <w:pStyle w:val="Heading1"/>
      </w:pPr>
      <w:bookmarkStart w:id="4" w:name="O_280301"/>
      <w:bookmarkEnd w:id="4"/>
      <w:r w:rsidRPr="004A3914">
        <w:t>Licensing/Regulatory Information</w:t>
      </w:r>
    </w:p>
    <w:p w:rsidR="00000000" w:rsidRPr="004A3914" w:rsidP="004A3914">
      <w:pPr>
        <w:pStyle w:val="BodyText"/>
      </w:pPr>
      <w:r w:rsidRPr="004A3914">
        <w:t>Not Applicable</w:t>
      </w:r>
    </w:p>
    <w:p w:rsidR="00000000" w:rsidRPr="004A3914" w:rsidP="004A3914">
      <w:pPr>
        <w:pStyle w:val="AllowPageBreak"/>
      </w:pPr>
    </w:p>
    <w:p w:rsidR="00000000" w:rsidRPr="004A3914" w:rsidP="004A3914">
      <w:pPr>
        <w:pStyle w:val="Heading1"/>
      </w:pPr>
      <w:bookmarkStart w:id="5" w:name="O_210727"/>
      <w:bookmarkEnd w:id="5"/>
      <w:r w:rsidRPr="004A3914">
        <w:t>Pre-Requisites</w:t>
      </w:r>
    </w:p>
    <w:tbl>
      <w:tblPr>
        <w:tblW w:w="0" w:type="auto"/>
        <w:tblLayout w:type="fixed"/>
        <w:tblCellMar>
          <w:left w:w="62" w:type="dxa"/>
          <w:right w:w="62" w:type="dxa"/>
        </w:tblCellMar>
        <w:tblLook w:val="0000"/>
      </w:tblPr>
      <w:tblGrid>
        <w:gridCol w:w="2775"/>
        <w:gridCol w:w="1295"/>
        <w:gridCol w:w="4452"/>
      </w:tblGrid>
      <w:tr w:rsidTr="00FE17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p>
        </w:tc>
      </w:tr>
      <w:tr w:rsidTr="00FE1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p>
        </w:tc>
      </w:tr>
      <w:tr w:rsidTr="00FE17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p>
        </w:tc>
      </w:tr>
    </w:tbl>
    <w:p w:rsidR="00FE1723" w:rsidP="004A3914">
      <w:pPr>
        <w:pStyle w:val="BodyText"/>
      </w:pPr>
    </w:p>
    <w:p w:rsidR="00FE1723" w:rsidP="004A3914">
      <w:pPr>
        <w:pStyle w:val="BodyText"/>
      </w:pPr>
    </w:p>
    <w:p w:rsidR="00000000" w:rsidRPr="004A3914" w:rsidP="004A3914">
      <w:pPr>
        <w:pStyle w:val="Heading1"/>
      </w:pPr>
      <w:bookmarkStart w:id="6" w:name="O_210726"/>
      <w:bookmarkEnd w:id="6"/>
      <w:r w:rsidRPr="004A3914">
        <w:t>Employability Skills Information</w:t>
      </w:r>
    </w:p>
    <w:tbl>
      <w:tblPr>
        <w:tblW w:w="0" w:type="auto"/>
        <w:tblLayout w:type="fixed"/>
        <w:tblCellMar>
          <w:left w:w="62" w:type="dxa"/>
          <w:right w:w="62" w:type="dxa"/>
        </w:tblCellMar>
        <w:tblLook w:val="0000"/>
      </w:tblPr>
      <w:tblGrid>
        <w:gridCol w:w="2802"/>
        <w:gridCol w:w="5720"/>
      </w:tblGrid>
      <w:tr w:rsidTr="00FE17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This unit contains employability skills.</w:t>
            </w:r>
          </w:p>
        </w:tc>
      </w:tr>
    </w:tbl>
    <w:p w:rsidR="00FE1723" w:rsidP="004A3914">
      <w:pPr>
        <w:pStyle w:val="BodyText"/>
      </w:pPr>
    </w:p>
    <w:p w:rsidR="00FE1723" w:rsidP="004A3914">
      <w:pPr>
        <w:pStyle w:val="BodyText"/>
      </w:pPr>
    </w:p>
    <w:p w:rsidR="00000000" w:rsidRPr="004A3914" w:rsidP="004A3914">
      <w:pPr>
        <w:pStyle w:val="Heading1"/>
      </w:pPr>
      <w:bookmarkStart w:id="7" w:name="O_290087"/>
      <w:bookmarkEnd w:id="7"/>
      <w:r w:rsidRPr="004A3914">
        <w:t>Elements and Performance Criteria Pre-Content</w:t>
      </w:r>
    </w:p>
    <w:tbl>
      <w:tblPr>
        <w:tblW w:w="0" w:type="auto"/>
        <w:tblLayout w:type="fixed"/>
        <w:tblCellMar>
          <w:left w:w="62" w:type="dxa"/>
          <w:right w:w="62" w:type="dxa"/>
        </w:tblCellMar>
        <w:tblLook w:val="0000"/>
      </w:tblPr>
      <w:tblGrid>
        <w:gridCol w:w="2575"/>
        <w:gridCol w:w="5947"/>
      </w:tblGrid>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Performance criteria describe the performance needed to demonstrate achievement of the element. Where bold italicised text is us</w:t>
            </w:r>
            <w:r w:rsidRPr="004A3914">
              <w:t>ed, further information is detailed in the required skills and knowledge section and the range statement. Assessment of performance is to be consistent with the evidence guide.</w:t>
            </w:r>
          </w:p>
        </w:tc>
      </w:tr>
    </w:tbl>
    <w:p w:rsidR="00000000" w:rsidRPr="004A3914" w:rsidP="004A3914">
      <w:pPr>
        <w:pStyle w:val="BodyText"/>
      </w:pPr>
    </w:p>
    <w:p w:rsidR="00000000" w:rsidRPr="004A3914" w:rsidP="004A3914">
      <w:pPr>
        <w:pStyle w:val="AllowPageBreak"/>
      </w:pPr>
    </w:p>
    <w:p w:rsidR="00000000" w:rsidRPr="004A3914" w:rsidP="004A3914">
      <w:pPr>
        <w:pStyle w:val="Heading1"/>
      </w:pPr>
      <w:bookmarkStart w:id="8" w:name="O_236754"/>
      <w:bookmarkEnd w:id="8"/>
      <w:r w:rsidRPr="004A3914">
        <w:t>Elements and Performance Criteria</w:t>
      </w:r>
    </w:p>
    <w:tbl>
      <w:tblPr>
        <w:tblW w:w="0" w:type="auto"/>
        <w:tblLayout w:type="fixed"/>
        <w:tblCellMar>
          <w:left w:w="62" w:type="dxa"/>
          <w:right w:w="62" w:type="dxa"/>
        </w:tblCellMar>
        <w:tblLook w:val="0000"/>
      </w:tblPr>
      <w:tblGrid>
        <w:gridCol w:w="2575"/>
        <w:gridCol w:w="5947"/>
      </w:tblGrid>
      <w:tr w:rsidTr="00FE172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PERFORMANCE CRITERIA</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1.</w:t>
            </w:r>
            <w:r w:rsidRPr="004A3914">
              <w:tab/>
              <w:t>Determine requirements of job</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2"/>
              <w:rPr>
                <w:lang w:val="en-NZ"/>
              </w:rPr>
            </w:pPr>
            <w:r w:rsidRPr="004A3914">
              <w:t>1.1.</w:t>
            </w:r>
            <w:r w:rsidRPr="004A3914">
              <w:tab/>
              <w:t>Job requirements are determined from engineering drawings, job sheet, or verbal instructions from metallurgist or supervisor.</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2.</w:t>
            </w:r>
            <w:r w:rsidRPr="004A3914">
              <w:tab/>
              <w:t>Select heat treatment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2"/>
              <w:rPr>
                <w:lang w:val="en-NZ"/>
              </w:rPr>
            </w:pPr>
            <w:r w:rsidRPr="004A3914">
              <w:t>2.1.</w:t>
            </w:r>
            <w:r w:rsidRPr="004A3914">
              <w:tab/>
            </w:r>
            <w:r w:rsidRPr="004A3914">
              <w:t>Appropriate equipment is selected for the required heat treatment.</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3.</w:t>
            </w:r>
            <w:r w:rsidRPr="004A3914">
              <w:tab/>
              <w:t>Set up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2"/>
              <w:rPr>
                <w:lang w:val="en-NZ"/>
              </w:rPr>
            </w:pPr>
            <w:r w:rsidRPr="004A3914">
              <w:t>3.1.</w:t>
            </w:r>
            <w:r w:rsidRPr="004A3914">
              <w:tab/>
              <w:t>Equipment is set up according to standard operating procedures and manufacturers' instructions.</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4.</w:t>
            </w:r>
            <w:r w:rsidRPr="004A3914">
              <w:tab/>
              <w:t>Work safely with hot metals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List2"/>
            </w:pPr>
            <w:r w:rsidRPr="004A3914">
              <w:t>4.1.</w:t>
            </w:r>
            <w:r w:rsidRPr="004A3914">
              <w:tab/>
              <w:t>Safety clothing and personal p</w:t>
            </w:r>
            <w:r w:rsidRPr="004A3914">
              <w:t>rotective equipment is used correctly according to standard operating procedures.</w:t>
            </w:r>
          </w:p>
          <w:p w:rsidR="00000000" w:rsidRPr="004A3914" w:rsidP="004A3914">
            <w:pPr>
              <w:pStyle w:val="List2"/>
            </w:pPr>
            <w:r w:rsidRPr="004A3914">
              <w:t>4.2.</w:t>
            </w:r>
            <w:r w:rsidRPr="004A3914">
              <w:tab/>
              <w:t>Emergency procedures are demonstrated according to approved safety instructions.</w:t>
            </w:r>
          </w:p>
          <w:p w:rsidR="00000000" w:rsidRPr="004A3914" w:rsidP="004A3914">
            <w:pPr>
              <w:pStyle w:val="List2"/>
            </w:pPr>
            <w:r w:rsidRPr="004A3914">
              <w:t>4.3.</w:t>
            </w:r>
            <w:r w:rsidRPr="004A3914">
              <w:tab/>
              <w:t>Safety signs and symbols are identified and understood.</w:t>
            </w:r>
          </w:p>
          <w:p w:rsidR="00000000" w:rsidP="004A3914">
            <w:pPr>
              <w:pStyle w:val="List2"/>
              <w:rPr>
                <w:lang w:val="en-NZ"/>
              </w:rPr>
            </w:pPr>
            <w:r w:rsidRPr="004A3914">
              <w:t>4.4.</w:t>
            </w:r>
            <w:r w:rsidRPr="004A3914">
              <w:tab/>
              <w:t>Equipment is used acco</w:t>
            </w:r>
            <w:r w:rsidRPr="004A3914">
              <w:t>rding to specifications and standard operating procedures.</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5.</w:t>
            </w:r>
            <w:r w:rsidRPr="004A3914">
              <w:tab/>
              <w:t>Heat treat material</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List2"/>
            </w:pPr>
            <w:r w:rsidRPr="004A3914">
              <w:t>5.1.</w:t>
            </w:r>
            <w:r w:rsidRPr="004A3914">
              <w:tab/>
              <w:t>Material is treated to achieve required result and may include preparation processes.</w:t>
            </w:r>
          </w:p>
          <w:p w:rsidR="00000000" w:rsidRPr="004A3914" w:rsidP="004A3914">
            <w:pPr>
              <w:pStyle w:val="List2"/>
            </w:pPr>
            <w:r w:rsidRPr="004A3914">
              <w:t>5.2.</w:t>
            </w:r>
            <w:r w:rsidRPr="004A3914">
              <w:tab/>
              <w:t>Material is piece or batch loaded and unloaded using equipment appropriate to</w:t>
            </w:r>
            <w:r w:rsidRPr="004A3914">
              <w:t xml:space="preserve"> the situation, according to standard operating procedures.</w:t>
            </w:r>
          </w:p>
          <w:p w:rsidR="00000000" w:rsidP="004A3914">
            <w:pPr>
              <w:pStyle w:val="List2"/>
              <w:rPr>
                <w:lang w:val="en-NZ"/>
              </w:rPr>
            </w:pPr>
            <w:r w:rsidRPr="004A3914">
              <w:t>5.3.</w:t>
            </w:r>
            <w:r w:rsidRPr="004A3914">
              <w:tab/>
              <w:t>Correct temperature is maintained according to standard operating procedures.</w:t>
            </w:r>
          </w:p>
        </w:tc>
      </w:tr>
      <w:tr w:rsidTr="00FE1723">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List"/>
              <w:rPr>
                <w:lang w:val="en-NZ"/>
              </w:rPr>
            </w:pPr>
            <w:r w:rsidRPr="004A3914">
              <w:t>6.</w:t>
            </w:r>
            <w:r w:rsidRPr="004A3914">
              <w:tab/>
              <w:t xml:space="preserve">Identify hazardous conditions </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List2"/>
            </w:pPr>
            <w:r w:rsidRPr="004A3914">
              <w:t>6.1.</w:t>
            </w:r>
            <w:r w:rsidRPr="004A3914">
              <w:tab/>
              <w:t>Hazards are identified and hazard control measures are implemented to mai</w:t>
            </w:r>
            <w:r w:rsidRPr="004A3914">
              <w:t>ntain a safe work environment.</w:t>
            </w:r>
          </w:p>
        </w:tc>
      </w:tr>
    </w:tbl>
    <w:p w:rsidR="00FE1723" w:rsidP="004A3914">
      <w:pPr>
        <w:pStyle w:val="BodyText"/>
      </w:pPr>
    </w:p>
    <w:p w:rsidR="00FE1723" w:rsidP="004A3914">
      <w:pPr>
        <w:pStyle w:val="BodyText"/>
      </w:pPr>
    </w:p>
    <w:p w:rsidR="00000000" w:rsidRPr="004A3914" w:rsidP="004A3914">
      <w:pPr>
        <w:pStyle w:val="Heading1"/>
      </w:pPr>
      <w:bookmarkStart w:id="9" w:name="O_260704"/>
      <w:bookmarkEnd w:id="9"/>
      <w:r w:rsidRPr="004A3914">
        <w:t>Required Skills and Knowledge</w:t>
      </w:r>
    </w:p>
    <w:tbl>
      <w:tblPr>
        <w:tblW w:w="0" w:type="auto"/>
        <w:tblLayout w:type="fixed"/>
        <w:tblCellMar>
          <w:left w:w="62" w:type="dxa"/>
          <w:right w:w="62" w:type="dxa"/>
        </w:tblCellMar>
        <w:tblLook w:val="0000"/>
      </w:tblPr>
      <w:tblGrid>
        <w:gridCol w:w="8522"/>
      </w:tblGrid>
      <w:tr w:rsidTr="00FE17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REQUIRED SKILLS AND KNOWLEDGE</w:t>
            </w:r>
          </w:p>
        </w:tc>
      </w:tr>
      <w:tr w:rsidTr="00FE17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This section describes the skills and knowledge required for this unit.</w:t>
            </w:r>
          </w:p>
        </w:tc>
      </w:tr>
      <w:tr w:rsidTr="00FE1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Required skills</w:t>
            </w:r>
          </w:p>
        </w:tc>
      </w:tr>
      <w:tr w:rsidTr="00FE1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Look for evidence that confirms skills in:</w:t>
            </w:r>
          </w:p>
          <w:p w:rsidR="00000000" w:rsidRPr="004A3914" w:rsidP="004A3914">
            <w:pPr>
              <w:pStyle w:val="ListBullet"/>
            </w:pPr>
            <w:r w:rsidRPr="004A3914">
              <w:t>setting up and operating heat treatment equipment</w:t>
            </w:r>
          </w:p>
          <w:p w:rsidR="00000000" w:rsidRPr="004A3914" w:rsidP="004A3914">
            <w:pPr>
              <w:pStyle w:val="ListBullet"/>
            </w:pPr>
            <w:r w:rsidRPr="004A3914">
              <w:t>applying heat treatment</w:t>
            </w:r>
          </w:p>
          <w:p w:rsidR="00000000" w:rsidP="004A3914">
            <w:pPr>
              <w:pStyle w:val="ListBullet"/>
              <w:rPr>
                <w:lang w:val="en-NZ"/>
              </w:rPr>
            </w:pPr>
            <w:r w:rsidRPr="004A3914">
              <w:t>safely loading furnace(s)</w:t>
            </w:r>
          </w:p>
        </w:tc>
      </w:tr>
      <w:tr w:rsidTr="00FE1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Required knowledge</w:t>
            </w:r>
          </w:p>
        </w:tc>
      </w:tr>
      <w:tr w:rsidTr="00FE17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Look for evidence that confirms knowledge of:</w:t>
            </w:r>
          </w:p>
          <w:p w:rsidR="00000000" w:rsidRPr="004A3914" w:rsidP="004A3914">
            <w:pPr>
              <w:pStyle w:val="ListBullet"/>
            </w:pPr>
            <w:r w:rsidRPr="004A3914">
              <w:t>work specifications</w:t>
            </w:r>
          </w:p>
          <w:p w:rsidR="00000000" w:rsidRPr="004A3914" w:rsidP="004A3914">
            <w:pPr>
              <w:pStyle w:val="ListBullet"/>
            </w:pPr>
            <w:r w:rsidRPr="004A3914">
              <w:t>material characteristics</w:t>
            </w:r>
          </w:p>
          <w:p w:rsidR="00000000" w:rsidRPr="004A3914" w:rsidP="004A3914">
            <w:pPr>
              <w:pStyle w:val="ListBullet"/>
            </w:pPr>
            <w:r w:rsidRPr="004A3914">
              <w:t>heat treatment applications, equipment and processes</w:t>
            </w:r>
          </w:p>
          <w:p w:rsidR="00000000" w:rsidRPr="004A3914" w:rsidP="004A3914">
            <w:pPr>
              <w:pStyle w:val="ListBullet"/>
            </w:pPr>
            <w:r w:rsidRPr="004A3914">
              <w:t>emergency procedures</w:t>
            </w:r>
          </w:p>
          <w:p w:rsidR="00000000" w:rsidRPr="004A3914" w:rsidP="004A3914">
            <w:pPr>
              <w:pStyle w:val="ListBullet"/>
            </w:pPr>
            <w:r w:rsidRPr="004A3914">
              <w:t>material preparation, quenching, preheating requirements</w:t>
            </w:r>
          </w:p>
          <w:p w:rsidR="00000000" w:rsidRPr="004A3914" w:rsidP="004A3914">
            <w:pPr>
              <w:pStyle w:val="ListBullet"/>
            </w:pPr>
            <w:r w:rsidRPr="004A3914">
              <w:t>material condition during heat treating process</w:t>
            </w:r>
          </w:p>
          <w:p w:rsidR="00000000" w:rsidRPr="004A3914" w:rsidP="004A3914">
            <w:pPr>
              <w:pStyle w:val="ListBullet"/>
            </w:pPr>
            <w:r w:rsidRPr="004A3914">
              <w:t>batch and/or piece loading of furnaces</w:t>
            </w:r>
          </w:p>
          <w:p w:rsidR="00000000" w:rsidRPr="004A3914" w:rsidP="004A3914">
            <w:pPr>
              <w:pStyle w:val="ListBullet"/>
            </w:pPr>
            <w:r w:rsidRPr="004A3914">
              <w:t>safe loading of furnaces</w:t>
            </w:r>
          </w:p>
          <w:p w:rsidR="00000000" w:rsidRPr="004A3914" w:rsidP="004A3914">
            <w:pPr>
              <w:pStyle w:val="ListBullet"/>
            </w:pPr>
            <w:r w:rsidRPr="004A3914">
              <w:t xml:space="preserve">hazards and </w:t>
            </w:r>
            <w:r w:rsidRPr="004A3914">
              <w:t>control measures associated with heat treatment, including housekeeping</w:t>
            </w:r>
          </w:p>
          <w:p w:rsidR="00000000" w:rsidRPr="004A3914" w:rsidP="004A3914">
            <w:pPr>
              <w:pStyle w:val="ListBullet"/>
            </w:pPr>
            <w:r w:rsidRPr="004A3914">
              <w:t>use and application of personal protective equipment</w:t>
            </w:r>
          </w:p>
          <w:p w:rsidR="00000000" w:rsidRPr="004A3914" w:rsidP="004A3914">
            <w:pPr>
              <w:pStyle w:val="ListBullet"/>
            </w:pPr>
            <w:r w:rsidRPr="004A3914">
              <w:t>safe work practices and procedures</w:t>
            </w:r>
          </w:p>
        </w:tc>
      </w:tr>
    </w:tbl>
    <w:p w:rsidR="00FE1723" w:rsidP="004A3914">
      <w:pPr>
        <w:pStyle w:val="BodyText"/>
      </w:pPr>
    </w:p>
    <w:p w:rsidR="00FE1723" w:rsidP="004A3914">
      <w:pPr>
        <w:pStyle w:val="BodyText"/>
      </w:pPr>
    </w:p>
    <w:p w:rsidR="00000000" w:rsidRPr="004A3914" w:rsidP="004A3914">
      <w:pPr>
        <w:pStyle w:val="AllowPageBreak"/>
      </w:pPr>
    </w:p>
    <w:p w:rsidR="00000000" w:rsidRPr="004A3914" w:rsidP="004A3914">
      <w:pPr>
        <w:pStyle w:val="Heading1"/>
      </w:pPr>
      <w:bookmarkStart w:id="10" w:name="O_244738"/>
      <w:bookmarkEnd w:id="10"/>
      <w:r w:rsidRPr="004A3914">
        <w:t>Evidence Guide</w:t>
      </w:r>
    </w:p>
    <w:tbl>
      <w:tblPr>
        <w:tblW w:w="9570" w:type="dxa"/>
        <w:tblLayout w:type="fixed"/>
        <w:tblCellMar>
          <w:left w:w="62" w:type="dxa"/>
          <w:right w:w="62" w:type="dxa"/>
        </w:tblCellMar>
        <w:tblLook w:val="0000"/>
      </w:tblPr>
      <w:tblGrid>
        <w:gridCol w:w="3908"/>
        <w:gridCol w:w="5662"/>
      </w:tblGrid>
      <w:tr w:rsidTr="00FE17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EVIDENCE GUIDE</w:t>
            </w:r>
          </w:p>
        </w:tc>
      </w:tr>
      <w:tr w:rsidTr="00FE17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The evidence guide provides advice on assessment and must be read in conjunction with the performance criteria, required skills and knowledge, range statement and the Assessment Guidelines for the Training Package.</w:t>
            </w:r>
          </w:p>
        </w:tc>
      </w:tr>
      <w:tr w:rsidTr="00FE1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 xml:space="preserve">A person who demonstrates competency in this unit must be able to work safely with hot metals to carry out heat treatment of materials. </w:t>
            </w:r>
          </w:p>
        </w:tc>
      </w:tr>
      <w:tr w:rsidTr="00FE1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Assessors must be satisfi</w:t>
            </w:r>
            <w:r w:rsidRPr="004A3914">
              <w:t>ed that the candidate can competently and consistently perform all elements of the unit as specified by the criteria, including required knowledge, and be capable of applying the competency in new and different situations and contexts.</w:t>
            </w:r>
          </w:p>
        </w:tc>
      </w:tr>
      <w:tr w:rsidTr="00FE1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Context of and spec</w:t>
            </w:r>
            <w:r w:rsidRPr="004A3914">
              <w:rPr>
                <w:rStyle w:val="SpecialBold"/>
              </w:rPr>
              <w:t>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This unit may be assessed on the job, off the job or a combination of both on and off the job. Where assessment occurs off the job, that is the candidate is not in productive work, then an appropriate simulation must be used w</w:t>
            </w:r>
            <w:r w:rsidRPr="004A3914">
              <w:t>here the range of conditions reflects realistic workplace situations. The competencies covered by this unit would be demonstrated by an individual working alone or as part of a team. The assessment environment should not disadvantage the candidate.</w:t>
            </w:r>
          </w:p>
          <w:p w:rsidR="00000000" w:rsidP="004A3914">
            <w:pPr>
              <w:pStyle w:val="BodyText"/>
              <w:rPr>
                <w:lang w:val="en-NZ"/>
              </w:rPr>
            </w:pPr>
            <w:r w:rsidRPr="004A3914">
              <w:t>This un</w:t>
            </w:r>
            <w:r w:rsidRPr="004A3914">
              <w:t xml:space="preserve">it could be assessed in conjunction with any other units addressing the safety, quality, communication, materials handling, recording and reporting associated with performing heat treatment or other units requiring the exercise of the skills and knowledge </w:t>
            </w:r>
            <w:r w:rsidRPr="004A3914">
              <w:t>covered by this unit.</w:t>
            </w:r>
          </w:p>
        </w:tc>
      </w:tr>
      <w:tr w:rsidTr="00FE1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Assessors should gather a range of evidence that is valid, sufficient, current and authentic. Evidence can be gathered through a variety of ways including direct observation, supervisor's reports, project work, s</w:t>
            </w:r>
            <w:r w:rsidRPr="004A3914">
              <w:t>amples and questioning. Questioning techniques should not require language, literacy and numeracy skills beyond those required in this unit of competency. The candidate must have access to all tools, equipment, materials and documentation required. The can</w:t>
            </w:r>
            <w:r w:rsidRPr="004A3914">
              <w:t>didate must be permitted to refer to any relevant workplace procedures, product and manufacturing specifications, codes, standards, manuals and reference materials.</w:t>
            </w:r>
          </w:p>
        </w:tc>
      </w:tr>
      <w:tr w:rsidTr="00FE17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p>
        </w:tc>
      </w:tr>
    </w:tbl>
    <w:p w:rsidR="00FE1723" w:rsidP="004A3914">
      <w:pPr>
        <w:pStyle w:val="BodyText"/>
      </w:pPr>
    </w:p>
    <w:p w:rsidR="00FE1723" w:rsidP="004A3914">
      <w:pPr>
        <w:pStyle w:val="BodyText"/>
      </w:pPr>
    </w:p>
    <w:p w:rsidR="00000000" w:rsidRPr="004A3914" w:rsidP="004A3914">
      <w:pPr>
        <w:pStyle w:val="Heading1"/>
      </w:pPr>
      <w:bookmarkStart w:id="11" w:name="O_252721"/>
      <w:bookmarkEnd w:id="11"/>
      <w:r w:rsidRPr="004A3914">
        <w:t>Range Statement</w:t>
      </w:r>
    </w:p>
    <w:tbl>
      <w:tblPr>
        <w:tblW w:w="0" w:type="auto"/>
        <w:tblLayout w:type="fixed"/>
        <w:tblCellMar>
          <w:left w:w="62" w:type="dxa"/>
          <w:right w:w="62" w:type="dxa"/>
        </w:tblCellMar>
        <w:tblLook w:val="0000"/>
      </w:tblPr>
      <w:tblGrid>
        <w:gridCol w:w="3523"/>
        <w:gridCol w:w="4999"/>
      </w:tblGrid>
      <w:tr w:rsidTr="00FE17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RANGE STATEMENT</w:t>
            </w:r>
          </w:p>
        </w:tc>
      </w:tr>
      <w:tr w:rsidTr="00FE17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4A3914">
              <w:t>conditions that may be present with training and assessment (depending on the work situation, needs of the candidate, accessibility of the item, and local industry and regional contexts) may also be included.</w:t>
            </w:r>
          </w:p>
        </w:tc>
      </w:tr>
      <w:tr w:rsidTr="00FE17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Equipment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 xml:space="preserve">Gas, electric, oil fired furnaces, </w:t>
            </w:r>
            <w:r w:rsidRPr="004A3914">
              <w:t>vacuum furnace, induction heating, kilns, heated baths, salt baths, specialised tongs/tools and lifting equipment</w:t>
            </w:r>
          </w:p>
        </w:tc>
      </w:tr>
      <w:tr w:rsidTr="00FE17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Material</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t>Plain carbon steels, alloy steels, non-ferrous</w:t>
            </w:r>
          </w:p>
        </w:tc>
      </w:tr>
      <w:tr w:rsidTr="00FE1723">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Preparation processes</w:t>
            </w:r>
            <w:r w:rsidRPr="004A3914">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Co</w:t>
            </w:r>
            <w:r w:rsidRPr="004A3914">
              <w:t>atings and packings; preheating; soaking; quenching; tempering; annealing; normalising; carburizing; sintering</w:t>
            </w:r>
          </w:p>
        </w:tc>
      </w:tr>
    </w:tbl>
    <w:p w:rsidR="00FE1723" w:rsidP="004A3914">
      <w:pPr>
        <w:pStyle w:val="BodyText"/>
      </w:pPr>
    </w:p>
    <w:p w:rsidR="00FE1723" w:rsidP="004A3914">
      <w:pPr>
        <w:pStyle w:val="BodyText"/>
      </w:pPr>
    </w:p>
    <w:p w:rsidR="00000000" w:rsidRPr="004A3914" w:rsidP="004A3914">
      <w:pPr>
        <w:pStyle w:val="Heading1"/>
      </w:pPr>
      <w:bookmarkStart w:id="12" w:name="O_210731"/>
      <w:bookmarkEnd w:id="12"/>
      <w:r w:rsidRPr="004A3914">
        <w:t>Unit Sector(s)</w:t>
      </w:r>
    </w:p>
    <w:tbl>
      <w:tblPr>
        <w:tblW w:w="0" w:type="auto"/>
        <w:tblLayout w:type="fixed"/>
        <w:tblCellMar>
          <w:left w:w="62" w:type="dxa"/>
          <w:right w:w="62" w:type="dxa"/>
        </w:tblCellMar>
        <w:tblLook w:val="0000"/>
      </w:tblPr>
      <w:tblGrid>
        <w:gridCol w:w="2654"/>
        <w:gridCol w:w="5868"/>
      </w:tblGrid>
      <w:tr w:rsidTr="00FE17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p>
        </w:tc>
      </w:tr>
    </w:tbl>
    <w:p w:rsidR="00FE1723" w:rsidP="004A3914">
      <w:pPr>
        <w:pStyle w:val="BodyText"/>
      </w:pPr>
    </w:p>
    <w:p w:rsidR="00FE1723" w:rsidP="004A3914">
      <w:pPr>
        <w:pStyle w:val="BodyText"/>
      </w:pPr>
    </w:p>
    <w:p w:rsidR="00000000" w:rsidRPr="004A3914" w:rsidP="004A3914">
      <w:pPr>
        <w:pStyle w:val="Heading1"/>
      </w:pPr>
      <w:bookmarkStart w:id="13" w:name="O_210728"/>
      <w:bookmarkEnd w:id="13"/>
      <w:r w:rsidRPr="004A3914">
        <w:t>Co-requisite units</w:t>
      </w:r>
    </w:p>
    <w:tbl>
      <w:tblPr>
        <w:tblW w:w="0" w:type="auto"/>
        <w:tblLayout w:type="fixed"/>
        <w:tblCellMar>
          <w:left w:w="62" w:type="dxa"/>
          <w:right w:w="62" w:type="dxa"/>
        </w:tblCellMar>
        <w:tblLook w:val="0000"/>
      </w:tblPr>
      <w:tblGrid>
        <w:gridCol w:w="2641"/>
        <w:gridCol w:w="1322"/>
        <w:gridCol w:w="4559"/>
      </w:tblGrid>
      <w:tr w:rsidTr="00FE17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p>
        </w:tc>
      </w:tr>
      <w:tr w:rsidTr="00FE1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p>
        </w:tc>
      </w:tr>
      <w:tr w:rsidTr="00FE17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p>
        </w:tc>
      </w:tr>
    </w:tbl>
    <w:p w:rsidR="00FE1723" w:rsidP="004A3914">
      <w:pPr>
        <w:pStyle w:val="BodyText"/>
      </w:pPr>
    </w:p>
    <w:p w:rsidR="00FE1723" w:rsidP="004A3914">
      <w:pPr>
        <w:pStyle w:val="BodyText"/>
      </w:pPr>
    </w:p>
    <w:p w:rsidR="00000000" w:rsidRPr="004A3914" w:rsidP="004A3914">
      <w:pPr>
        <w:pStyle w:val="Heading1"/>
      </w:pPr>
      <w:bookmarkStart w:id="14" w:name="O_210730"/>
      <w:bookmarkEnd w:id="14"/>
      <w:r w:rsidRPr="004A3914">
        <w:t>Competency field</w:t>
      </w:r>
    </w:p>
    <w:tbl>
      <w:tblPr>
        <w:tblW w:w="0" w:type="auto"/>
        <w:tblLayout w:type="fixed"/>
        <w:tblCellMar>
          <w:left w:w="62" w:type="dxa"/>
          <w:right w:w="62" w:type="dxa"/>
        </w:tblCellMar>
        <w:tblLook w:val="0000"/>
      </w:tblPr>
      <w:tblGrid>
        <w:gridCol w:w="2778"/>
        <w:gridCol w:w="5744"/>
      </w:tblGrid>
      <w:tr w:rsidTr="00FE1723">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3914">
            <w:pPr>
              <w:pStyle w:val="BodyText"/>
              <w:rPr>
                <w:lang w:val="en-NZ"/>
              </w:rPr>
            </w:pPr>
            <w:r w:rsidRPr="004A391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3914" w:rsidP="004A3914">
            <w:pPr>
              <w:pStyle w:val="BodyText"/>
            </w:pPr>
            <w:r w:rsidRPr="004A3914">
              <w:t>Forging</w:t>
            </w:r>
          </w:p>
        </w:tc>
      </w:tr>
    </w:tbl>
    <w:p w:rsidR="00FE1723" w:rsidP="004A3914">
      <w:pPr>
        <w:pStyle w:val="BodyText"/>
      </w:pPr>
    </w:p>
    <w:p w:rsidR="00FE1723" w:rsidP="004A3914">
      <w:pPr>
        <w:pStyle w:val="BodyText"/>
      </w:pPr>
    </w:p>
    <w:p w:rsidR="00000000" w:rsidRPr="004A3914" w:rsidP="004A3914"/>
    <w:sectPr w:rsidSect="004A39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723" w:rsidP="00FE17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23" w:rsidP="004A39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E1723" w:rsidP="004A39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E1723" w:rsidP="004A39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1723" w:rsidP="00FE1723">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9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723" w:rsidP="004A3914">
    <w:pPr>
      <w:pStyle w:val="Header"/>
      <w:framePr w:wrap="around"/>
    </w:pPr>
    <w:r>
      <w:fldChar w:fldCharType="begin"/>
    </w:r>
    <w:r>
      <w:instrText xml:space="preserve"> TITLE   \* MERGEFORMAT </w:instrText>
    </w:r>
    <w:r>
      <w:fldChar w:fldCharType="separate"/>
    </w:r>
    <w:r>
      <w:t>MEM06003C Carry out heat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E1723" w:rsidP="004A39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961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0466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3914"/>
    <w:pPr>
      <w:spacing w:before="360" w:after="60"/>
      <w:outlineLvl w:val="0"/>
    </w:pPr>
    <w:rPr>
      <w:sz w:val="32"/>
    </w:rPr>
  </w:style>
  <w:style w:type="paragraph" w:styleId="Heading2">
    <w:name w:val="heading 2"/>
    <w:basedOn w:val="HeadingBase"/>
    <w:next w:val="BodyText"/>
    <w:link w:val="Heading2Char"/>
    <w:qFormat/>
    <w:rsid w:val="004A3914"/>
    <w:pPr>
      <w:keepLines/>
      <w:spacing w:before="240" w:after="120"/>
      <w:outlineLvl w:val="1"/>
    </w:pPr>
    <w:rPr>
      <w:sz w:val="28"/>
      <w:szCs w:val="40"/>
    </w:rPr>
  </w:style>
  <w:style w:type="paragraph" w:styleId="Heading3">
    <w:name w:val="heading 3"/>
    <w:basedOn w:val="HeadingBase"/>
    <w:next w:val="BodyText"/>
    <w:link w:val="Heading3Char"/>
    <w:qFormat/>
    <w:rsid w:val="004A3914"/>
    <w:pPr>
      <w:spacing w:before="180" w:after="120"/>
      <w:outlineLvl w:val="2"/>
    </w:pPr>
    <w:rPr>
      <w:spacing w:val="-10"/>
      <w:kern w:val="32"/>
    </w:rPr>
  </w:style>
  <w:style w:type="paragraph" w:styleId="Heading4">
    <w:name w:val="heading 4"/>
    <w:basedOn w:val="HeadingBase"/>
    <w:next w:val="BodyText"/>
    <w:link w:val="Heading4Char"/>
    <w:qFormat/>
    <w:rsid w:val="004A3914"/>
    <w:pPr>
      <w:spacing w:before="160" w:after="120"/>
      <w:outlineLvl w:val="3"/>
    </w:pPr>
    <w:rPr>
      <w:sz w:val="22"/>
    </w:rPr>
  </w:style>
  <w:style w:type="paragraph" w:styleId="Heading5">
    <w:name w:val="heading 5"/>
    <w:basedOn w:val="HeadingBase"/>
    <w:next w:val="Normal"/>
    <w:link w:val="Heading5Char"/>
    <w:qFormat/>
    <w:rsid w:val="004A3914"/>
    <w:pPr>
      <w:spacing w:before="80"/>
      <w:outlineLvl w:val="4"/>
    </w:pPr>
    <w:rPr>
      <w:color w:val="918585"/>
      <w:sz w:val="20"/>
    </w:rPr>
  </w:style>
  <w:style w:type="paragraph" w:styleId="Heading6">
    <w:name w:val="heading 6"/>
    <w:basedOn w:val="HeadingBase"/>
    <w:next w:val="Normal"/>
    <w:link w:val="Heading6Char"/>
    <w:qFormat/>
    <w:rsid w:val="004A3914"/>
    <w:pPr>
      <w:spacing w:before="60"/>
      <w:outlineLvl w:val="5"/>
    </w:pPr>
    <w:rPr>
      <w:color w:val="918585"/>
      <w:sz w:val="20"/>
    </w:rPr>
  </w:style>
  <w:style w:type="paragraph" w:styleId="Heading7">
    <w:name w:val="heading 7"/>
    <w:basedOn w:val="Normal"/>
    <w:next w:val="Normal"/>
    <w:link w:val="Heading7Char"/>
    <w:qFormat/>
    <w:rsid w:val="004A3914"/>
    <w:pPr>
      <w:ind w:left="720"/>
      <w:outlineLvl w:val="6"/>
    </w:pPr>
    <w:rPr>
      <w:i/>
    </w:rPr>
  </w:style>
  <w:style w:type="paragraph" w:styleId="Heading8">
    <w:name w:val="heading 8"/>
    <w:basedOn w:val="Normal"/>
    <w:next w:val="Normal"/>
    <w:link w:val="Heading8Char"/>
    <w:qFormat/>
    <w:rsid w:val="004A3914"/>
    <w:pPr>
      <w:ind w:left="720"/>
      <w:outlineLvl w:val="7"/>
    </w:pPr>
    <w:rPr>
      <w:i/>
    </w:rPr>
  </w:style>
  <w:style w:type="paragraph" w:styleId="Heading9">
    <w:name w:val="heading 9"/>
    <w:basedOn w:val="Normal"/>
    <w:next w:val="Normal"/>
    <w:link w:val="Heading9Char"/>
    <w:qFormat/>
    <w:rsid w:val="004A3914"/>
    <w:pPr>
      <w:ind w:left="720"/>
      <w:outlineLvl w:val="8"/>
    </w:pPr>
    <w:rPr>
      <w:i/>
    </w:rPr>
  </w:style>
  <w:style w:type="character" w:default="1" w:styleId="DefaultParagraphFont">
    <w:name w:val="Default Paragraph Font"/>
    <w:uiPriority w:val="1"/>
    <w:unhideWhenUsed/>
    <w:rsid w:val="004A39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914"/>
  </w:style>
  <w:style w:type="character" w:customStyle="1" w:styleId="Heading1Char">
    <w:name w:val="Heading 1 Char"/>
    <w:basedOn w:val="DefaultParagraphFont"/>
    <w:link w:val="Heading1"/>
    <w:rsid w:val="004A3914"/>
    <w:rPr>
      <w:rFonts w:ascii="Times New Roman" w:eastAsia="Times New Roman" w:hAnsi="Times New Roman" w:cs="Times New Roman"/>
      <w:b/>
      <w:sz w:val="32"/>
      <w:szCs w:val="20"/>
      <w:lang w:eastAsia="en-US"/>
    </w:rPr>
  </w:style>
  <w:style w:type="paragraph" w:styleId="BodyText">
    <w:name w:val="Body Text"/>
    <w:basedOn w:val="Normal"/>
    <w:link w:val="BodyTextChar"/>
    <w:rsid w:val="004A39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3914"/>
    <w:rPr>
      <w:rFonts w:ascii="Times New Roman" w:eastAsia="Times New Roman" w:hAnsi="Times New Roman" w:cs="Times New Roman"/>
      <w:sz w:val="24"/>
      <w:lang w:val="en-US" w:eastAsia="en-US"/>
    </w:rPr>
  </w:style>
  <w:style w:type="paragraph" w:styleId="Footer">
    <w:name w:val="footer"/>
    <w:basedOn w:val="Normal"/>
    <w:link w:val="FooterChar"/>
    <w:rsid w:val="004A39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914"/>
    <w:rPr>
      <w:rFonts w:ascii="Times New Roman" w:eastAsia="Times New Roman" w:hAnsi="Times New Roman" w:cs="Times New Roman"/>
      <w:sz w:val="16"/>
      <w:lang w:val="en-US" w:eastAsia="en-US"/>
    </w:rPr>
  </w:style>
  <w:style w:type="paragraph" w:styleId="List">
    <w:name w:val="List"/>
    <w:basedOn w:val="BodyText"/>
    <w:next w:val="BodyText"/>
    <w:rsid w:val="004A3914"/>
    <w:pPr>
      <w:tabs>
        <w:tab w:val="left" w:pos="340"/>
      </w:tabs>
      <w:spacing w:before="60" w:after="60"/>
      <w:ind w:left="340" w:hanging="340"/>
    </w:pPr>
  </w:style>
  <w:style w:type="paragraph" w:styleId="ListBullet">
    <w:name w:val="List Bullet"/>
    <w:basedOn w:val="List"/>
    <w:rsid w:val="004A3914"/>
    <w:pPr>
      <w:numPr>
        <w:numId w:val="12"/>
      </w:numPr>
      <w:tabs>
        <w:tab w:val="clear" w:pos="340"/>
      </w:tabs>
      <w:spacing w:before="40" w:after="40"/>
    </w:pPr>
  </w:style>
  <w:style w:type="character" w:customStyle="1" w:styleId="SpecialBold">
    <w:name w:val="Special Bold"/>
    <w:basedOn w:val="DefaultParagraphFont"/>
    <w:rsid w:val="004A3914"/>
    <w:rPr>
      <w:b/>
      <w:spacing w:val="0"/>
    </w:rPr>
  </w:style>
  <w:style w:type="paragraph" w:styleId="Header">
    <w:name w:val="header"/>
    <w:basedOn w:val="Normal"/>
    <w:link w:val="HeaderChar"/>
    <w:rsid w:val="004A39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9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3914"/>
    <w:pPr>
      <w:spacing w:before="240" w:after="120"/>
      <w:outlineLvl w:val="0"/>
    </w:pPr>
    <w:rPr>
      <w:rFonts w:ascii="Times New Roman" w:hAnsi="Times New Roman"/>
      <w:b/>
      <w:sz w:val="28"/>
    </w:rPr>
  </w:style>
  <w:style w:type="paragraph" w:customStyle="1" w:styleId="AllowPageBreak">
    <w:name w:val="AllowPageBreak"/>
    <w:rsid w:val="004A39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3914"/>
    <w:pPr>
      <w:tabs>
        <w:tab w:val="left" w:pos="680"/>
      </w:tabs>
      <w:spacing w:before="60" w:after="60"/>
      <w:ind w:left="680" w:hanging="340"/>
    </w:pPr>
  </w:style>
  <w:style w:type="character" w:customStyle="1" w:styleId="Heading2Char">
    <w:name w:val="Heading 2 Char"/>
    <w:basedOn w:val="DefaultParagraphFont"/>
    <w:link w:val="Heading2"/>
    <w:rsid w:val="004A39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9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9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9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9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9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39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3914"/>
    <w:rPr>
      <w:rFonts w:ascii="Courier New" w:eastAsia="Times New Roman" w:hAnsi="Courier New" w:cs="Times New Roman"/>
      <w:i/>
      <w:szCs w:val="20"/>
      <w:lang w:val="en-US" w:eastAsia="en-US"/>
    </w:rPr>
  </w:style>
  <w:style w:type="paragraph" w:customStyle="1" w:styleId="HeadingBase">
    <w:name w:val="Heading Base"/>
    <w:rsid w:val="004A39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914"/>
    <w:pPr>
      <w:tabs>
        <w:tab w:val="right" w:leader="dot" w:pos="9072"/>
      </w:tabs>
      <w:ind w:left="567"/>
    </w:pPr>
    <w:rPr>
      <w:szCs w:val="22"/>
    </w:rPr>
  </w:style>
  <w:style w:type="paragraph" w:customStyle="1" w:styleId="TOCBase">
    <w:name w:val="TOC Base"/>
    <w:rsid w:val="004A39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914"/>
    <w:pPr>
      <w:tabs>
        <w:tab w:val="right" w:leader="dot" w:pos="9072"/>
      </w:tabs>
      <w:spacing w:before="40" w:after="40"/>
      <w:ind w:left="284"/>
    </w:pPr>
    <w:rPr>
      <w:rFonts w:ascii="Times New Roman" w:hAnsi="Times New Roman"/>
    </w:rPr>
  </w:style>
  <w:style w:type="paragraph" w:styleId="TOC1">
    <w:name w:val="toc 1"/>
    <w:basedOn w:val="TOCBase"/>
    <w:next w:val="Normal"/>
    <w:rsid w:val="004A39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3914"/>
    <w:pPr>
      <w:spacing w:before="5040"/>
      <w:jc w:val="center"/>
    </w:pPr>
    <w:rPr>
      <w:sz w:val="48"/>
      <w:szCs w:val="72"/>
      <w:lang w:val="en-US"/>
    </w:rPr>
  </w:style>
  <w:style w:type="character" w:customStyle="1" w:styleId="TitleChar">
    <w:name w:val="Title Char"/>
    <w:basedOn w:val="DefaultParagraphFont"/>
    <w:link w:val="Title"/>
    <w:rsid w:val="004A39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914"/>
    <w:pPr>
      <w:tabs>
        <w:tab w:val="left" w:pos="3600"/>
        <w:tab w:val="left" w:pos="3958"/>
      </w:tabs>
    </w:pPr>
  </w:style>
  <w:style w:type="paragraph" w:customStyle="1" w:styleId="Note">
    <w:name w:val="Note"/>
    <w:basedOn w:val="BodyText"/>
    <w:rsid w:val="004A39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914"/>
    <w:pPr>
      <w:framePr w:wrap="auto" w:hAnchor="text" w:y="6049"/>
    </w:pPr>
    <w:rPr>
      <w:color w:val="000000"/>
      <w:sz w:val="40"/>
    </w:rPr>
  </w:style>
  <w:style w:type="paragraph" w:customStyle="1" w:styleId="TOCTitle">
    <w:name w:val="TOCTitle"/>
    <w:basedOn w:val="Heading1"/>
    <w:rsid w:val="004A3914"/>
    <w:pPr>
      <w:spacing w:after="240"/>
      <w:jc w:val="center"/>
      <w:outlineLvl w:val="9"/>
    </w:pPr>
    <w:rPr>
      <w:caps/>
    </w:rPr>
  </w:style>
  <w:style w:type="paragraph" w:customStyle="1" w:styleId="Version">
    <w:name w:val="Version"/>
    <w:rsid w:val="004A39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3914"/>
    <w:pPr>
      <w:numPr>
        <w:numId w:val="13"/>
      </w:numPr>
      <w:tabs>
        <w:tab w:val="clear" w:pos="680"/>
      </w:tabs>
    </w:pPr>
  </w:style>
  <w:style w:type="paragraph" w:styleId="Index1">
    <w:name w:val="index 1"/>
    <w:basedOn w:val="Normal"/>
    <w:next w:val="Normal"/>
    <w:semiHidden/>
    <w:rsid w:val="004A3914"/>
    <w:pPr>
      <w:keepNext w:val="0"/>
      <w:tabs>
        <w:tab w:val="right" w:pos="4176"/>
      </w:tabs>
      <w:ind w:left="198" w:hanging="198"/>
    </w:pPr>
    <w:rPr>
      <w:rFonts w:ascii="Garamond" w:hAnsi="Garamond"/>
    </w:rPr>
  </w:style>
  <w:style w:type="paragraph" w:styleId="IndexHeading">
    <w:name w:val="index heading"/>
    <w:basedOn w:val="Normal"/>
    <w:next w:val="Index1"/>
    <w:semiHidden/>
    <w:rsid w:val="004A3914"/>
    <w:pPr>
      <w:spacing w:before="120" w:after="120"/>
    </w:pPr>
    <w:rPr>
      <w:rFonts w:ascii="Arial" w:hAnsi="Arial"/>
      <w:b/>
      <w:color w:val="918585"/>
      <w:sz w:val="24"/>
    </w:rPr>
  </w:style>
  <w:style w:type="paragraph" w:customStyle="1" w:styleId="Chapter">
    <w:name w:val="Chapter"/>
    <w:basedOn w:val="Normal"/>
    <w:rsid w:val="004A3914"/>
    <w:pPr>
      <w:spacing w:before="240"/>
    </w:pPr>
    <w:rPr>
      <w:rFonts w:ascii="Times New Roman" w:hAnsi="Times New Roman"/>
      <w:smallCaps/>
      <w:spacing w:val="80"/>
      <w:sz w:val="28"/>
    </w:rPr>
  </w:style>
  <w:style w:type="paragraph" w:customStyle="1" w:styleId="InChapter">
    <w:name w:val="InChapter"/>
    <w:basedOn w:val="Heading3"/>
    <w:rsid w:val="004A3914"/>
    <w:pPr>
      <w:spacing w:after="240"/>
      <w:outlineLvl w:val="9"/>
    </w:pPr>
    <w:rPr>
      <w:noProof/>
    </w:rPr>
  </w:style>
  <w:style w:type="paragraph" w:styleId="Index2">
    <w:name w:val="index 2"/>
    <w:basedOn w:val="Normal"/>
    <w:next w:val="Normal"/>
    <w:semiHidden/>
    <w:rsid w:val="004A3914"/>
    <w:pPr>
      <w:tabs>
        <w:tab w:val="right" w:pos="4176"/>
      </w:tabs>
      <w:ind w:left="568" w:hanging="284"/>
    </w:pPr>
    <w:rPr>
      <w:rFonts w:ascii="Garamond" w:hAnsi="Garamond"/>
    </w:rPr>
  </w:style>
  <w:style w:type="paragraph" w:customStyle="1" w:styleId="Byline">
    <w:name w:val="Byline"/>
    <w:rsid w:val="004A39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914"/>
    <w:pPr>
      <w:tabs>
        <w:tab w:val="clear" w:pos="3600"/>
        <w:tab w:val="clear" w:pos="3958"/>
      </w:tabs>
      <w:jc w:val="right"/>
    </w:pPr>
  </w:style>
  <w:style w:type="character" w:styleId="Emphasis">
    <w:name w:val="Emphasis"/>
    <w:basedOn w:val="DefaultParagraphFont"/>
    <w:qFormat/>
    <w:rsid w:val="004A3914"/>
    <w:rPr>
      <w:i/>
    </w:rPr>
  </w:style>
  <w:style w:type="paragraph" w:styleId="Caption">
    <w:name w:val="caption"/>
    <w:basedOn w:val="BodyText"/>
    <w:next w:val="Normal"/>
    <w:qFormat/>
    <w:rsid w:val="004A3914"/>
    <w:pPr>
      <w:framePr w:w="2268" w:hSpace="181" w:vSpace="181" w:wrap="around" w:vAnchor="text" w:hAnchor="page" w:x="1135" w:y="285" w:anchorLock="1"/>
    </w:pPr>
    <w:rPr>
      <w:i/>
    </w:rPr>
  </w:style>
  <w:style w:type="paragraph" w:customStyle="1" w:styleId="MiniTOCTitle">
    <w:name w:val="MiniTOCTitle"/>
    <w:basedOn w:val="Heading4"/>
    <w:rsid w:val="004A3914"/>
    <w:pPr>
      <w:spacing w:before="240"/>
      <w:outlineLvl w:val="9"/>
    </w:pPr>
    <w:rPr>
      <w:noProof/>
      <w:sz w:val="24"/>
    </w:rPr>
  </w:style>
  <w:style w:type="paragraph" w:customStyle="1" w:styleId="MiniTOCItem">
    <w:name w:val="MiniTOCItem"/>
    <w:basedOn w:val="ListBullet"/>
    <w:rsid w:val="004A3914"/>
    <w:pPr>
      <w:numPr>
        <w:numId w:val="0"/>
      </w:numPr>
      <w:tabs>
        <w:tab w:val="right" w:leader="dot" w:pos="6521"/>
      </w:tabs>
      <w:spacing w:before="0" w:after="0"/>
    </w:pPr>
  </w:style>
  <w:style w:type="paragraph" w:customStyle="1" w:styleId="TOFTitle">
    <w:name w:val="TOFTitle"/>
    <w:basedOn w:val="TOCTitle"/>
    <w:rsid w:val="004A3914"/>
  </w:style>
  <w:style w:type="paragraph" w:styleId="TableofFigures">
    <w:name w:val="table of figures"/>
    <w:basedOn w:val="Normal"/>
    <w:next w:val="Normal"/>
    <w:semiHidden/>
    <w:rsid w:val="004A3914"/>
    <w:pPr>
      <w:tabs>
        <w:tab w:val="right" w:leader="dot" w:pos="9072"/>
      </w:tabs>
      <w:ind w:left="970" w:hanging="403"/>
    </w:pPr>
    <w:rPr>
      <w:rFonts w:ascii="Times New Roman" w:hAnsi="Times New Roman"/>
      <w:b/>
    </w:rPr>
  </w:style>
  <w:style w:type="paragraph" w:styleId="ListNumber">
    <w:name w:val="List Number"/>
    <w:basedOn w:val="List"/>
    <w:rsid w:val="004A3914"/>
    <w:pPr>
      <w:numPr>
        <w:numId w:val="10"/>
      </w:numPr>
    </w:pPr>
  </w:style>
  <w:style w:type="character" w:customStyle="1" w:styleId="WingdingSymbols">
    <w:name w:val="Wingding Symbols"/>
    <w:rsid w:val="004A3914"/>
    <w:rPr>
      <w:rFonts w:ascii="Wingdings" w:hAnsi="Wingdings"/>
    </w:rPr>
  </w:style>
  <w:style w:type="paragraph" w:customStyle="1" w:styleId="TableHeading">
    <w:name w:val="Table Heading"/>
    <w:basedOn w:val="HeadingBase"/>
    <w:rsid w:val="004A3914"/>
    <w:pPr>
      <w:keepLines/>
      <w:pBdr>
        <w:bottom w:val="single" w:sz="6" w:space="1" w:color="918585"/>
      </w:pBdr>
      <w:spacing w:before="240"/>
    </w:pPr>
  </w:style>
  <w:style w:type="character" w:customStyle="1" w:styleId="HotSpot">
    <w:name w:val="HotSpot"/>
    <w:rsid w:val="004A3914"/>
    <w:rPr>
      <w:color w:val="0033CC"/>
      <w:u w:val="none"/>
    </w:rPr>
  </w:style>
  <w:style w:type="paragraph" w:customStyle="1" w:styleId="BodyTextRight">
    <w:name w:val="Body Text Right"/>
    <w:basedOn w:val="BodyText"/>
    <w:rsid w:val="004A3914"/>
    <w:pPr>
      <w:spacing w:before="0" w:after="0"/>
      <w:jc w:val="right"/>
    </w:pPr>
  </w:style>
  <w:style w:type="paragraph" w:styleId="Index3">
    <w:name w:val="index 3"/>
    <w:basedOn w:val="ListNumber2"/>
    <w:next w:val="Normal"/>
    <w:semiHidden/>
    <w:rsid w:val="004A3914"/>
    <w:pPr>
      <w:numPr>
        <w:numId w:val="0"/>
      </w:numPr>
      <w:tabs>
        <w:tab w:val="right" w:leader="dot" w:pos="4176"/>
      </w:tabs>
    </w:pPr>
  </w:style>
  <w:style w:type="paragraph" w:styleId="ListNumber2">
    <w:name w:val="List Number 2"/>
    <w:basedOn w:val="List2"/>
    <w:rsid w:val="004A3914"/>
    <w:pPr>
      <w:numPr>
        <w:numId w:val="9"/>
      </w:numPr>
      <w:tabs>
        <w:tab w:val="clear" w:pos="1060"/>
      </w:tabs>
    </w:pPr>
  </w:style>
  <w:style w:type="paragraph" w:customStyle="1" w:styleId="MarginNote">
    <w:name w:val="Margin Note"/>
    <w:basedOn w:val="BodyText"/>
    <w:rsid w:val="004A39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9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9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3914"/>
    <w:rPr>
      <w:sz w:val="32"/>
    </w:rPr>
  </w:style>
  <w:style w:type="paragraph" w:customStyle="1" w:styleId="HeadingProcedure">
    <w:name w:val="Heading Procedure"/>
    <w:basedOn w:val="HeadingBase"/>
    <w:next w:val="Normal"/>
    <w:rsid w:val="004A3914"/>
    <w:pPr>
      <w:tabs>
        <w:tab w:val="left" w:pos="0"/>
      </w:tabs>
      <w:spacing w:before="120" w:after="60"/>
    </w:pPr>
    <w:rPr>
      <w:i/>
      <w:color w:val="918585"/>
      <w:sz w:val="22"/>
    </w:rPr>
  </w:style>
  <w:style w:type="paragraph" w:customStyle="1" w:styleId="TableBodyText">
    <w:name w:val="Table Body Text"/>
    <w:basedOn w:val="BodyText"/>
    <w:rsid w:val="004A3914"/>
    <w:pPr>
      <w:spacing w:before="60" w:after="60"/>
    </w:pPr>
  </w:style>
  <w:style w:type="paragraph" w:styleId="ListContinue">
    <w:name w:val="List Continue"/>
    <w:basedOn w:val="List"/>
    <w:rsid w:val="004A3914"/>
    <w:pPr>
      <w:ind w:firstLine="0"/>
    </w:pPr>
  </w:style>
  <w:style w:type="paragraph" w:customStyle="1" w:styleId="ListNote">
    <w:name w:val="List Note"/>
    <w:basedOn w:val="List"/>
    <w:rsid w:val="004A3914"/>
    <w:pPr>
      <w:pBdr>
        <w:top w:val="single" w:sz="6" w:space="2" w:color="918585"/>
        <w:bottom w:val="single" w:sz="6" w:space="2" w:color="918585"/>
      </w:pBdr>
      <w:tabs>
        <w:tab w:val="left" w:pos="1021"/>
      </w:tabs>
      <w:ind w:firstLine="0"/>
    </w:pPr>
  </w:style>
  <w:style w:type="paragraph" w:customStyle="1" w:styleId="Warning">
    <w:name w:val="Warning"/>
    <w:basedOn w:val="BodyText"/>
    <w:rsid w:val="004A3914"/>
    <w:pPr>
      <w:shd w:val="clear" w:color="auto" w:fill="D9D9D9"/>
      <w:tabs>
        <w:tab w:val="left" w:pos="992"/>
      </w:tabs>
      <w:ind w:left="119" w:right="119"/>
    </w:pPr>
    <w:rPr>
      <w:sz w:val="20"/>
    </w:rPr>
  </w:style>
  <w:style w:type="paragraph" w:customStyle="1" w:styleId="MarginIcons">
    <w:name w:val="Margin Icons"/>
    <w:basedOn w:val="BodyText"/>
    <w:rsid w:val="004A39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914"/>
    <w:rPr>
      <w:rFonts w:ascii="Courier New" w:hAnsi="Courier New"/>
    </w:rPr>
  </w:style>
  <w:style w:type="paragraph" w:customStyle="1" w:styleId="NoteBullet">
    <w:name w:val="Note Bullet"/>
    <w:basedOn w:val="Note"/>
    <w:rsid w:val="004A3914"/>
    <w:pPr>
      <w:tabs>
        <w:tab w:val="clear" w:pos="680"/>
      </w:tabs>
      <w:spacing w:before="60" w:after="60"/>
    </w:pPr>
  </w:style>
  <w:style w:type="paragraph" w:customStyle="1" w:styleId="SubHeading2">
    <w:name w:val="SubHeading2"/>
    <w:basedOn w:val="HeadingBase"/>
    <w:rsid w:val="004A3914"/>
    <w:pPr>
      <w:spacing w:before="240" w:after="60"/>
    </w:pPr>
    <w:rPr>
      <w:sz w:val="20"/>
    </w:rPr>
  </w:style>
  <w:style w:type="paragraph" w:customStyle="1" w:styleId="SubHeading1">
    <w:name w:val="SubHeading1"/>
    <w:basedOn w:val="HeadingBase"/>
    <w:rsid w:val="004A3914"/>
    <w:pPr>
      <w:spacing w:before="240" w:after="60"/>
    </w:pPr>
    <w:rPr>
      <w:color w:val="918585"/>
      <w:sz w:val="22"/>
    </w:rPr>
  </w:style>
  <w:style w:type="paragraph" w:customStyle="1" w:styleId="SideHeading">
    <w:name w:val="Side Heading"/>
    <w:basedOn w:val="HeadingBase"/>
    <w:rsid w:val="004A39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914"/>
    <w:pPr>
      <w:tabs>
        <w:tab w:val="num" w:pos="360"/>
      </w:tabs>
    </w:pPr>
  </w:style>
  <w:style w:type="paragraph" w:styleId="PlainText">
    <w:name w:val="Plain Text"/>
    <w:basedOn w:val="Normal"/>
    <w:link w:val="PlainTextChar"/>
    <w:rsid w:val="004A3914"/>
    <w:rPr>
      <w:sz w:val="20"/>
    </w:rPr>
  </w:style>
  <w:style w:type="character" w:customStyle="1" w:styleId="PlainTextChar">
    <w:name w:val="Plain Text Char"/>
    <w:basedOn w:val="DefaultParagraphFont"/>
    <w:link w:val="PlainText"/>
    <w:rsid w:val="004A39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3914"/>
    <w:rPr>
      <w:b/>
      <w:smallCaps/>
    </w:rPr>
  </w:style>
  <w:style w:type="paragraph" w:customStyle="1" w:styleId="TableListNumber">
    <w:name w:val="Table List Number"/>
    <w:basedOn w:val="ListNumber"/>
    <w:rsid w:val="004A3914"/>
    <w:pPr>
      <w:numPr>
        <w:numId w:val="0"/>
      </w:numPr>
    </w:pPr>
  </w:style>
  <w:style w:type="paragraph" w:styleId="TOC4">
    <w:name w:val="toc 4"/>
    <w:basedOn w:val="TOCBase"/>
    <w:next w:val="Normal"/>
    <w:semiHidden/>
    <w:rsid w:val="004A3914"/>
    <w:pPr>
      <w:tabs>
        <w:tab w:val="right" w:leader="dot" w:pos="9071"/>
      </w:tabs>
      <w:ind w:left="1701"/>
    </w:pPr>
  </w:style>
  <w:style w:type="paragraph" w:customStyle="1" w:styleId="ListAlpha">
    <w:name w:val="List Alpha"/>
    <w:basedOn w:val="List"/>
    <w:rsid w:val="004A3914"/>
    <w:pPr>
      <w:numPr>
        <w:numId w:val="8"/>
      </w:numPr>
    </w:pPr>
  </w:style>
  <w:style w:type="paragraph" w:customStyle="1" w:styleId="ListAlpha2">
    <w:name w:val="List Alpha 2"/>
    <w:basedOn w:val="List2"/>
    <w:rsid w:val="004A3914"/>
    <w:pPr>
      <w:numPr>
        <w:numId w:val="7"/>
      </w:numPr>
    </w:pPr>
  </w:style>
  <w:style w:type="paragraph" w:styleId="List3">
    <w:name w:val="List 3"/>
    <w:basedOn w:val="BodyText"/>
    <w:rsid w:val="004A3914"/>
    <w:pPr>
      <w:tabs>
        <w:tab w:val="left" w:pos="1021"/>
      </w:tabs>
      <w:spacing w:before="60" w:after="60"/>
      <w:ind w:left="1020" w:hanging="340"/>
    </w:pPr>
  </w:style>
  <w:style w:type="paragraph" w:styleId="List4">
    <w:name w:val="List 4"/>
    <w:basedOn w:val="BodyText"/>
    <w:rsid w:val="004A3914"/>
    <w:pPr>
      <w:tabs>
        <w:tab w:val="left" w:pos="1361"/>
      </w:tabs>
      <w:spacing w:before="60" w:after="60"/>
      <w:ind w:left="1361" w:hanging="340"/>
    </w:pPr>
  </w:style>
  <w:style w:type="paragraph" w:styleId="List5">
    <w:name w:val="List 5"/>
    <w:basedOn w:val="BodyText"/>
    <w:rsid w:val="004A3914"/>
    <w:pPr>
      <w:tabs>
        <w:tab w:val="left" w:pos="1701"/>
      </w:tabs>
      <w:spacing w:before="60" w:after="60"/>
      <w:ind w:left="1701" w:hanging="340"/>
    </w:pPr>
  </w:style>
  <w:style w:type="paragraph" w:styleId="ListBullet3">
    <w:name w:val="List Bullet 3"/>
    <w:basedOn w:val="List3"/>
    <w:rsid w:val="004A3914"/>
    <w:pPr>
      <w:numPr>
        <w:numId w:val="14"/>
      </w:numPr>
      <w:tabs>
        <w:tab w:val="clear" w:pos="1021"/>
      </w:tabs>
      <w:ind w:left="1037" w:hanging="357"/>
    </w:pPr>
  </w:style>
  <w:style w:type="paragraph" w:styleId="ListBullet4">
    <w:name w:val="List Bullet 4"/>
    <w:basedOn w:val="List4"/>
    <w:rsid w:val="004A3914"/>
    <w:pPr>
      <w:numPr>
        <w:numId w:val="2"/>
      </w:numPr>
    </w:pPr>
  </w:style>
  <w:style w:type="paragraph" w:styleId="ListBullet5">
    <w:name w:val="List Bullet 5"/>
    <w:basedOn w:val="List5"/>
    <w:rsid w:val="004A3914"/>
    <w:pPr>
      <w:numPr>
        <w:numId w:val="3"/>
      </w:numPr>
    </w:pPr>
  </w:style>
  <w:style w:type="paragraph" w:styleId="ListContinue2">
    <w:name w:val="List Continue 2"/>
    <w:basedOn w:val="List2"/>
    <w:rsid w:val="004A3914"/>
    <w:pPr>
      <w:ind w:firstLine="0"/>
    </w:pPr>
  </w:style>
  <w:style w:type="paragraph" w:styleId="ListContinue3">
    <w:name w:val="List Continue 3"/>
    <w:basedOn w:val="List3"/>
    <w:rsid w:val="004A3914"/>
    <w:pPr>
      <w:ind w:left="1021" w:firstLine="0"/>
    </w:pPr>
  </w:style>
  <w:style w:type="paragraph" w:styleId="ListContinue4">
    <w:name w:val="List Continue 4"/>
    <w:basedOn w:val="List4"/>
    <w:rsid w:val="004A3914"/>
    <w:pPr>
      <w:ind w:firstLine="0"/>
    </w:pPr>
  </w:style>
  <w:style w:type="paragraph" w:styleId="ListContinue5">
    <w:name w:val="List Continue 5"/>
    <w:basedOn w:val="List5"/>
    <w:rsid w:val="004A3914"/>
    <w:pPr>
      <w:ind w:firstLine="0"/>
    </w:pPr>
  </w:style>
  <w:style w:type="paragraph" w:styleId="ListNumber3">
    <w:name w:val="List Number 3"/>
    <w:basedOn w:val="List3"/>
    <w:rsid w:val="004A3914"/>
    <w:pPr>
      <w:numPr>
        <w:numId w:val="4"/>
      </w:numPr>
    </w:pPr>
  </w:style>
  <w:style w:type="paragraph" w:styleId="ListNumber4">
    <w:name w:val="List Number 4"/>
    <w:basedOn w:val="List4"/>
    <w:rsid w:val="004A3914"/>
    <w:pPr>
      <w:numPr>
        <w:numId w:val="5"/>
      </w:numPr>
    </w:pPr>
  </w:style>
  <w:style w:type="paragraph" w:styleId="ListNumber5">
    <w:name w:val="List Number 5"/>
    <w:basedOn w:val="List5"/>
    <w:rsid w:val="004A3914"/>
    <w:pPr>
      <w:numPr>
        <w:numId w:val="6"/>
      </w:numPr>
    </w:pPr>
  </w:style>
  <w:style w:type="paragraph" w:styleId="BlockText">
    <w:name w:val="Block Text"/>
    <w:basedOn w:val="Normal"/>
    <w:rsid w:val="004A3914"/>
    <w:pPr>
      <w:spacing w:after="120"/>
      <w:ind w:left="1440" w:right="1440"/>
    </w:pPr>
  </w:style>
  <w:style w:type="character" w:customStyle="1" w:styleId="Subscript">
    <w:name w:val="Subscript"/>
    <w:basedOn w:val="DefaultParagraphFont"/>
    <w:rsid w:val="004A3914"/>
    <w:rPr>
      <w:sz w:val="16"/>
      <w:vertAlign w:val="subscript"/>
    </w:rPr>
  </w:style>
  <w:style w:type="character" w:customStyle="1" w:styleId="Superscript">
    <w:name w:val="Superscript"/>
    <w:basedOn w:val="DefaultParagraphFont"/>
    <w:rsid w:val="004A3914"/>
    <w:rPr>
      <w:sz w:val="16"/>
      <w:vertAlign w:val="superscript"/>
    </w:rPr>
  </w:style>
  <w:style w:type="character" w:customStyle="1" w:styleId="Symbols">
    <w:name w:val="Symbols"/>
    <w:basedOn w:val="DefaultParagraphFont"/>
    <w:rsid w:val="004A3914"/>
    <w:rPr>
      <w:rFonts w:ascii="Symbol" w:hAnsi="Symbol"/>
    </w:rPr>
  </w:style>
  <w:style w:type="character" w:customStyle="1" w:styleId="MenuOptions">
    <w:name w:val="Menu Options"/>
    <w:basedOn w:val="DefaultParagraphFont"/>
    <w:rsid w:val="004A3914"/>
    <w:rPr>
      <w:rFonts w:ascii="Arial Narrow" w:hAnsi="Arial Narrow"/>
      <w:smallCaps/>
    </w:rPr>
  </w:style>
  <w:style w:type="character" w:customStyle="1" w:styleId="Buttons">
    <w:name w:val="Buttons"/>
    <w:basedOn w:val="DefaultParagraphFont"/>
    <w:rsid w:val="004A3914"/>
    <w:rPr>
      <w:b/>
    </w:rPr>
  </w:style>
  <w:style w:type="character" w:customStyle="1" w:styleId="Underlined">
    <w:name w:val="Underlined"/>
    <w:basedOn w:val="DefaultParagraphFont"/>
    <w:rsid w:val="004A3914"/>
    <w:rPr>
      <w:u w:val="single"/>
    </w:rPr>
  </w:style>
  <w:style w:type="paragraph" w:customStyle="1" w:styleId="TableBodyTextRight">
    <w:name w:val="Table Body Text Right"/>
    <w:basedOn w:val="TableBodyText"/>
    <w:rsid w:val="004A3914"/>
    <w:pPr>
      <w:widowControl w:val="0"/>
      <w:autoSpaceDE w:val="0"/>
      <w:autoSpaceDN w:val="0"/>
      <w:adjustRightInd w:val="0"/>
      <w:jc w:val="right"/>
    </w:pPr>
    <w:rPr>
      <w:rFonts w:cs="Arial"/>
      <w:szCs w:val="18"/>
    </w:rPr>
  </w:style>
  <w:style w:type="paragraph" w:customStyle="1" w:styleId="CopyrightText">
    <w:name w:val="Copyright Text"/>
    <w:basedOn w:val="BodyText"/>
    <w:rsid w:val="004A3914"/>
    <w:rPr>
      <w:sz w:val="18"/>
    </w:rPr>
  </w:style>
  <w:style w:type="paragraph" w:customStyle="1" w:styleId="BodySmallRight">
    <w:name w:val="Body Small Right"/>
    <w:basedOn w:val="BodyTextRight"/>
    <w:rsid w:val="004A3914"/>
    <w:rPr>
      <w:sz w:val="18"/>
      <w:szCs w:val="18"/>
    </w:rPr>
  </w:style>
  <w:style w:type="paragraph" w:customStyle="1" w:styleId="MarginEdition">
    <w:name w:val="Margin Edition"/>
    <w:basedOn w:val="MarginNote"/>
    <w:rsid w:val="004A3914"/>
    <w:pPr>
      <w:spacing w:before="0" w:after="0"/>
    </w:pPr>
    <w:rPr>
      <w:rFonts w:ascii="Times New Roman" w:hAnsi="Times New Roman"/>
      <w:color w:val="999999"/>
    </w:rPr>
  </w:style>
  <w:style w:type="paragraph" w:customStyle="1" w:styleId="Spacer">
    <w:name w:val="Spacer"/>
    <w:basedOn w:val="Normal"/>
    <w:rsid w:val="004A3914"/>
    <w:rPr>
      <w:sz w:val="2"/>
      <w:szCs w:val="2"/>
    </w:rPr>
  </w:style>
  <w:style w:type="character" w:customStyle="1" w:styleId="Small">
    <w:name w:val="Small"/>
    <w:basedOn w:val="DefaultParagraphFont"/>
    <w:rsid w:val="004A3914"/>
    <w:rPr>
      <w:sz w:val="16"/>
    </w:rPr>
  </w:style>
  <w:style w:type="paragraph" w:customStyle="1" w:styleId="WideTable">
    <w:name w:val="Wide Table"/>
    <w:basedOn w:val="Normal"/>
    <w:rsid w:val="004A3914"/>
    <w:pPr>
      <w:ind w:left="-1418"/>
    </w:pPr>
    <w:rPr>
      <w:sz w:val="2"/>
      <w:szCs w:val="2"/>
    </w:rPr>
  </w:style>
  <w:style w:type="character" w:styleId="PageNumber">
    <w:name w:val="page number"/>
    <w:basedOn w:val="DefaultParagraphFont"/>
    <w:rsid w:val="004A3914"/>
  </w:style>
  <w:style w:type="paragraph" w:styleId="Quote">
    <w:name w:val="Quote"/>
    <w:basedOn w:val="Heading1"/>
    <w:link w:val="QuoteChar"/>
    <w:qFormat/>
    <w:rsid w:val="004A3914"/>
    <w:rPr>
      <w:b w:val="0"/>
      <w:sz w:val="72"/>
      <w:szCs w:val="72"/>
      <w:lang w:val="en-NZ"/>
    </w:rPr>
  </w:style>
  <w:style w:type="character" w:customStyle="1" w:styleId="QuoteChar">
    <w:name w:val="Quote Char"/>
    <w:basedOn w:val="DefaultParagraphFont"/>
    <w:link w:val="Quote"/>
    <w:rsid w:val="004A39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914"/>
    <w:pPr>
      <w:pageBreakBefore/>
    </w:pPr>
  </w:style>
  <w:style w:type="paragraph" w:customStyle="1" w:styleId="Border">
    <w:name w:val="Border"/>
    <w:basedOn w:val="Normal"/>
    <w:qFormat/>
    <w:rsid w:val="004A39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914"/>
    <w:rPr>
      <w:b/>
      <w:bCs/>
      <w:i/>
      <w:iCs/>
      <w:color w:val="auto"/>
    </w:rPr>
  </w:style>
  <w:style w:type="paragraph" w:styleId="IntenseQuote">
    <w:name w:val="Intense Quote"/>
    <w:basedOn w:val="Normal"/>
    <w:next w:val="Normal"/>
    <w:link w:val="IntenseQuoteChar"/>
    <w:uiPriority w:val="30"/>
    <w:qFormat/>
    <w:rsid w:val="004A39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9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3914"/>
    <w:rPr>
      <w:smallCaps/>
      <w:color w:val="auto"/>
      <w:u w:val="single"/>
    </w:rPr>
  </w:style>
  <w:style w:type="character" w:styleId="IntenseReference">
    <w:name w:val="Intense Reference"/>
    <w:basedOn w:val="DefaultParagraphFont"/>
    <w:uiPriority w:val="32"/>
    <w:qFormat/>
    <w:rsid w:val="004A3914"/>
    <w:rPr>
      <w:b/>
      <w:bCs/>
      <w:smallCaps/>
      <w:color w:val="auto"/>
      <w:spacing w:val="5"/>
      <w:u w:val="single"/>
    </w:rPr>
  </w:style>
  <w:style w:type="paragraph" w:customStyle="1" w:styleId="2ColumnHeading">
    <w:name w:val="2Column Heading"/>
    <w:basedOn w:val="BodyText"/>
    <w:qFormat/>
    <w:rsid w:val="004A3914"/>
    <w:pPr>
      <w:spacing w:after="60"/>
      <w:ind w:left="-2268"/>
    </w:pPr>
    <w:rPr>
      <w:b/>
    </w:rPr>
  </w:style>
  <w:style w:type="paragraph" w:customStyle="1" w:styleId="Heading1TOC">
    <w:name w:val="Heading1 TOC"/>
    <w:basedOn w:val="Normal"/>
    <w:qFormat/>
    <w:rsid w:val="004A3914"/>
    <w:pPr>
      <w:spacing w:before="240" w:after="120"/>
    </w:pPr>
    <w:rPr>
      <w:rFonts w:ascii="Times New Roman" w:hAnsi="Times New Roman"/>
      <w:b/>
      <w:sz w:val="32"/>
    </w:rPr>
  </w:style>
  <w:style w:type="paragraph" w:customStyle="1" w:styleId="Heading2TOC">
    <w:name w:val="Heading2 TOC"/>
    <w:basedOn w:val="Normal"/>
    <w:qFormat/>
    <w:rsid w:val="004A3914"/>
    <w:pPr>
      <w:spacing w:before="240" w:after="60"/>
    </w:pPr>
    <w:rPr>
      <w:rFonts w:ascii="Times New Roman" w:hAnsi="Times New Roman"/>
      <w:b/>
      <w:sz w:val="28"/>
    </w:rPr>
  </w:style>
  <w:style w:type="character" w:customStyle="1" w:styleId="Underline">
    <w:name w:val="Underline"/>
    <w:basedOn w:val="DefaultParagraphFont"/>
    <w:qFormat/>
    <w:rsid w:val="004A3914"/>
    <w:rPr>
      <w:u w:val="single"/>
    </w:rPr>
  </w:style>
  <w:style w:type="character" w:customStyle="1" w:styleId="BoldandItalics">
    <w:name w:val="Bold and Italics"/>
    <w:qFormat/>
    <w:rsid w:val="004A3914"/>
    <w:rPr>
      <w:b/>
      <w:i/>
      <w:u w:val="none"/>
    </w:rPr>
  </w:style>
  <w:style w:type="paragraph" w:styleId="BalloonText">
    <w:name w:val="Balloon Text"/>
    <w:basedOn w:val="Normal"/>
    <w:link w:val="BalloonTextChar"/>
    <w:rsid w:val="004A3914"/>
    <w:rPr>
      <w:rFonts w:ascii="Tahoma" w:hAnsi="Tahoma" w:cs="Tahoma"/>
      <w:sz w:val="16"/>
      <w:szCs w:val="16"/>
    </w:rPr>
  </w:style>
  <w:style w:type="character" w:customStyle="1" w:styleId="BalloonTextChar">
    <w:name w:val="Balloon Text Char"/>
    <w:basedOn w:val="DefaultParagraphFont"/>
    <w:link w:val="BalloonText"/>
    <w:rsid w:val="004A39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39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39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929</Words>
  <Characters>5773</Characters>
  <Application>Microsoft Office Word</Application>
  <DocSecurity>0</DocSecurity>
  <Lines>219</Lines>
  <Paragraphs>95</Paragraphs>
  <ScaleCrop>false</ScaleCrop>
  <Company>Author-it Software Corporation Ltd.</Company>
  <LinksUpToDate>false</LinksUpToDate>
  <CharactersWithSpaces>6624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MEM06003C Carry out heat treatment</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2012-05-27T01:33:00Z</dcterms:created>
  <dcterms:modified xsi:type="dcterms:W3CDTF">2012-05-27T01:33:00Z</dcterms:modified>
</cp:coreProperties>
</file>