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1B6" w:rsidP="007021B6">
      <w:pPr>
        <w:pStyle w:val="Title"/>
      </w:pPr>
      <w:r>
        <w:fldChar w:fldCharType="begin"/>
      </w:r>
      <w:r>
        <w:instrText xml:space="preserve"> TITLE   \* MERGEFORMAT </w:instrText>
      </w:r>
      <w:r>
        <w:fldChar w:fldCharType="separate"/>
      </w:r>
      <w:r>
        <w:t>MEM05044B Perform welds to code standards using gas tungsten arc welding process</w:t>
      </w:r>
      <w:r>
        <w:fldChar w:fldCharType="end"/>
      </w:r>
    </w:p>
    <w:p w:rsidR="007021B6" w:rsidP="007021B6">
      <w:pPr>
        <w:pStyle w:val="Version"/>
        <w:sectPr w:rsidSect="002C01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0134" w:rsidP="002C0134">
      <w:pPr>
        <w:pStyle w:val="SuperHeading"/>
      </w:pPr>
      <w:r w:rsidRPr="002C0134">
        <w:t>MEM05044B Perform welds to code standards using gas tungsten arc welding process</w:t>
      </w:r>
    </w:p>
    <w:p w:rsidR="00000000" w:rsidRPr="002C0134" w:rsidP="002C0134">
      <w:pPr>
        <w:pStyle w:val="Heading1"/>
      </w:pPr>
      <w:bookmarkStart w:id="1" w:name="O_538281"/>
      <w:bookmarkEnd w:id="1"/>
      <w:r w:rsidRPr="002C0134">
        <w:t>Modification History</w:t>
      </w:r>
    </w:p>
    <w:p w:rsidR="00000000" w:rsidRPr="002C0134" w:rsidP="002C0134">
      <w:pPr>
        <w:pStyle w:val="BodyText"/>
      </w:pPr>
      <w:r w:rsidRPr="002C0134">
        <w:t>Release 3 - equivalent. Australian Standard code corrected to AS4041.</w:t>
      </w:r>
    </w:p>
    <w:p w:rsidR="00000000" w:rsidRPr="002C0134" w:rsidP="002C0134">
      <w:pPr>
        <w:pStyle w:val="AllowPageBreak"/>
      </w:pPr>
    </w:p>
    <w:p w:rsidR="00000000" w:rsidRPr="002C0134" w:rsidP="002C0134">
      <w:pPr>
        <w:pStyle w:val="Heading1"/>
      </w:pPr>
      <w:bookmarkStart w:id="2" w:name="O_538280"/>
      <w:bookmarkEnd w:id="2"/>
      <w:r w:rsidRPr="002C0134">
        <w:t>Unit Descriptor</w:t>
      </w:r>
    </w:p>
    <w:tbl>
      <w:tblPr>
        <w:tblW w:w="0" w:type="auto"/>
        <w:tblLayout w:type="fixed"/>
        <w:tblCellMar>
          <w:left w:w="62" w:type="dxa"/>
          <w:right w:w="62" w:type="dxa"/>
        </w:tblCellMar>
        <w:tblLook w:val="0000"/>
      </w:tblPr>
      <w:tblGrid>
        <w:gridCol w:w="2673"/>
        <w:gridCol w:w="5849"/>
      </w:tblGrid>
      <w:tr w:rsidTr="007021B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This unit covers preparing and producing welds to code standards using gas tungsten arc welding (GTAW).</w:t>
            </w:r>
          </w:p>
        </w:tc>
      </w:tr>
    </w:tbl>
    <w:p w:rsidR="007021B6" w:rsidP="002C0134">
      <w:pPr>
        <w:pStyle w:val="BodyText"/>
      </w:pPr>
    </w:p>
    <w:p w:rsidR="007021B6" w:rsidP="002C0134">
      <w:pPr>
        <w:pStyle w:val="BodyText"/>
      </w:pPr>
    </w:p>
    <w:p w:rsidR="00000000" w:rsidRPr="002C0134" w:rsidP="002C0134">
      <w:pPr>
        <w:pStyle w:val="Heading1"/>
      </w:pPr>
      <w:bookmarkStart w:id="3" w:name="O_538279"/>
      <w:bookmarkEnd w:id="3"/>
      <w:r w:rsidRPr="002C0134">
        <w:t>Application of the Unit</w:t>
      </w:r>
    </w:p>
    <w:tbl>
      <w:tblPr>
        <w:tblW w:w="0" w:type="auto"/>
        <w:tblLayout w:type="fixed"/>
        <w:tblCellMar>
          <w:left w:w="62" w:type="dxa"/>
          <w:right w:w="62" w:type="dxa"/>
        </w:tblCellMar>
        <w:tblLook w:val="0000"/>
      </w:tblPr>
      <w:tblGrid>
        <w:gridCol w:w="2745"/>
        <w:gridCol w:w="5777"/>
      </w:tblGrid>
      <w:tr w:rsidTr="007021B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 xml:space="preserve">This unit applies to welds associated with high quality fabrications, using a range </w:t>
            </w:r>
            <w:r w:rsidRPr="002C0134">
              <w:t xml:space="preserve">of materials. Butt and fillet welds in the flat, horizontal, vertical and overhead positions would be applied to meet Australian Standards 1210, AS 4041, ASME IX or equivalent. The unit, together with Unit MEM05026C (Apply welding principles), may satisfy </w:t>
            </w:r>
            <w:r w:rsidRPr="002C0134">
              <w:t>the requirements of AS 1796 Certificate 7.</w:t>
            </w:r>
          </w:p>
          <w:p w:rsidR="00000000" w:rsidRPr="002C0134" w:rsidP="002C0134">
            <w:pPr>
              <w:pStyle w:val="BodyText"/>
            </w:pPr>
            <w:r w:rsidRPr="002C0134">
              <w:t>Where advanced manual thermal cutting, gouging and shaping is carried out, Unit MEM05008C (Perform advanced manual thermal cutting, gouging and shaping) should also be selected.</w:t>
            </w:r>
          </w:p>
          <w:p w:rsidR="00000000" w:rsidRPr="002C0134" w:rsidP="002C0134">
            <w:pPr>
              <w:pStyle w:val="BodyText"/>
            </w:pPr>
          </w:p>
          <w:p w:rsidR="00000000" w:rsidRPr="002C0134" w:rsidP="002C0134">
            <w:pPr>
              <w:pStyle w:val="BodyText"/>
            </w:pPr>
            <w:r w:rsidRPr="002C0134">
              <w:rPr>
                <w:rStyle w:val="SpecialBold"/>
              </w:rPr>
              <w:t>Band</w:t>
            </w:r>
            <w:r w:rsidRPr="002C0134">
              <w:t>:</w:t>
            </w:r>
            <w:r w:rsidRPr="002C0134">
              <w:tab/>
            </w:r>
          </w:p>
          <w:p w:rsidR="00000000" w:rsidRPr="002C0134" w:rsidP="002C0134">
            <w:pPr>
              <w:pStyle w:val="BodyText"/>
            </w:pPr>
            <w:r w:rsidRPr="002C0134">
              <w:t>This unit has dual status a</w:t>
            </w:r>
            <w:r w:rsidRPr="002C0134">
              <w:t>nd is to be regarded as both a Specialisation band A unit and Specialisation band B unit for progression to C7 (AQF level IV).</w:t>
            </w:r>
          </w:p>
          <w:p w:rsidR="00000000" w:rsidRPr="002C0134" w:rsidP="002C0134">
            <w:pPr>
              <w:pStyle w:val="BodyText"/>
            </w:pPr>
            <w:r w:rsidRPr="002C0134">
              <w:rPr>
                <w:rStyle w:val="SpecialBold"/>
              </w:rPr>
              <w:t>Unit Weight</w:t>
            </w:r>
            <w:r w:rsidRPr="002C0134">
              <w:t>:</w:t>
            </w:r>
            <w:r w:rsidRPr="002C0134">
              <w:tab/>
            </w:r>
            <w:r w:rsidRPr="002C0134">
              <w:rPr>
                <w:rStyle w:val="SpecialBold"/>
              </w:rPr>
              <w:t>6</w:t>
            </w:r>
          </w:p>
        </w:tc>
      </w:tr>
    </w:tbl>
    <w:p w:rsidR="007021B6" w:rsidP="002C0134">
      <w:pPr>
        <w:pStyle w:val="BodyText"/>
      </w:pPr>
    </w:p>
    <w:p w:rsidR="007021B6" w:rsidP="002C0134">
      <w:pPr>
        <w:pStyle w:val="BodyText"/>
      </w:pPr>
    </w:p>
    <w:p w:rsidR="00000000" w:rsidRPr="002C0134" w:rsidP="002C0134">
      <w:pPr>
        <w:pStyle w:val="Heading1"/>
      </w:pPr>
      <w:bookmarkStart w:id="4" w:name="O_538278"/>
      <w:bookmarkEnd w:id="4"/>
      <w:r w:rsidRPr="002C0134">
        <w:t>Licensing/Regulatory Information</w:t>
      </w:r>
    </w:p>
    <w:p w:rsidR="00000000" w:rsidRPr="002C0134" w:rsidP="002C0134">
      <w:pPr>
        <w:pStyle w:val="BodyText"/>
      </w:pPr>
      <w:r w:rsidRPr="002C0134">
        <w:t>Not Applicable</w:t>
      </w:r>
    </w:p>
    <w:p w:rsidR="00000000" w:rsidRPr="002C0134" w:rsidP="002C0134">
      <w:pPr>
        <w:pStyle w:val="AllowPageBreak"/>
      </w:pPr>
    </w:p>
    <w:p w:rsidR="00000000" w:rsidRPr="002C0134" w:rsidP="002C0134">
      <w:pPr>
        <w:pStyle w:val="Heading1"/>
      </w:pPr>
      <w:bookmarkStart w:id="5" w:name="O_538277"/>
      <w:bookmarkEnd w:id="5"/>
      <w:r w:rsidRPr="002C0134">
        <w:t>Pre-Requisites</w:t>
      </w:r>
    </w:p>
    <w:tbl>
      <w:tblPr>
        <w:tblW w:w="0" w:type="auto"/>
        <w:tblLayout w:type="fixed"/>
        <w:tblCellMar>
          <w:left w:w="62" w:type="dxa"/>
          <w:right w:w="62" w:type="dxa"/>
        </w:tblCellMar>
        <w:tblLook w:val="0000"/>
      </w:tblPr>
      <w:tblGrid>
        <w:gridCol w:w="2712"/>
        <w:gridCol w:w="2207"/>
        <w:gridCol w:w="3603"/>
      </w:tblGrid>
      <w:tr w:rsidTr="007021B6">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Perform manual heating and thermal cutting</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MEM05019D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Weld using gas tungsten arc welding process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MEM05020C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Perform advanced welding using gas tungsten arc welding process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MEM05026C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Apply welding principles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MEM05049B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Perform routine gas tungsten arc welding</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Select welding processes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Apply safe welding practices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Interpret technical drawing</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Perform engineering measurements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Use hand tools</w:t>
            </w:r>
          </w:p>
        </w:tc>
      </w:tr>
      <w:tr w:rsidTr="007021B6">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Use power tools/hand held operations</w:t>
            </w:r>
          </w:p>
        </w:tc>
      </w:tr>
    </w:tbl>
    <w:p w:rsidR="007021B6" w:rsidP="002C0134">
      <w:pPr>
        <w:pStyle w:val="BodyText"/>
      </w:pPr>
    </w:p>
    <w:p w:rsidR="007021B6" w:rsidP="002C0134">
      <w:pPr>
        <w:pStyle w:val="BodyText"/>
      </w:pPr>
    </w:p>
    <w:p w:rsidR="00000000" w:rsidRPr="002C0134" w:rsidP="002C0134">
      <w:pPr>
        <w:pStyle w:val="Heading1"/>
      </w:pPr>
      <w:bookmarkStart w:id="6" w:name="O_538276"/>
      <w:bookmarkEnd w:id="6"/>
      <w:r w:rsidRPr="002C0134">
        <w:t>Employability Skills Information</w:t>
      </w:r>
    </w:p>
    <w:tbl>
      <w:tblPr>
        <w:tblW w:w="0" w:type="auto"/>
        <w:tblLayout w:type="fixed"/>
        <w:tblCellMar>
          <w:left w:w="62" w:type="dxa"/>
          <w:right w:w="62" w:type="dxa"/>
        </w:tblCellMar>
        <w:tblLook w:val="0000"/>
      </w:tblPr>
      <w:tblGrid>
        <w:gridCol w:w="2802"/>
        <w:gridCol w:w="5720"/>
      </w:tblGrid>
      <w:tr w:rsidTr="007021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This unit contains employability skills.</w:t>
            </w:r>
          </w:p>
        </w:tc>
      </w:tr>
    </w:tbl>
    <w:p w:rsidR="007021B6" w:rsidP="002C0134">
      <w:pPr>
        <w:pStyle w:val="BodyText"/>
      </w:pPr>
    </w:p>
    <w:p w:rsidR="007021B6" w:rsidP="002C0134">
      <w:pPr>
        <w:pStyle w:val="BodyText"/>
      </w:pPr>
    </w:p>
    <w:p w:rsidR="00000000" w:rsidRPr="002C0134" w:rsidP="002C0134">
      <w:pPr>
        <w:pStyle w:val="Heading1"/>
      </w:pPr>
      <w:bookmarkStart w:id="7" w:name="O_538275"/>
      <w:bookmarkEnd w:id="7"/>
      <w:r w:rsidRPr="002C0134">
        <w:t>Elements and Performance Criteria Pre-Content</w:t>
      </w:r>
    </w:p>
    <w:tbl>
      <w:tblPr>
        <w:tblW w:w="0" w:type="auto"/>
        <w:tblLayout w:type="fixed"/>
        <w:tblCellMar>
          <w:left w:w="62" w:type="dxa"/>
          <w:right w:w="62" w:type="dxa"/>
        </w:tblCellMar>
        <w:tblLook w:val="0000"/>
      </w:tblPr>
      <w:tblGrid>
        <w:gridCol w:w="2554"/>
        <w:gridCol w:w="5968"/>
      </w:tblGrid>
      <w:tr w:rsidTr="007021B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Performance criteria describe the performance needed to demonstrate achievement of the element. Where bold italicised text is used, further information is detailed in the required skills and</w:t>
            </w:r>
            <w:r w:rsidRPr="002C0134">
              <w:t xml:space="preserve"> knowledge section and the range statement. Assessment of performance is to be consistent with the evidence guide.</w:t>
            </w:r>
          </w:p>
        </w:tc>
      </w:tr>
    </w:tbl>
    <w:p w:rsidR="00000000" w:rsidRPr="002C0134" w:rsidP="002C0134">
      <w:pPr>
        <w:pStyle w:val="BodyText"/>
      </w:pPr>
    </w:p>
    <w:p w:rsidR="00000000" w:rsidRPr="002C0134" w:rsidP="002C0134">
      <w:pPr>
        <w:pStyle w:val="AllowPageBreak"/>
      </w:pPr>
    </w:p>
    <w:p w:rsidR="00000000" w:rsidRPr="002C0134" w:rsidP="002C0134">
      <w:pPr>
        <w:pStyle w:val="Heading1"/>
      </w:pPr>
      <w:bookmarkStart w:id="8" w:name="O_538274"/>
      <w:bookmarkEnd w:id="8"/>
      <w:r w:rsidRPr="002C0134">
        <w:t>Elements and Performance Criteria</w:t>
      </w:r>
    </w:p>
    <w:tbl>
      <w:tblPr>
        <w:tblW w:w="0" w:type="auto"/>
        <w:tblLayout w:type="fixed"/>
        <w:tblCellMar>
          <w:left w:w="62" w:type="dxa"/>
          <w:right w:w="62" w:type="dxa"/>
        </w:tblCellMar>
        <w:tblLook w:val="0000"/>
      </w:tblPr>
      <w:tblGrid>
        <w:gridCol w:w="2554"/>
        <w:gridCol w:w="5968"/>
      </w:tblGrid>
      <w:tr w:rsidTr="007021B6">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PERFORMANCE CRITERIA</w:t>
            </w:r>
          </w:p>
        </w:tc>
      </w:tr>
      <w:tr w:rsidTr="007021B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List"/>
              <w:rPr>
                <w:lang w:val="en-NZ"/>
              </w:rPr>
            </w:pPr>
            <w:r w:rsidRPr="002C0134">
              <w:t>1.</w:t>
            </w:r>
            <w:r w:rsidRPr="002C0134">
              <w:tab/>
              <w:t xml:space="preserve">Maintain welding equipment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List2"/>
              <w:rPr>
                <w:lang w:val="en-NZ"/>
              </w:rPr>
            </w:pPr>
            <w:r w:rsidRPr="002C0134">
              <w:t>1.1.</w:t>
            </w:r>
            <w:r w:rsidRPr="002C0134">
              <w:tab/>
            </w:r>
            <w:r w:rsidRPr="002C0134">
              <w:t>Routine maintenance is performed on welding equipment.</w:t>
            </w:r>
          </w:p>
        </w:tc>
      </w:tr>
      <w:tr w:rsidTr="007021B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List"/>
              <w:rPr>
                <w:lang w:val="en-NZ"/>
              </w:rPr>
            </w:pPr>
            <w:r w:rsidRPr="002C0134">
              <w:t>2.</w:t>
            </w:r>
            <w:r w:rsidRPr="002C0134">
              <w:tab/>
              <w:t>Prepare welding materials and equipment for GTAW welding to code standard</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List2"/>
            </w:pPr>
            <w:r w:rsidRPr="002C0134">
              <w:t>2.1.</w:t>
            </w:r>
            <w:r w:rsidRPr="002C0134">
              <w:tab/>
              <w:t>Weld requirements for GTAW welding to code standards are determined.</w:t>
            </w:r>
          </w:p>
          <w:p w:rsidR="00000000" w:rsidRPr="002C0134" w:rsidP="002C0134">
            <w:pPr>
              <w:pStyle w:val="List2"/>
            </w:pPr>
            <w:r w:rsidRPr="002C0134">
              <w:t>2.2.</w:t>
            </w:r>
            <w:r w:rsidRPr="002C0134">
              <w:tab/>
              <w:t>Materials are prepared to produce weld to co</w:t>
            </w:r>
            <w:r w:rsidRPr="002C0134">
              <w:t>de standard.</w:t>
            </w:r>
          </w:p>
          <w:p w:rsidR="00000000" w:rsidP="002C0134">
            <w:pPr>
              <w:pStyle w:val="List2"/>
              <w:rPr>
                <w:lang w:val="en-NZ"/>
              </w:rPr>
            </w:pPr>
            <w:r w:rsidRPr="002C0134">
              <w:t>2.3.</w:t>
            </w:r>
            <w:r w:rsidRPr="002C0134">
              <w:tab/>
              <w:t>Welding equipment is set up correctly.</w:t>
            </w:r>
          </w:p>
        </w:tc>
      </w:tr>
      <w:tr w:rsidTr="007021B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List"/>
              <w:rPr>
                <w:lang w:val="en-NZ"/>
              </w:rPr>
            </w:pPr>
            <w:r w:rsidRPr="002C0134">
              <w:t>3.</w:t>
            </w:r>
            <w:r w:rsidRPr="002C0134">
              <w:tab/>
              <w:t>Weld joints using GTAW to procedure specifications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List2"/>
              <w:rPr>
                <w:lang w:val="en-NZ"/>
              </w:rPr>
            </w:pPr>
            <w:r w:rsidRPr="002C0134">
              <w:t>3.1.</w:t>
            </w:r>
            <w:r w:rsidRPr="002C0134">
              <w:tab/>
              <w:t>Materials are welded as per weld procedure specification.</w:t>
            </w:r>
          </w:p>
        </w:tc>
      </w:tr>
      <w:tr w:rsidTr="007021B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List"/>
              <w:rPr>
                <w:lang w:val="en-NZ"/>
              </w:rPr>
            </w:pPr>
            <w:r w:rsidRPr="002C0134">
              <w:t>4.</w:t>
            </w:r>
            <w:r w:rsidRPr="002C0134">
              <w:tab/>
              <w:t xml:space="preserve">Ensure weld quality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List2"/>
            </w:pPr>
            <w:r w:rsidRPr="002C0134">
              <w:t>4.1.</w:t>
            </w:r>
            <w:r w:rsidRPr="002C0134">
              <w:tab/>
            </w:r>
            <w:r w:rsidRPr="002C0134">
              <w:t>Discontinuities are rectified to ensure conformance to code requirements.</w:t>
            </w:r>
          </w:p>
          <w:p w:rsidR="00000000" w:rsidRPr="002C0134" w:rsidP="002C0134">
            <w:pPr>
              <w:pStyle w:val="List2"/>
            </w:pPr>
            <w:r w:rsidRPr="002C0134">
              <w:t>4.2.</w:t>
            </w:r>
            <w:r w:rsidRPr="002C0134">
              <w:tab/>
              <w:t>Weld records are maintained in accordance with standard operating procedures.</w:t>
            </w:r>
          </w:p>
        </w:tc>
      </w:tr>
    </w:tbl>
    <w:p w:rsidR="007021B6" w:rsidP="002C0134">
      <w:pPr>
        <w:pStyle w:val="BodyText"/>
      </w:pPr>
    </w:p>
    <w:p w:rsidR="007021B6" w:rsidP="002C0134">
      <w:pPr>
        <w:pStyle w:val="BodyText"/>
      </w:pPr>
    </w:p>
    <w:p w:rsidR="00000000" w:rsidRPr="002C0134" w:rsidP="002C0134">
      <w:pPr>
        <w:pStyle w:val="Heading1"/>
      </w:pPr>
      <w:bookmarkStart w:id="9" w:name="O_538273"/>
      <w:bookmarkEnd w:id="9"/>
      <w:r w:rsidRPr="002C0134">
        <w:t>Required Skills and Knowledge</w:t>
      </w:r>
    </w:p>
    <w:tbl>
      <w:tblPr>
        <w:tblW w:w="0" w:type="auto"/>
        <w:tblLayout w:type="fixed"/>
        <w:tblCellMar>
          <w:left w:w="62" w:type="dxa"/>
          <w:right w:w="62" w:type="dxa"/>
        </w:tblCellMar>
        <w:tblLook w:val="0000"/>
      </w:tblPr>
      <w:tblGrid>
        <w:gridCol w:w="8522"/>
      </w:tblGrid>
      <w:tr w:rsidTr="007021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REQUIRED SKILLS AND KNOWLEDGE</w:t>
            </w:r>
          </w:p>
        </w:tc>
      </w:tr>
      <w:tr w:rsidTr="007021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This section describes the skills and knowledge required for this unit.</w:t>
            </w:r>
          </w:p>
        </w:tc>
      </w:tr>
      <w:tr w:rsidTr="007021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Required skills</w:t>
            </w:r>
          </w:p>
        </w:tc>
      </w:tr>
      <w:tr w:rsidTr="007021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Look for evidence that confirms skills in:</w:t>
            </w:r>
          </w:p>
          <w:p w:rsidR="00000000" w:rsidRPr="002C0134" w:rsidP="002C0134">
            <w:pPr>
              <w:pStyle w:val="ListBullet"/>
            </w:pPr>
            <w:r w:rsidRPr="002C0134">
              <w:t>depositing welds to procedure requirements</w:t>
            </w:r>
          </w:p>
          <w:p w:rsidR="00000000" w:rsidRPr="002C0134" w:rsidP="002C0134">
            <w:pPr>
              <w:pStyle w:val="ListBullet"/>
            </w:pPr>
            <w:r w:rsidRPr="002C0134">
              <w:t>determining weld outcomes, c</w:t>
            </w:r>
            <w:r w:rsidRPr="002C0134">
              <w:t>onsumables and settings from welding procedure specification</w:t>
            </w:r>
          </w:p>
          <w:p w:rsidR="00000000" w:rsidRPr="002C0134" w:rsidP="002C0134">
            <w:pPr>
              <w:pStyle w:val="ListBullet"/>
            </w:pPr>
            <w:r w:rsidRPr="002C0134">
              <w:t>interpreting technical drawings and weld specifications for welding to code standards using GTAW</w:t>
            </w:r>
          </w:p>
          <w:p w:rsidR="00000000" w:rsidRPr="002C0134" w:rsidP="002C0134">
            <w:pPr>
              <w:pStyle w:val="ListBullet"/>
            </w:pPr>
            <w:r w:rsidRPr="002C0134">
              <w:t>using hand and power tools to prepare and weld materials to code standard</w:t>
            </w:r>
          </w:p>
          <w:p w:rsidR="00000000" w:rsidRPr="002C0134" w:rsidP="002C0134">
            <w:pPr>
              <w:pStyle w:val="ListBullet"/>
            </w:pPr>
            <w:r w:rsidRPr="002C0134">
              <w:t>using measurement and nu</w:t>
            </w:r>
            <w:r w:rsidRPr="002C0134">
              <w:t>meracy skills for welding to code standards</w:t>
            </w:r>
          </w:p>
          <w:p w:rsidR="00000000" w:rsidRPr="002C0134" w:rsidP="002C0134">
            <w:pPr>
              <w:pStyle w:val="ListBullet"/>
            </w:pPr>
            <w:r w:rsidRPr="002C0134">
              <w:t>reading and interpreting routine information on written job instructions, specifications and standard operating procedures. May include drawings</w:t>
            </w:r>
          </w:p>
          <w:p w:rsidR="00000000" w:rsidP="002C0134">
            <w:pPr>
              <w:pStyle w:val="ListBullet"/>
              <w:rPr>
                <w:lang w:val="en-NZ"/>
              </w:rPr>
            </w:pPr>
            <w:r w:rsidRPr="002C0134">
              <w:t>following oral instructions</w:t>
            </w:r>
          </w:p>
        </w:tc>
      </w:tr>
      <w:tr w:rsidTr="007021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Required knowledge</w:t>
            </w:r>
          </w:p>
        </w:tc>
      </w:tr>
      <w:tr w:rsidTr="007021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 xml:space="preserve">Look for evidence </w:t>
            </w:r>
            <w:r w:rsidRPr="002C0134">
              <w:t>that confirms knowledge of:</w:t>
            </w:r>
          </w:p>
          <w:p w:rsidR="00000000" w:rsidRPr="002C0134" w:rsidP="002C0134">
            <w:pPr>
              <w:pStyle w:val="ListBullet"/>
            </w:pPr>
            <w:r w:rsidRPr="002C0134">
              <w:t>requirements to produce welds to quality of AS 1210, AS 4041, ASME IX or equivalent</w:t>
            </w:r>
          </w:p>
          <w:p w:rsidR="00000000" w:rsidRPr="002C0134" w:rsidP="002C0134">
            <w:pPr>
              <w:pStyle w:val="ListBullet"/>
            </w:pPr>
            <w:r w:rsidRPr="002C0134">
              <w:t>safe welding practices</w:t>
            </w:r>
          </w:p>
          <w:p w:rsidR="00000000" w:rsidRPr="002C0134" w:rsidP="002C0134">
            <w:pPr>
              <w:pStyle w:val="ListBullet"/>
            </w:pPr>
            <w:r w:rsidRPr="002C0134">
              <w:t>use and application of personal protective equipment for GTAW</w:t>
            </w:r>
          </w:p>
          <w:p w:rsidR="00000000" w:rsidRPr="002C0134" w:rsidP="002C0134">
            <w:pPr>
              <w:pStyle w:val="ListBullet"/>
            </w:pPr>
            <w:r w:rsidRPr="002C0134">
              <w:t>relevant standards or codes</w:t>
            </w:r>
          </w:p>
          <w:p w:rsidR="00000000" w:rsidRPr="002C0134" w:rsidP="002C0134">
            <w:pPr>
              <w:pStyle w:val="ListBullet"/>
            </w:pPr>
            <w:r w:rsidRPr="002C0134">
              <w:t>methods for preparing plate and pipe for code standard welding</w:t>
            </w:r>
          </w:p>
          <w:p w:rsidR="00000000" w:rsidRPr="002C0134" w:rsidP="002C0134">
            <w:pPr>
              <w:pStyle w:val="ListBullet"/>
            </w:pPr>
            <w:r w:rsidRPr="002C0134">
              <w:t>pre-welding and post-welding heating methods and requirements for plate and pipe welding to code standard</w:t>
            </w:r>
          </w:p>
          <w:p w:rsidR="00000000" w:rsidRPr="002C0134" w:rsidP="002C0134">
            <w:pPr>
              <w:pStyle w:val="ListBullet"/>
            </w:pPr>
            <w:r w:rsidRPr="002C0134">
              <w:t>requirements for maintaining weld records to code standard</w:t>
            </w:r>
          </w:p>
          <w:p w:rsidR="00000000" w:rsidRPr="002C0134" w:rsidP="002C0134">
            <w:pPr>
              <w:pStyle w:val="ListBullet"/>
            </w:pPr>
            <w:r w:rsidRPr="002C0134">
              <w:t>hazards and control measures</w:t>
            </w:r>
            <w:r w:rsidRPr="002C0134">
              <w:t xml:space="preserve"> associated with welding, including housekeeping</w:t>
            </w:r>
          </w:p>
        </w:tc>
      </w:tr>
    </w:tbl>
    <w:p w:rsidR="007021B6" w:rsidP="002C0134">
      <w:pPr>
        <w:pStyle w:val="BodyText"/>
      </w:pPr>
    </w:p>
    <w:p w:rsidR="007021B6" w:rsidP="002C0134">
      <w:pPr>
        <w:pStyle w:val="BodyText"/>
      </w:pPr>
    </w:p>
    <w:p w:rsidR="00000000" w:rsidRPr="002C0134" w:rsidP="002C0134">
      <w:pPr>
        <w:pStyle w:val="AllowPageBreak"/>
      </w:pPr>
    </w:p>
    <w:p w:rsidR="00000000" w:rsidRPr="002C0134" w:rsidP="002C0134">
      <w:pPr>
        <w:pStyle w:val="Heading1"/>
      </w:pPr>
      <w:bookmarkStart w:id="10" w:name="O_538272"/>
      <w:bookmarkEnd w:id="10"/>
      <w:r w:rsidRPr="002C0134">
        <w:t>Evidence Guide</w:t>
      </w:r>
    </w:p>
    <w:tbl>
      <w:tblPr>
        <w:tblW w:w="9570" w:type="dxa"/>
        <w:tblLayout w:type="fixed"/>
        <w:tblCellMar>
          <w:left w:w="62" w:type="dxa"/>
          <w:right w:w="62" w:type="dxa"/>
        </w:tblCellMar>
        <w:tblLook w:val="0000"/>
      </w:tblPr>
      <w:tblGrid>
        <w:gridCol w:w="3908"/>
        <w:gridCol w:w="5662"/>
      </w:tblGrid>
      <w:tr w:rsidTr="007021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EVIDENCE GUIDE</w:t>
            </w:r>
          </w:p>
        </w:tc>
      </w:tr>
      <w:tr w:rsidTr="007021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The evidence guide provides advice on assessment and must be read in conjunction with the performance criteria, required skills and knowledge, range statement and the Assessment Guidelines for the Training Package.</w:t>
            </w:r>
          </w:p>
        </w:tc>
      </w:tr>
      <w:tr w:rsidTr="007021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A person who demonstrates competency in this unit must be able to prepare and produce welds to code standards using GTAW process. Competency in this unit cannot be claimed until all prerequisites have been satisfied.</w:t>
            </w:r>
          </w:p>
        </w:tc>
      </w:tr>
      <w:tr w:rsidTr="007021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Critical aspects for assessment and ev</w:t>
            </w:r>
            <w:r w:rsidRPr="002C0134">
              <w:rPr>
                <w:rStyle w:val="SpecialBold"/>
              </w:rPr>
              <w:t>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Assessors must be satisfied that the candidate can competently and consistently perform all elements of the unit as specified by the criteria, including required knowledge, and be capable of applying t</w:t>
            </w:r>
            <w:r w:rsidRPr="002C0134">
              <w:t>he competency in new and different situations and contexts.</w:t>
            </w:r>
          </w:p>
        </w:tc>
      </w:tr>
      <w:tr w:rsidTr="007021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 xml:space="preserve">This unit may be assessed on the job, off the job or a combination of both on and off the job. Where assessment occurs off the job, that is </w:t>
            </w:r>
            <w:r w:rsidRPr="002C0134">
              <w:t>the candidate is not in productive work, then an appropriate simulation must be used where the range of conditions reflects realistic workplace situations. The competencies covered by this unit would be demonstrated by an individual working alone or as par</w:t>
            </w:r>
            <w:r w:rsidRPr="002C0134">
              <w:t>t of a team. The assessment environment should not disadvantage the candidate.</w:t>
            </w:r>
          </w:p>
          <w:p w:rsidR="00000000" w:rsidP="002C0134">
            <w:pPr>
              <w:pStyle w:val="BodyText"/>
              <w:rPr>
                <w:lang w:val="en-NZ"/>
              </w:rPr>
            </w:pPr>
            <w:r w:rsidRPr="002C0134">
              <w:t>This unit could be assessed in conjunction with any other units addressing the safety, quality, communication, materials handling, recording and reporting associated with perfor</w:t>
            </w:r>
            <w:r w:rsidRPr="002C0134">
              <w:t>ming welds to code standards using gas tungsten arc welding process (GTAW) or other units requiring the exercise of the skills and knowledge covered by this unit.</w:t>
            </w:r>
          </w:p>
        </w:tc>
      </w:tr>
      <w:tr w:rsidTr="007021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 xml:space="preserve">Assessors should gather a range of evidence that is valid, sufficient, </w:t>
            </w:r>
            <w:r w:rsidRPr="002C0134">
              <w:t>current and authentic. Evidence can be gathered through a variety of ways including direct observation, supervisor's reports, project work, samples and questioning. Questioning techniques should not require language, literacy and numeracy skills beyond tho</w:t>
            </w:r>
            <w:r w:rsidRPr="002C0134">
              <w:t>se required in this unit of competency. The candidate must have access to all tools, equipment, materials and documentation required. The candidate must be permitted to refer to any relevant workplace procedures, product and manufacturing specifications, c</w:t>
            </w:r>
            <w:r w:rsidRPr="002C0134">
              <w:t>odes, standards, manuals and reference materials.</w:t>
            </w:r>
          </w:p>
        </w:tc>
      </w:tr>
      <w:tr w:rsidTr="007021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p>
        </w:tc>
      </w:tr>
    </w:tbl>
    <w:p w:rsidR="007021B6" w:rsidP="002C0134">
      <w:pPr>
        <w:pStyle w:val="BodyText"/>
      </w:pPr>
    </w:p>
    <w:p w:rsidR="007021B6" w:rsidP="002C0134">
      <w:pPr>
        <w:pStyle w:val="BodyText"/>
      </w:pPr>
    </w:p>
    <w:p w:rsidR="00000000" w:rsidRPr="002C0134" w:rsidP="002C0134">
      <w:pPr>
        <w:pStyle w:val="Heading1"/>
      </w:pPr>
      <w:bookmarkStart w:id="11" w:name="O_538271"/>
      <w:bookmarkEnd w:id="11"/>
      <w:r w:rsidRPr="002C0134">
        <w:t>Range Statement</w:t>
      </w:r>
    </w:p>
    <w:tbl>
      <w:tblPr>
        <w:tblW w:w="0" w:type="auto"/>
        <w:tblLayout w:type="fixed"/>
        <w:tblCellMar>
          <w:left w:w="62" w:type="dxa"/>
          <w:right w:w="62" w:type="dxa"/>
        </w:tblCellMar>
        <w:tblLook w:val="0000"/>
      </w:tblPr>
      <w:tblGrid>
        <w:gridCol w:w="3488"/>
        <w:gridCol w:w="5034"/>
      </w:tblGrid>
      <w:tr w:rsidTr="007021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RANGE STATEMENT</w:t>
            </w:r>
          </w:p>
        </w:tc>
      </w:tr>
      <w:tr w:rsidTr="007021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The range statement relates to the unit of competency as a whole. It allows for different work</w:t>
            </w:r>
            <w:r w:rsidRPr="002C0134">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2C0134">
              <w:t>ds of the candidate, accessibility of the item, and local industry and regional contexts) may also be included.</w:t>
            </w:r>
          </w:p>
        </w:tc>
      </w:tr>
      <w:tr w:rsidTr="007021B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Routine maintenance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Ensuring hand piece, gas shroud, flow meter etc. are in serviceable condition</w:t>
            </w:r>
          </w:p>
        </w:tc>
      </w:tr>
      <w:tr w:rsidTr="007021B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Prepared</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t>Flame cut a</w:t>
            </w:r>
            <w:r w:rsidRPr="002C0134">
              <w:t>nd ground or machined, preheating, setting up of jigs, fixtures, clamps, etc.</w:t>
            </w:r>
          </w:p>
        </w:tc>
      </w:tr>
      <w:tr w:rsidTr="007021B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r w:rsidRPr="002C0134">
              <w:t>Carbon/manganese steel, low alloy steel and aluminium materials, etc. on plate, pipe and rolled steel sections</w:t>
            </w:r>
          </w:p>
        </w:tc>
      </w:tr>
    </w:tbl>
    <w:p w:rsidR="007021B6" w:rsidP="002C0134">
      <w:pPr>
        <w:pStyle w:val="BodyText"/>
      </w:pPr>
    </w:p>
    <w:p w:rsidR="007021B6" w:rsidP="002C0134">
      <w:pPr>
        <w:pStyle w:val="BodyText"/>
      </w:pPr>
    </w:p>
    <w:p w:rsidR="00000000" w:rsidRPr="002C0134" w:rsidP="002C0134">
      <w:pPr>
        <w:pStyle w:val="Heading1"/>
      </w:pPr>
      <w:bookmarkStart w:id="12" w:name="O_538270"/>
      <w:bookmarkEnd w:id="12"/>
      <w:r w:rsidRPr="002C0134">
        <w:t>Unit Sector(s)</w:t>
      </w:r>
    </w:p>
    <w:tbl>
      <w:tblPr>
        <w:tblW w:w="0" w:type="auto"/>
        <w:tblLayout w:type="fixed"/>
        <w:tblCellMar>
          <w:left w:w="62" w:type="dxa"/>
          <w:right w:w="62" w:type="dxa"/>
        </w:tblCellMar>
        <w:tblLook w:val="0000"/>
      </w:tblPr>
      <w:tblGrid>
        <w:gridCol w:w="2654"/>
        <w:gridCol w:w="5868"/>
      </w:tblGrid>
      <w:tr w:rsidTr="007021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p>
        </w:tc>
      </w:tr>
    </w:tbl>
    <w:p w:rsidR="007021B6" w:rsidP="002C0134">
      <w:pPr>
        <w:pStyle w:val="BodyText"/>
      </w:pPr>
    </w:p>
    <w:p w:rsidR="007021B6" w:rsidP="002C0134">
      <w:pPr>
        <w:pStyle w:val="BodyText"/>
      </w:pPr>
    </w:p>
    <w:p w:rsidR="00000000" w:rsidRPr="002C0134" w:rsidP="002C0134">
      <w:pPr>
        <w:pStyle w:val="Heading1"/>
      </w:pPr>
      <w:bookmarkStart w:id="13" w:name="O_538269"/>
      <w:bookmarkEnd w:id="13"/>
      <w:r w:rsidRPr="002C0134">
        <w:t>Co-requisite units</w:t>
      </w:r>
    </w:p>
    <w:tbl>
      <w:tblPr>
        <w:tblW w:w="0" w:type="auto"/>
        <w:tblLayout w:type="fixed"/>
        <w:tblCellMar>
          <w:left w:w="62" w:type="dxa"/>
          <w:right w:w="62" w:type="dxa"/>
        </w:tblCellMar>
        <w:tblLook w:val="0000"/>
      </w:tblPr>
      <w:tblGrid>
        <w:gridCol w:w="2641"/>
        <w:gridCol w:w="1322"/>
        <w:gridCol w:w="4559"/>
      </w:tblGrid>
      <w:tr w:rsidTr="007021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p>
        </w:tc>
      </w:tr>
      <w:tr w:rsidTr="007021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p>
        </w:tc>
      </w:tr>
      <w:tr w:rsidTr="007021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p>
        </w:tc>
      </w:tr>
    </w:tbl>
    <w:p w:rsidR="007021B6" w:rsidP="002C0134">
      <w:pPr>
        <w:pStyle w:val="BodyText"/>
      </w:pPr>
    </w:p>
    <w:p w:rsidR="007021B6" w:rsidP="002C0134">
      <w:pPr>
        <w:pStyle w:val="BodyText"/>
      </w:pPr>
    </w:p>
    <w:p w:rsidR="00000000" w:rsidRPr="002C0134" w:rsidP="002C0134">
      <w:pPr>
        <w:pStyle w:val="Heading1"/>
      </w:pPr>
      <w:bookmarkStart w:id="14" w:name="O_538268"/>
      <w:bookmarkEnd w:id="14"/>
      <w:r w:rsidRPr="002C0134">
        <w:t>Competency field</w:t>
      </w:r>
    </w:p>
    <w:tbl>
      <w:tblPr>
        <w:tblW w:w="0" w:type="auto"/>
        <w:tblLayout w:type="fixed"/>
        <w:tblCellMar>
          <w:left w:w="62" w:type="dxa"/>
          <w:right w:w="62" w:type="dxa"/>
        </w:tblCellMar>
        <w:tblLook w:val="0000"/>
      </w:tblPr>
      <w:tblGrid>
        <w:gridCol w:w="2784"/>
        <w:gridCol w:w="5738"/>
      </w:tblGrid>
      <w:tr w:rsidTr="007021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134">
            <w:pPr>
              <w:pStyle w:val="BodyText"/>
              <w:rPr>
                <w:lang w:val="en-NZ"/>
              </w:rPr>
            </w:pPr>
            <w:r w:rsidRPr="002C01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134" w:rsidP="002C0134">
            <w:pPr>
              <w:pStyle w:val="BodyText"/>
            </w:pPr>
          </w:p>
        </w:tc>
      </w:tr>
    </w:tbl>
    <w:p w:rsidR="007021B6" w:rsidP="002C0134">
      <w:pPr>
        <w:pStyle w:val="BodyText"/>
      </w:pPr>
    </w:p>
    <w:p w:rsidR="007021B6" w:rsidP="002C0134">
      <w:pPr>
        <w:pStyle w:val="BodyText"/>
      </w:pPr>
    </w:p>
    <w:p w:rsidR="00000000" w:rsidRPr="002C0134" w:rsidP="002C0134"/>
    <w:sectPr w:rsidSect="002C01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34" w:rsidRPr="007021B6" w:rsidP="00702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B6" w:rsidP="002C0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021B6" w:rsidP="002C01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21B6" w:rsidP="002C0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34" w:rsidRPr="007021B6" w:rsidP="007021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B6" w:rsidRPr="002D2AF8" w:rsidP="002C0134">
    <w:pPr>
      <w:pStyle w:val="Header"/>
      <w:framePr w:wrap="around"/>
    </w:pPr>
    <w:r>
      <w:fldChar w:fldCharType="begin"/>
    </w:r>
    <w:r>
      <w:instrText xml:space="preserve"> TITLE   \* MERGEFORMAT </w:instrText>
    </w:r>
    <w:r>
      <w:fldChar w:fldCharType="separate"/>
    </w:r>
    <w:r>
      <w:t>MEM05044B Perform welds to code standards using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7021B6" w:rsidP="002C0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848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6E9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134"/>
    <w:pPr>
      <w:spacing w:before="360" w:after="60"/>
      <w:outlineLvl w:val="0"/>
    </w:pPr>
    <w:rPr>
      <w:sz w:val="32"/>
    </w:rPr>
  </w:style>
  <w:style w:type="paragraph" w:styleId="Heading2">
    <w:name w:val="heading 2"/>
    <w:basedOn w:val="HeadingBase"/>
    <w:next w:val="BodyText"/>
    <w:link w:val="Heading2Char"/>
    <w:qFormat/>
    <w:rsid w:val="002C0134"/>
    <w:pPr>
      <w:keepLines/>
      <w:spacing w:before="240" w:after="120"/>
      <w:outlineLvl w:val="1"/>
    </w:pPr>
    <w:rPr>
      <w:sz w:val="28"/>
      <w:szCs w:val="40"/>
    </w:rPr>
  </w:style>
  <w:style w:type="paragraph" w:styleId="Heading3">
    <w:name w:val="heading 3"/>
    <w:basedOn w:val="HeadingBase"/>
    <w:next w:val="BodyText"/>
    <w:link w:val="Heading3Char"/>
    <w:qFormat/>
    <w:rsid w:val="002C0134"/>
    <w:pPr>
      <w:spacing w:before="180" w:after="120"/>
      <w:outlineLvl w:val="2"/>
    </w:pPr>
    <w:rPr>
      <w:spacing w:val="-10"/>
      <w:kern w:val="32"/>
    </w:rPr>
  </w:style>
  <w:style w:type="paragraph" w:styleId="Heading4">
    <w:name w:val="heading 4"/>
    <w:basedOn w:val="HeadingBase"/>
    <w:next w:val="BodyText"/>
    <w:link w:val="Heading4Char"/>
    <w:qFormat/>
    <w:rsid w:val="002C0134"/>
    <w:pPr>
      <w:spacing w:before="160" w:after="120"/>
      <w:outlineLvl w:val="3"/>
    </w:pPr>
    <w:rPr>
      <w:sz w:val="22"/>
    </w:rPr>
  </w:style>
  <w:style w:type="paragraph" w:styleId="Heading5">
    <w:name w:val="heading 5"/>
    <w:basedOn w:val="HeadingBase"/>
    <w:next w:val="Normal"/>
    <w:link w:val="Heading5Char"/>
    <w:qFormat/>
    <w:rsid w:val="002C0134"/>
    <w:pPr>
      <w:spacing w:before="80"/>
      <w:outlineLvl w:val="4"/>
    </w:pPr>
    <w:rPr>
      <w:color w:val="918585"/>
      <w:sz w:val="20"/>
    </w:rPr>
  </w:style>
  <w:style w:type="paragraph" w:styleId="Heading6">
    <w:name w:val="heading 6"/>
    <w:basedOn w:val="HeadingBase"/>
    <w:next w:val="Normal"/>
    <w:link w:val="Heading6Char"/>
    <w:qFormat/>
    <w:rsid w:val="002C0134"/>
    <w:pPr>
      <w:spacing w:before="60"/>
      <w:outlineLvl w:val="5"/>
    </w:pPr>
    <w:rPr>
      <w:color w:val="918585"/>
      <w:sz w:val="20"/>
    </w:rPr>
  </w:style>
  <w:style w:type="paragraph" w:styleId="Heading7">
    <w:name w:val="heading 7"/>
    <w:basedOn w:val="Normal"/>
    <w:next w:val="Normal"/>
    <w:link w:val="Heading7Char"/>
    <w:qFormat/>
    <w:rsid w:val="002C0134"/>
    <w:pPr>
      <w:ind w:left="720"/>
      <w:outlineLvl w:val="6"/>
    </w:pPr>
    <w:rPr>
      <w:i/>
    </w:rPr>
  </w:style>
  <w:style w:type="paragraph" w:styleId="Heading8">
    <w:name w:val="heading 8"/>
    <w:basedOn w:val="Normal"/>
    <w:next w:val="Normal"/>
    <w:link w:val="Heading8Char"/>
    <w:qFormat/>
    <w:rsid w:val="002C0134"/>
    <w:pPr>
      <w:ind w:left="720"/>
      <w:outlineLvl w:val="7"/>
    </w:pPr>
    <w:rPr>
      <w:i/>
    </w:rPr>
  </w:style>
  <w:style w:type="paragraph" w:styleId="Heading9">
    <w:name w:val="heading 9"/>
    <w:basedOn w:val="Normal"/>
    <w:next w:val="Normal"/>
    <w:link w:val="Heading9Char"/>
    <w:qFormat/>
    <w:rsid w:val="002C0134"/>
    <w:pPr>
      <w:ind w:left="720"/>
      <w:outlineLvl w:val="8"/>
    </w:pPr>
    <w:rPr>
      <w:i/>
    </w:rPr>
  </w:style>
  <w:style w:type="character" w:default="1" w:styleId="DefaultParagraphFont">
    <w:name w:val="Default Paragraph Font"/>
    <w:uiPriority w:val="1"/>
    <w:unhideWhenUsed/>
    <w:rsid w:val="002C0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134"/>
  </w:style>
  <w:style w:type="character" w:customStyle="1" w:styleId="Heading1Char">
    <w:name w:val="Heading 1 Char"/>
    <w:basedOn w:val="DefaultParagraphFont"/>
    <w:link w:val="Heading1"/>
    <w:rsid w:val="002C0134"/>
    <w:rPr>
      <w:rFonts w:ascii="Times New Roman" w:eastAsia="Times New Roman" w:hAnsi="Times New Roman" w:cs="Times New Roman"/>
      <w:b/>
      <w:sz w:val="32"/>
      <w:szCs w:val="20"/>
      <w:lang w:eastAsia="en-US"/>
    </w:rPr>
  </w:style>
  <w:style w:type="paragraph" w:styleId="BodyText">
    <w:name w:val="Body Text"/>
    <w:basedOn w:val="Normal"/>
    <w:link w:val="BodyTextChar"/>
    <w:rsid w:val="002C01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134"/>
    <w:rPr>
      <w:rFonts w:ascii="Times New Roman" w:eastAsia="Times New Roman" w:hAnsi="Times New Roman" w:cs="Times New Roman"/>
      <w:sz w:val="24"/>
      <w:lang w:eastAsia="en-US"/>
    </w:rPr>
  </w:style>
  <w:style w:type="paragraph" w:styleId="List">
    <w:name w:val="List"/>
    <w:basedOn w:val="BodyText"/>
    <w:next w:val="BodyText"/>
    <w:rsid w:val="002C0134"/>
    <w:pPr>
      <w:tabs>
        <w:tab w:val="left" w:pos="340"/>
      </w:tabs>
      <w:spacing w:before="60" w:after="60"/>
      <w:ind w:left="340" w:hanging="340"/>
    </w:pPr>
  </w:style>
  <w:style w:type="paragraph" w:styleId="ListBullet">
    <w:name w:val="List Bullet"/>
    <w:basedOn w:val="List"/>
    <w:rsid w:val="002C0134"/>
    <w:pPr>
      <w:numPr>
        <w:numId w:val="12"/>
      </w:numPr>
      <w:tabs>
        <w:tab w:val="clear" w:pos="340"/>
      </w:tabs>
      <w:spacing w:before="40" w:after="40"/>
    </w:pPr>
  </w:style>
  <w:style w:type="character" w:customStyle="1" w:styleId="SpecialBold">
    <w:name w:val="Special Bold"/>
    <w:basedOn w:val="DefaultParagraphFont"/>
    <w:rsid w:val="002C0134"/>
    <w:rPr>
      <w:b/>
      <w:spacing w:val="0"/>
    </w:rPr>
  </w:style>
  <w:style w:type="paragraph" w:customStyle="1" w:styleId="SuperHeading">
    <w:name w:val="SuperHeading"/>
    <w:basedOn w:val="Normal"/>
    <w:rsid w:val="002C0134"/>
    <w:pPr>
      <w:spacing w:before="240" w:after="120"/>
      <w:outlineLvl w:val="0"/>
    </w:pPr>
    <w:rPr>
      <w:rFonts w:ascii="Times New Roman" w:hAnsi="Times New Roman"/>
      <w:b/>
      <w:sz w:val="32"/>
    </w:rPr>
  </w:style>
  <w:style w:type="paragraph" w:customStyle="1" w:styleId="AllowPageBreak">
    <w:name w:val="AllowPageBreak"/>
    <w:rsid w:val="002C01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134"/>
    <w:pPr>
      <w:tabs>
        <w:tab w:val="left" w:pos="680"/>
      </w:tabs>
      <w:spacing w:before="60" w:after="60"/>
      <w:ind w:left="680" w:hanging="340"/>
    </w:pPr>
  </w:style>
  <w:style w:type="character" w:customStyle="1" w:styleId="Heading2Char">
    <w:name w:val="Heading 2 Char"/>
    <w:basedOn w:val="DefaultParagraphFont"/>
    <w:link w:val="Heading2"/>
    <w:rsid w:val="002C0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134"/>
    <w:rPr>
      <w:rFonts w:ascii="Courier New" w:eastAsia="Times New Roman" w:hAnsi="Courier New" w:cs="Times New Roman"/>
      <w:i/>
      <w:szCs w:val="20"/>
      <w:lang w:eastAsia="en-US"/>
    </w:rPr>
  </w:style>
  <w:style w:type="paragraph" w:customStyle="1" w:styleId="HeadingBase">
    <w:name w:val="Heading Base"/>
    <w:rsid w:val="002C0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134"/>
    <w:pPr>
      <w:tabs>
        <w:tab w:val="right" w:leader="dot" w:pos="9072"/>
      </w:tabs>
      <w:ind w:left="567"/>
    </w:pPr>
    <w:rPr>
      <w:szCs w:val="22"/>
    </w:rPr>
  </w:style>
  <w:style w:type="paragraph" w:customStyle="1" w:styleId="TOCBase">
    <w:name w:val="TOC Base"/>
    <w:rsid w:val="002C0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134"/>
    <w:pPr>
      <w:tabs>
        <w:tab w:val="right" w:leader="dot" w:pos="9072"/>
      </w:tabs>
      <w:spacing w:before="40" w:after="40"/>
      <w:ind w:left="284"/>
    </w:pPr>
    <w:rPr>
      <w:rFonts w:ascii="Times New Roman" w:hAnsi="Times New Roman"/>
    </w:rPr>
  </w:style>
  <w:style w:type="paragraph" w:styleId="TOC1">
    <w:name w:val="toc 1"/>
    <w:basedOn w:val="TOCBase"/>
    <w:next w:val="Normal"/>
    <w:rsid w:val="002C0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134"/>
    <w:rPr>
      <w:rFonts w:ascii="Times New Roman" w:eastAsia="Times New Roman" w:hAnsi="Times New Roman" w:cs="Times New Roman"/>
      <w:sz w:val="16"/>
      <w:lang w:eastAsia="en-US"/>
    </w:rPr>
  </w:style>
  <w:style w:type="paragraph" w:styleId="Title">
    <w:name w:val="Title"/>
    <w:basedOn w:val="HeadingBase"/>
    <w:link w:val="TitleChar"/>
    <w:qFormat/>
    <w:rsid w:val="002C0134"/>
    <w:pPr>
      <w:spacing w:before="5040"/>
      <w:jc w:val="center"/>
    </w:pPr>
    <w:rPr>
      <w:sz w:val="48"/>
      <w:szCs w:val="72"/>
      <w:lang w:val="en-US"/>
    </w:rPr>
  </w:style>
  <w:style w:type="character" w:customStyle="1" w:styleId="TitleChar">
    <w:name w:val="Title Char"/>
    <w:basedOn w:val="DefaultParagraphFont"/>
    <w:link w:val="Title"/>
    <w:rsid w:val="002C0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134"/>
    <w:pPr>
      <w:tabs>
        <w:tab w:val="left" w:pos="3600"/>
        <w:tab w:val="left" w:pos="3958"/>
      </w:tabs>
    </w:pPr>
  </w:style>
  <w:style w:type="paragraph" w:customStyle="1" w:styleId="Note">
    <w:name w:val="Note"/>
    <w:basedOn w:val="BodyText"/>
    <w:rsid w:val="002C0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134"/>
    <w:pPr>
      <w:framePr w:wrap="auto" w:hAnchor="text" w:y="6049"/>
    </w:pPr>
    <w:rPr>
      <w:color w:val="000000"/>
      <w:sz w:val="40"/>
    </w:rPr>
  </w:style>
  <w:style w:type="paragraph" w:customStyle="1" w:styleId="TOCTitle">
    <w:name w:val="TOCTitle"/>
    <w:basedOn w:val="Heading1"/>
    <w:rsid w:val="002C0134"/>
    <w:pPr>
      <w:spacing w:after="240"/>
      <w:jc w:val="center"/>
      <w:outlineLvl w:val="9"/>
    </w:pPr>
    <w:rPr>
      <w:caps/>
    </w:rPr>
  </w:style>
  <w:style w:type="paragraph" w:customStyle="1" w:styleId="Version">
    <w:name w:val="Version"/>
    <w:rsid w:val="002C0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134"/>
    <w:pPr>
      <w:numPr>
        <w:numId w:val="13"/>
      </w:numPr>
      <w:tabs>
        <w:tab w:val="clear" w:pos="680"/>
      </w:tabs>
    </w:pPr>
  </w:style>
  <w:style w:type="paragraph" w:styleId="Index1">
    <w:name w:val="index 1"/>
    <w:basedOn w:val="Normal"/>
    <w:next w:val="Normal"/>
    <w:semiHidden/>
    <w:rsid w:val="002C0134"/>
    <w:pPr>
      <w:keepNext w:val="0"/>
      <w:tabs>
        <w:tab w:val="right" w:pos="4176"/>
      </w:tabs>
      <w:ind w:left="198" w:hanging="198"/>
    </w:pPr>
    <w:rPr>
      <w:rFonts w:ascii="Garamond" w:hAnsi="Garamond"/>
    </w:rPr>
  </w:style>
  <w:style w:type="paragraph" w:styleId="IndexHeading">
    <w:name w:val="index heading"/>
    <w:basedOn w:val="Normal"/>
    <w:next w:val="Index1"/>
    <w:semiHidden/>
    <w:rsid w:val="002C0134"/>
    <w:pPr>
      <w:spacing w:before="120" w:after="120"/>
    </w:pPr>
    <w:rPr>
      <w:rFonts w:ascii="Arial" w:hAnsi="Arial"/>
      <w:b/>
      <w:color w:val="918585"/>
      <w:sz w:val="24"/>
    </w:rPr>
  </w:style>
  <w:style w:type="paragraph" w:styleId="Header">
    <w:name w:val="header"/>
    <w:basedOn w:val="Normal"/>
    <w:link w:val="HeaderChar"/>
    <w:rsid w:val="002C0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134"/>
    <w:rPr>
      <w:rFonts w:ascii="Times New Roman" w:eastAsia="Times New Roman" w:hAnsi="Times New Roman" w:cs="Times New Roman"/>
      <w:sz w:val="16"/>
      <w:szCs w:val="20"/>
      <w:lang w:val="en-GB" w:eastAsia="en-US"/>
    </w:rPr>
  </w:style>
  <w:style w:type="paragraph" w:customStyle="1" w:styleId="Chapter">
    <w:name w:val="Chapter"/>
    <w:basedOn w:val="Normal"/>
    <w:rsid w:val="002C0134"/>
    <w:pPr>
      <w:spacing w:before="240"/>
    </w:pPr>
    <w:rPr>
      <w:rFonts w:ascii="Times New Roman" w:hAnsi="Times New Roman"/>
      <w:smallCaps/>
      <w:spacing w:val="80"/>
      <w:sz w:val="28"/>
    </w:rPr>
  </w:style>
  <w:style w:type="paragraph" w:customStyle="1" w:styleId="InChapter">
    <w:name w:val="InChapter"/>
    <w:basedOn w:val="Heading3"/>
    <w:rsid w:val="002C0134"/>
    <w:pPr>
      <w:spacing w:after="240"/>
      <w:outlineLvl w:val="9"/>
    </w:pPr>
    <w:rPr>
      <w:noProof/>
    </w:rPr>
  </w:style>
  <w:style w:type="paragraph" w:styleId="Index2">
    <w:name w:val="index 2"/>
    <w:basedOn w:val="Normal"/>
    <w:next w:val="Normal"/>
    <w:semiHidden/>
    <w:rsid w:val="002C0134"/>
    <w:pPr>
      <w:tabs>
        <w:tab w:val="right" w:pos="4176"/>
      </w:tabs>
      <w:ind w:left="568" w:hanging="284"/>
    </w:pPr>
    <w:rPr>
      <w:rFonts w:ascii="Garamond" w:hAnsi="Garamond"/>
    </w:rPr>
  </w:style>
  <w:style w:type="paragraph" w:customStyle="1" w:styleId="Byline">
    <w:name w:val="Byline"/>
    <w:rsid w:val="002C0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134"/>
    <w:pPr>
      <w:tabs>
        <w:tab w:val="clear" w:pos="3600"/>
        <w:tab w:val="clear" w:pos="3958"/>
      </w:tabs>
      <w:jc w:val="right"/>
    </w:pPr>
  </w:style>
  <w:style w:type="character" w:styleId="Emphasis">
    <w:name w:val="Emphasis"/>
    <w:basedOn w:val="DefaultParagraphFont"/>
    <w:qFormat/>
    <w:rsid w:val="002C0134"/>
    <w:rPr>
      <w:i/>
    </w:rPr>
  </w:style>
  <w:style w:type="paragraph" w:styleId="Caption">
    <w:name w:val="caption"/>
    <w:basedOn w:val="BodyText"/>
    <w:next w:val="Normal"/>
    <w:qFormat/>
    <w:rsid w:val="002C0134"/>
    <w:pPr>
      <w:framePr w:w="2268" w:hSpace="181" w:vSpace="181" w:wrap="around" w:vAnchor="text" w:hAnchor="page" w:x="1135" w:y="285" w:anchorLock="1"/>
    </w:pPr>
    <w:rPr>
      <w:i/>
    </w:rPr>
  </w:style>
  <w:style w:type="paragraph" w:customStyle="1" w:styleId="MiniTOCTitle">
    <w:name w:val="MiniTOCTitle"/>
    <w:basedOn w:val="Heading4"/>
    <w:rsid w:val="002C0134"/>
    <w:pPr>
      <w:spacing w:before="240"/>
      <w:outlineLvl w:val="9"/>
    </w:pPr>
    <w:rPr>
      <w:noProof/>
      <w:sz w:val="24"/>
    </w:rPr>
  </w:style>
  <w:style w:type="paragraph" w:customStyle="1" w:styleId="MiniTOCItem">
    <w:name w:val="MiniTOCItem"/>
    <w:basedOn w:val="ListBullet"/>
    <w:rsid w:val="002C0134"/>
    <w:pPr>
      <w:numPr>
        <w:numId w:val="0"/>
      </w:numPr>
      <w:tabs>
        <w:tab w:val="right" w:leader="dot" w:pos="6521"/>
      </w:tabs>
      <w:spacing w:before="0" w:after="0"/>
    </w:pPr>
  </w:style>
  <w:style w:type="paragraph" w:customStyle="1" w:styleId="TOFTitle">
    <w:name w:val="TOFTitle"/>
    <w:basedOn w:val="TOCTitle"/>
    <w:rsid w:val="002C0134"/>
  </w:style>
  <w:style w:type="paragraph" w:styleId="TableofFigures">
    <w:name w:val="table of figures"/>
    <w:basedOn w:val="Normal"/>
    <w:next w:val="Normal"/>
    <w:semiHidden/>
    <w:rsid w:val="002C0134"/>
    <w:pPr>
      <w:tabs>
        <w:tab w:val="right" w:leader="dot" w:pos="9072"/>
      </w:tabs>
      <w:ind w:left="970" w:hanging="403"/>
    </w:pPr>
    <w:rPr>
      <w:rFonts w:ascii="Times New Roman" w:hAnsi="Times New Roman"/>
      <w:b/>
    </w:rPr>
  </w:style>
  <w:style w:type="paragraph" w:styleId="ListNumber">
    <w:name w:val="List Number"/>
    <w:basedOn w:val="List"/>
    <w:rsid w:val="002C0134"/>
    <w:pPr>
      <w:numPr>
        <w:numId w:val="10"/>
      </w:numPr>
    </w:pPr>
  </w:style>
  <w:style w:type="character" w:customStyle="1" w:styleId="WingdingSymbols">
    <w:name w:val="Wingding Symbols"/>
    <w:rsid w:val="002C0134"/>
    <w:rPr>
      <w:rFonts w:ascii="Wingdings" w:hAnsi="Wingdings"/>
    </w:rPr>
  </w:style>
  <w:style w:type="paragraph" w:customStyle="1" w:styleId="TableHeading">
    <w:name w:val="Table Heading"/>
    <w:basedOn w:val="HeadingBase"/>
    <w:rsid w:val="002C0134"/>
    <w:pPr>
      <w:keepLines/>
      <w:pBdr>
        <w:bottom w:val="single" w:sz="6" w:space="1" w:color="918585"/>
      </w:pBdr>
      <w:spacing w:before="240"/>
    </w:pPr>
  </w:style>
  <w:style w:type="character" w:customStyle="1" w:styleId="HotSpot">
    <w:name w:val="HotSpot"/>
    <w:rsid w:val="002C0134"/>
    <w:rPr>
      <w:color w:val="0033CC"/>
      <w:u w:val="none"/>
    </w:rPr>
  </w:style>
  <w:style w:type="paragraph" w:customStyle="1" w:styleId="BodyTextRight">
    <w:name w:val="Body Text Right"/>
    <w:basedOn w:val="BodyText"/>
    <w:rsid w:val="002C0134"/>
    <w:pPr>
      <w:spacing w:before="0" w:after="0"/>
      <w:jc w:val="right"/>
    </w:pPr>
  </w:style>
  <w:style w:type="paragraph" w:styleId="Index3">
    <w:name w:val="index 3"/>
    <w:basedOn w:val="ListNumber2"/>
    <w:next w:val="Normal"/>
    <w:semiHidden/>
    <w:rsid w:val="002C0134"/>
    <w:pPr>
      <w:numPr>
        <w:numId w:val="0"/>
      </w:numPr>
      <w:tabs>
        <w:tab w:val="right" w:leader="dot" w:pos="4176"/>
      </w:tabs>
    </w:pPr>
  </w:style>
  <w:style w:type="paragraph" w:styleId="ListNumber2">
    <w:name w:val="List Number 2"/>
    <w:basedOn w:val="List2"/>
    <w:rsid w:val="002C0134"/>
    <w:pPr>
      <w:numPr>
        <w:numId w:val="9"/>
      </w:numPr>
      <w:tabs>
        <w:tab w:val="clear" w:pos="1060"/>
      </w:tabs>
    </w:pPr>
  </w:style>
  <w:style w:type="paragraph" w:customStyle="1" w:styleId="MarginNote">
    <w:name w:val="Margin Note"/>
    <w:basedOn w:val="BodyText"/>
    <w:rsid w:val="002C0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134"/>
    <w:rPr>
      <w:sz w:val="32"/>
    </w:rPr>
  </w:style>
  <w:style w:type="paragraph" w:customStyle="1" w:styleId="HeadingProcedure">
    <w:name w:val="Heading Procedure"/>
    <w:basedOn w:val="HeadingBase"/>
    <w:next w:val="Normal"/>
    <w:rsid w:val="002C0134"/>
    <w:pPr>
      <w:tabs>
        <w:tab w:val="left" w:pos="0"/>
      </w:tabs>
      <w:spacing w:before="120" w:after="60"/>
    </w:pPr>
    <w:rPr>
      <w:i/>
      <w:color w:val="918585"/>
      <w:sz w:val="22"/>
    </w:rPr>
  </w:style>
  <w:style w:type="paragraph" w:customStyle="1" w:styleId="TableBodyText">
    <w:name w:val="Table Body Text"/>
    <w:basedOn w:val="BodyText"/>
    <w:rsid w:val="002C0134"/>
    <w:pPr>
      <w:spacing w:before="60" w:after="60"/>
    </w:pPr>
  </w:style>
  <w:style w:type="paragraph" w:styleId="ListContinue">
    <w:name w:val="List Continue"/>
    <w:basedOn w:val="List"/>
    <w:rsid w:val="002C0134"/>
    <w:pPr>
      <w:ind w:firstLine="0"/>
    </w:pPr>
  </w:style>
  <w:style w:type="paragraph" w:customStyle="1" w:styleId="ListNote">
    <w:name w:val="List Note"/>
    <w:basedOn w:val="List"/>
    <w:rsid w:val="002C0134"/>
    <w:pPr>
      <w:pBdr>
        <w:top w:val="single" w:sz="6" w:space="2" w:color="918585"/>
        <w:bottom w:val="single" w:sz="6" w:space="2" w:color="918585"/>
      </w:pBdr>
      <w:tabs>
        <w:tab w:val="left" w:pos="1021"/>
      </w:tabs>
      <w:ind w:firstLine="0"/>
    </w:pPr>
  </w:style>
  <w:style w:type="paragraph" w:customStyle="1" w:styleId="Warning">
    <w:name w:val="Warning"/>
    <w:basedOn w:val="BodyText"/>
    <w:rsid w:val="002C0134"/>
    <w:pPr>
      <w:shd w:val="clear" w:color="auto" w:fill="D9D9D9"/>
      <w:tabs>
        <w:tab w:val="left" w:pos="992"/>
      </w:tabs>
      <w:ind w:left="119" w:right="119"/>
    </w:pPr>
    <w:rPr>
      <w:sz w:val="20"/>
    </w:rPr>
  </w:style>
  <w:style w:type="paragraph" w:customStyle="1" w:styleId="MarginIcons">
    <w:name w:val="Margin Icons"/>
    <w:basedOn w:val="BodyText"/>
    <w:rsid w:val="002C0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134"/>
    <w:rPr>
      <w:rFonts w:ascii="Courier New" w:hAnsi="Courier New"/>
    </w:rPr>
  </w:style>
  <w:style w:type="paragraph" w:customStyle="1" w:styleId="NoteBullet">
    <w:name w:val="Note Bullet"/>
    <w:basedOn w:val="Note"/>
    <w:rsid w:val="002C0134"/>
    <w:pPr>
      <w:tabs>
        <w:tab w:val="clear" w:pos="680"/>
      </w:tabs>
      <w:spacing w:before="60" w:after="60"/>
    </w:pPr>
  </w:style>
  <w:style w:type="paragraph" w:customStyle="1" w:styleId="SubHeading2">
    <w:name w:val="SubHeading2"/>
    <w:basedOn w:val="HeadingBase"/>
    <w:rsid w:val="002C0134"/>
    <w:pPr>
      <w:spacing w:before="240" w:after="60"/>
    </w:pPr>
    <w:rPr>
      <w:sz w:val="20"/>
    </w:rPr>
  </w:style>
  <w:style w:type="paragraph" w:customStyle="1" w:styleId="SubHeading1">
    <w:name w:val="SubHeading1"/>
    <w:basedOn w:val="HeadingBase"/>
    <w:rsid w:val="002C0134"/>
    <w:pPr>
      <w:spacing w:before="240" w:after="60"/>
    </w:pPr>
    <w:rPr>
      <w:color w:val="918585"/>
      <w:sz w:val="22"/>
    </w:rPr>
  </w:style>
  <w:style w:type="paragraph" w:customStyle="1" w:styleId="SideHeading">
    <w:name w:val="Side Heading"/>
    <w:basedOn w:val="HeadingBase"/>
    <w:rsid w:val="002C0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134"/>
    <w:pPr>
      <w:tabs>
        <w:tab w:val="num" w:pos="360"/>
      </w:tabs>
    </w:pPr>
  </w:style>
  <w:style w:type="paragraph" w:styleId="PlainText">
    <w:name w:val="Plain Text"/>
    <w:basedOn w:val="Normal"/>
    <w:link w:val="PlainTextChar"/>
    <w:rsid w:val="002C0134"/>
    <w:rPr>
      <w:sz w:val="20"/>
    </w:rPr>
  </w:style>
  <w:style w:type="character" w:customStyle="1" w:styleId="PlainTextChar">
    <w:name w:val="Plain Text Char"/>
    <w:basedOn w:val="DefaultParagraphFont"/>
    <w:link w:val="PlainText"/>
    <w:rsid w:val="002C0134"/>
    <w:rPr>
      <w:rFonts w:ascii="Courier New" w:eastAsia="Times New Roman" w:hAnsi="Courier New" w:cs="Times New Roman"/>
      <w:sz w:val="20"/>
      <w:szCs w:val="20"/>
      <w:lang w:eastAsia="en-US"/>
    </w:rPr>
  </w:style>
  <w:style w:type="character" w:customStyle="1" w:styleId="MenuOption">
    <w:name w:val="Menu Option"/>
    <w:basedOn w:val="DefaultParagraphFont"/>
    <w:rsid w:val="002C0134"/>
    <w:rPr>
      <w:b/>
      <w:smallCaps/>
    </w:rPr>
  </w:style>
  <w:style w:type="paragraph" w:customStyle="1" w:styleId="TableListNumber">
    <w:name w:val="Table List Number"/>
    <w:basedOn w:val="ListNumber"/>
    <w:rsid w:val="002C0134"/>
    <w:pPr>
      <w:numPr>
        <w:numId w:val="0"/>
      </w:numPr>
    </w:pPr>
  </w:style>
  <w:style w:type="paragraph" w:styleId="TOC4">
    <w:name w:val="toc 4"/>
    <w:basedOn w:val="TOCBase"/>
    <w:next w:val="Normal"/>
    <w:semiHidden/>
    <w:rsid w:val="002C0134"/>
    <w:pPr>
      <w:tabs>
        <w:tab w:val="right" w:leader="dot" w:pos="9071"/>
      </w:tabs>
      <w:ind w:left="1701"/>
    </w:pPr>
  </w:style>
  <w:style w:type="paragraph" w:customStyle="1" w:styleId="ListAlpha">
    <w:name w:val="List Alpha"/>
    <w:basedOn w:val="List"/>
    <w:rsid w:val="002C0134"/>
    <w:pPr>
      <w:numPr>
        <w:numId w:val="8"/>
      </w:numPr>
    </w:pPr>
  </w:style>
  <w:style w:type="paragraph" w:customStyle="1" w:styleId="ListAlpha2">
    <w:name w:val="List Alpha 2"/>
    <w:basedOn w:val="List2"/>
    <w:rsid w:val="002C0134"/>
    <w:pPr>
      <w:numPr>
        <w:numId w:val="7"/>
      </w:numPr>
    </w:pPr>
  </w:style>
  <w:style w:type="paragraph" w:styleId="List3">
    <w:name w:val="List 3"/>
    <w:basedOn w:val="BodyText"/>
    <w:rsid w:val="002C0134"/>
    <w:pPr>
      <w:tabs>
        <w:tab w:val="left" w:pos="1021"/>
      </w:tabs>
      <w:spacing w:before="60" w:after="60"/>
      <w:ind w:left="1020" w:hanging="340"/>
    </w:pPr>
  </w:style>
  <w:style w:type="paragraph" w:styleId="List4">
    <w:name w:val="List 4"/>
    <w:basedOn w:val="BodyText"/>
    <w:rsid w:val="002C0134"/>
    <w:pPr>
      <w:tabs>
        <w:tab w:val="left" w:pos="1361"/>
      </w:tabs>
      <w:spacing w:before="60" w:after="60"/>
      <w:ind w:left="1361" w:hanging="340"/>
    </w:pPr>
  </w:style>
  <w:style w:type="paragraph" w:styleId="List5">
    <w:name w:val="List 5"/>
    <w:basedOn w:val="BodyText"/>
    <w:rsid w:val="002C0134"/>
    <w:pPr>
      <w:tabs>
        <w:tab w:val="left" w:pos="1701"/>
      </w:tabs>
      <w:spacing w:before="60" w:after="60"/>
      <w:ind w:left="1701" w:hanging="340"/>
    </w:pPr>
  </w:style>
  <w:style w:type="paragraph" w:styleId="ListBullet3">
    <w:name w:val="List Bullet 3"/>
    <w:basedOn w:val="List3"/>
    <w:rsid w:val="002C0134"/>
    <w:pPr>
      <w:numPr>
        <w:numId w:val="14"/>
      </w:numPr>
      <w:tabs>
        <w:tab w:val="clear" w:pos="1021"/>
      </w:tabs>
      <w:ind w:left="1037" w:hanging="357"/>
    </w:pPr>
  </w:style>
  <w:style w:type="paragraph" w:styleId="ListBullet4">
    <w:name w:val="List Bullet 4"/>
    <w:basedOn w:val="List4"/>
    <w:rsid w:val="002C0134"/>
    <w:pPr>
      <w:numPr>
        <w:numId w:val="2"/>
      </w:numPr>
    </w:pPr>
  </w:style>
  <w:style w:type="paragraph" w:styleId="ListBullet5">
    <w:name w:val="List Bullet 5"/>
    <w:basedOn w:val="List5"/>
    <w:rsid w:val="002C0134"/>
    <w:pPr>
      <w:numPr>
        <w:numId w:val="3"/>
      </w:numPr>
    </w:pPr>
  </w:style>
  <w:style w:type="paragraph" w:styleId="ListContinue2">
    <w:name w:val="List Continue 2"/>
    <w:basedOn w:val="List2"/>
    <w:rsid w:val="002C0134"/>
    <w:pPr>
      <w:ind w:firstLine="0"/>
    </w:pPr>
  </w:style>
  <w:style w:type="paragraph" w:styleId="ListContinue3">
    <w:name w:val="List Continue 3"/>
    <w:basedOn w:val="List3"/>
    <w:rsid w:val="002C0134"/>
    <w:pPr>
      <w:ind w:left="1021" w:firstLine="0"/>
    </w:pPr>
  </w:style>
  <w:style w:type="paragraph" w:styleId="ListContinue4">
    <w:name w:val="List Continue 4"/>
    <w:basedOn w:val="List4"/>
    <w:rsid w:val="002C0134"/>
    <w:pPr>
      <w:ind w:firstLine="0"/>
    </w:pPr>
  </w:style>
  <w:style w:type="paragraph" w:styleId="ListContinue5">
    <w:name w:val="List Continue 5"/>
    <w:basedOn w:val="List5"/>
    <w:rsid w:val="002C0134"/>
    <w:pPr>
      <w:ind w:firstLine="0"/>
    </w:pPr>
  </w:style>
  <w:style w:type="paragraph" w:styleId="ListNumber3">
    <w:name w:val="List Number 3"/>
    <w:basedOn w:val="List3"/>
    <w:rsid w:val="002C0134"/>
    <w:pPr>
      <w:numPr>
        <w:numId w:val="4"/>
      </w:numPr>
    </w:pPr>
  </w:style>
  <w:style w:type="paragraph" w:styleId="ListNumber4">
    <w:name w:val="List Number 4"/>
    <w:basedOn w:val="List4"/>
    <w:rsid w:val="002C0134"/>
    <w:pPr>
      <w:numPr>
        <w:numId w:val="5"/>
      </w:numPr>
    </w:pPr>
  </w:style>
  <w:style w:type="paragraph" w:styleId="ListNumber5">
    <w:name w:val="List Number 5"/>
    <w:basedOn w:val="List5"/>
    <w:rsid w:val="002C0134"/>
    <w:pPr>
      <w:numPr>
        <w:numId w:val="6"/>
      </w:numPr>
    </w:pPr>
  </w:style>
  <w:style w:type="paragraph" w:styleId="BlockText">
    <w:name w:val="Block Text"/>
    <w:basedOn w:val="Normal"/>
    <w:rsid w:val="002C0134"/>
    <w:pPr>
      <w:spacing w:after="120"/>
      <w:ind w:left="1440" w:right="1440"/>
    </w:pPr>
  </w:style>
  <w:style w:type="character" w:customStyle="1" w:styleId="Subscript">
    <w:name w:val="Subscript"/>
    <w:basedOn w:val="DefaultParagraphFont"/>
    <w:rsid w:val="002C0134"/>
    <w:rPr>
      <w:sz w:val="16"/>
      <w:vertAlign w:val="subscript"/>
    </w:rPr>
  </w:style>
  <w:style w:type="character" w:customStyle="1" w:styleId="Superscript">
    <w:name w:val="Superscript"/>
    <w:basedOn w:val="DefaultParagraphFont"/>
    <w:rsid w:val="002C0134"/>
    <w:rPr>
      <w:sz w:val="16"/>
      <w:vertAlign w:val="superscript"/>
    </w:rPr>
  </w:style>
  <w:style w:type="character" w:customStyle="1" w:styleId="Symbols">
    <w:name w:val="Symbols"/>
    <w:basedOn w:val="DefaultParagraphFont"/>
    <w:rsid w:val="002C0134"/>
    <w:rPr>
      <w:rFonts w:ascii="Symbol" w:hAnsi="Symbol"/>
    </w:rPr>
  </w:style>
  <w:style w:type="character" w:customStyle="1" w:styleId="MenuOptions">
    <w:name w:val="Menu Options"/>
    <w:basedOn w:val="DefaultParagraphFont"/>
    <w:rsid w:val="002C0134"/>
    <w:rPr>
      <w:rFonts w:ascii="Arial Narrow" w:hAnsi="Arial Narrow"/>
      <w:smallCaps/>
    </w:rPr>
  </w:style>
  <w:style w:type="character" w:customStyle="1" w:styleId="Buttons">
    <w:name w:val="Buttons"/>
    <w:basedOn w:val="DefaultParagraphFont"/>
    <w:rsid w:val="002C0134"/>
    <w:rPr>
      <w:b/>
    </w:rPr>
  </w:style>
  <w:style w:type="character" w:customStyle="1" w:styleId="Underlined">
    <w:name w:val="Underlined"/>
    <w:basedOn w:val="DefaultParagraphFont"/>
    <w:rsid w:val="002C0134"/>
    <w:rPr>
      <w:u w:val="single"/>
    </w:rPr>
  </w:style>
  <w:style w:type="paragraph" w:customStyle="1" w:styleId="TableBodyTextRight">
    <w:name w:val="Table Body Text Right"/>
    <w:basedOn w:val="TableBodyText"/>
    <w:rsid w:val="002C0134"/>
    <w:pPr>
      <w:widowControl w:val="0"/>
      <w:autoSpaceDE w:val="0"/>
      <w:autoSpaceDN w:val="0"/>
      <w:adjustRightInd w:val="0"/>
      <w:jc w:val="right"/>
    </w:pPr>
    <w:rPr>
      <w:rFonts w:cs="Arial"/>
      <w:szCs w:val="18"/>
    </w:rPr>
  </w:style>
  <w:style w:type="paragraph" w:customStyle="1" w:styleId="CopyrightText">
    <w:name w:val="Copyright Text"/>
    <w:basedOn w:val="BodyText"/>
    <w:rsid w:val="002C0134"/>
    <w:rPr>
      <w:sz w:val="18"/>
    </w:rPr>
  </w:style>
  <w:style w:type="paragraph" w:customStyle="1" w:styleId="BodySmallRight">
    <w:name w:val="Body Small Right"/>
    <w:basedOn w:val="BodyTextRight"/>
    <w:rsid w:val="002C0134"/>
    <w:rPr>
      <w:sz w:val="18"/>
      <w:szCs w:val="18"/>
    </w:rPr>
  </w:style>
  <w:style w:type="paragraph" w:customStyle="1" w:styleId="MarginEdition">
    <w:name w:val="Margin Edition"/>
    <w:basedOn w:val="MarginNote"/>
    <w:rsid w:val="002C0134"/>
    <w:pPr>
      <w:spacing w:before="0" w:after="0"/>
    </w:pPr>
    <w:rPr>
      <w:rFonts w:ascii="Times New Roman" w:hAnsi="Times New Roman"/>
      <w:color w:val="999999"/>
    </w:rPr>
  </w:style>
  <w:style w:type="paragraph" w:customStyle="1" w:styleId="Spacer">
    <w:name w:val="Spacer"/>
    <w:basedOn w:val="Normal"/>
    <w:rsid w:val="002C0134"/>
    <w:rPr>
      <w:sz w:val="2"/>
      <w:szCs w:val="2"/>
    </w:rPr>
  </w:style>
  <w:style w:type="character" w:customStyle="1" w:styleId="Small">
    <w:name w:val="Small"/>
    <w:basedOn w:val="DefaultParagraphFont"/>
    <w:rsid w:val="002C0134"/>
    <w:rPr>
      <w:sz w:val="16"/>
    </w:rPr>
  </w:style>
  <w:style w:type="paragraph" w:customStyle="1" w:styleId="WideTable">
    <w:name w:val="Wide Table"/>
    <w:basedOn w:val="Normal"/>
    <w:rsid w:val="002C0134"/>
    <w:pPr>
      <w:ind w:left="-1418"/>
    </w:pPr>
    <w:rPr>
      <w:sz w:val="2"/>
      <w:szCs w:val="2"/>
    </w:rPr>
  </w:style>
  <w:style w:type="character" w:styleId="PageNumber">
    <w:name w:val="page number"/>
    <w:basedOn w:val="DefaultParagraphFont"/>
    <w:rsid w:val="002C0134"/>
  </w:style>
  <w:style w:type="paragraph" w:styleId="Quote">
    <w:name w:val="Quote"/>
    <w:basedOn w:val="Heading1"/>
    <w:link w:val="QuoteChar"/>
    <w:qFormat/>
    <w:rsid w:val="002C0134"/>
    <w:rPr>
      <w:b w:val="0"/>
      <w:sz w:val="72"/>
      <w:szCs w:val="72"/>
      <w:lang w:val="en-NZ"/>
    </w:rPr>
  </w:style>
  <w:style w:type="character" w:customStyle="1" w:styleId="QuoteChar">
    <w:name w:val="Quote Char"/>
    <w:basedOn w:val="DefaultParagraphFont"/>
    <w:link w:val="Quote"/>
    <w:rsid w:val="002C0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134"/>
    <w:pPr>
      <w:pageBreakBefore/>
    </w:pPr>
  </w:style>
  <w:style w:type="paragraph" w:customStyle="1" w:styleId="Border">
    <w:name w:val="Border"/>
    <w:basedOn w:val="Normal"/>
    <w:qFormat/>
    <w:rsid w:val="002C0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134"/>
    <w:rPr>
      <w:b/>
      <w:bCs/>
      <w:i/>
      <w:iCs/>
      <w:color w:val="auto"/>
    </w:rPr>
  </w:style>
  <w:style w:type="paragraph" w:styleId="IntenseQuote">
    <w:name w:val="Intense Quote"/>
    <w:basedOn w:val="Normal"/>
    <w:next w:val="Normal"/>
    <w:link w:val="IntenseQuoteChar"/>
    <w:uiPriority w:val="30"/>
    <w:qFormat/>
    <w:rsid w:val="002C0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134"/>
    <w:rPr>
      <w:smallCaps/>
      <w:color w:val="auto"/>
      <w:u w:val="single"/>
    </w:rPr>
  </w:style>
  <w:style w:type="character" w:styleId="IntenseReference">
    <w:name w:val="Intense Reference"/>
    <w:basedOn w:val="DefaultParagraphFont"/>
    <w:uiPriority w:val="32"/>
    <w:qFormat/>
    <w:rsid w:val="002C0134"/>
    <w:rPr>
      <w:b/>
      <w:bCs/>
      <w:smallCaps/>
      <w:color w:val="auto"/>
      <w:spacing w:val="5"/>
      <w:u w:val="single"/>
    </w:rPr>
  </w:style>
  <w:style w:type="paragraph" w:customStyle="1" w:styleId="2ColumnHeading">
    <w:name w:val="2Column Heading"/>
    <w:basedOn w:val="BodyText"/>
    <w:qFormat/>
    <w:rsid w:val="002C0134"/>
    <w:pPr>
      <w:spacing w:after="60"/>
      <w:ind w:left="-2268"/>
    </w:pPr>
    <w:rPr>
      <w:b/>
    </w:rPr>
  </w:style>
  <w:style w:type="paragraph" w:customStyle="1" w:styleId="Heading1TOC">
    <w:name w:val="Heading1 TOC"/>
    <w:basedOn w:val="Normal"/>
    <w:qFormat/>
    <w:rsid w:val="002C0134"/>
    <w:pPr>
      <w:spacing w:before="240" w:after="120"/>
    </w:pPr>
    <w:rPr>
      <w:rFonts w:ascii="Times New Roman" w:hAnsi="Times New Roman"/>
      <w:b/>
      <w:sz w:val="32"/>
    </w:rPr>
  </w:style>
  <w:style w:type="paragraph" w:customStyle="1" w:styleId="Heading2TOC">
    <w:name w:val="Heading2 TOC"/>
    <w:basedOn w:val="Normal"/>
    <w:qFormat/>
    <w:rsid w:val="002C0134"/>
    <w:pPr>
      <w:spacing w:before="240" w:after="60"/>
    </w:pPr>
    <w:rPr>
      <w:rFonts w:ascii="Times New Roman" w:hAnsi="Times New Roman"/>
      <w:b/>
      <w:sz w:val="28"/>
    </w:rPr>
  </w:style>
  <w:style w:type="character" w:customStyle="1" w:styleId="Underline">
    <w:name w:val="Underline"/>
    <w:basedOn w:val="DefaultParagraphFont"/>
    <w:qFormat/>
    <w:rsid w:val="002C0134"/>
    <w:rPr>
      <w:u w:val="single"/>
    </w:rPr>
  </w:style>
  <w:style w:type="character" w:customStyle="1" w:styleId="BoldandItalics">
    <w:name w:val="Bold and Italics"/>
    <w:qFormat/>
    <w:rsid w:val="002C0134"/>
    <w:rPr>
      <w:b/>
      <w:i/>
      <w:u w:val="none"/>
    </w:rPr>
  </w:style>
  <w:style w:type="paragraph" w:styleId="BalloonText">
    <w:name w:val="Balloon Text"/>
    <w:basedOn w:val="Normal"/>
    <w:link w:val="BalloonTextChar"/>
    <w:rsid w:val="002C0134"/>
    <w:rPr>
      <w:rFonts w:ascii="Tahoma" w:hAnsi="Tahoma" w:cs="Tahoma"/>
      <w:sz w:val="16"/>
      <w:szCs w:val="16"/>
    </w:rPr>
  </w:style>
  <w:style w:type="character" w:customStyle="1" w:styleId="BalloonTextChar">
    <w:name w:val="Balloon Text Char"/>
    <w:basedOn w:val="DefaultParagraphFont"/>
    <w:link w:val="BalloonText"/>
    <w:rsid w:val="002C0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1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134"/>
    <w:rPr>
      <w:b/>
      <w:color w:val="660033"/>
      <w:spacing w:val="0"/>
    </w:rPr>
  </w:style>
  <w:style w:type="paragraph" w:customStyle="1" w:styleId="Nameditemlist">
    <w:name w:val="Named item list"/>
    <w:basedOn w:val="BodyText"/>
    <w:qFormat/>
    <w:rsid w:val="002C01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1092</Words>
  <Characters>6517</Characters>
  <Application>Microsoft Office Word</Application>
  <DocSecurity>0</DocSecurity>
  <Lines>255</Lines>
  <Paragraphs>112</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MEM05044B Perform welds to code standards using gas tungsten arc welding process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2013-03-20T06:54:00Z</dcterms:created>
  <dcterms:modified xsi:type="dcterms:W3CDTF">2013-03-20T06:54:00Z</dcterms:modified>
</cp:coreProperties>
</file>