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E19" w:rsidP="00370E19">
      <w:pPr>
        <w:pStyle w:val="Title"/>
      </w:pPr>
      <w:r>
        <w:fldChar w:fldCharType="begin"/>
      </w:r>
      <w:r>
        <w:instrText xml:space="preserve"> TITLE   \* MERGEFORMAT </w:instrText>
      </w:r>
      <w:r>
        <w:fldChar w:fldCharType="separate"/>
      </w:r>
      <w:r>
        <w:t>MEM05023C Weld using submerged arc welding process</w:t>
      </w:r>
      <w:r>
        <w:fldChar w:fldCharType="end"/>
      </w:r>
    </w:p>
    <w:p w:rsidR="00370E19" w:rsidP="00370E19">
      <w:pPr>
        <w:pStyle w:val="Version"/>
        <w:sectPr w:rsidSect="003A4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0C5" w:rsidP="003A40C5">
      <w:pPr>
        <w:pStyle w:val="SuperHeading"/>
      </w:pPr>
      <w:r w:rsidRPr="003A40C5">
        <w:t>MEM05023C Weld using submerged arc welding process</w:t>
      </w:r>
    </w:p>
    <w:p w:rsidR="00000000" w:rsidRPr="003A40C5" w:rsidP="003A40C5">
      <w:pPr>
        <w:pStyle w:val="Heading1"/>
      </w:pPr>
      <w:bookmarkStart w:id="1" w:name="O_272016"/>
      <w:bookmarkEnd w:id="1"/>
      <w:r w:rsidRPr="003A40C5">
        <w:t>Modification History</w:t>
      </w:r>
    </w:p>
    <w:p w:rsidR="00000000" w:rsidRPr="003A40C5" w:rsidP="003A40C5">
      <w:pPr>
        <w:pStyle w:val="BodyText"/>
      </w:pPr>
      <w:r w:rsidRPr="003A40C5">
        <w:t>Not Applicable</w:t>
      </w:r>
    </w:p>
    <w:p w:rsidR="00000000" w:rsidRPr="003A40C5" w:rsidP="003A40C5">
      <w:pPr>
        <w:pStyle w:val="AllowPageBreak"/>
      </w:pPr>
    </w:p>
    <w:p w:rsidR="00000000" w:rsidRPr="003A40C5" w:rsidP="003A40C5">
      <w:pPr>
        <w:pStyle w:val="Heading1"/>
      </w:pPr>
      <w:bookmarkStart w:id="2" w:name="O_210550"/>
      <w:bookmarkEnd w:id="2"/>
      <w:r w:rsidRPr="003A40C5">
        <w:t>Unit Descriptor</w:t>
      </w:r>
    </w:p>
    <w:tbl>
      <w:tblPr>
        <w:tblW w:w="0" w:type="auto"/>
        <w:tblLayout w:type="fixed"/>
        <w:tblCellMar>
          <w:left w:w="62" w:type="dxa"/>
          <w:right w:w="62" w:type="dxa"/>
        </w:tblCellMar>
        <w:tblLook w:val="0000"/>
      </w:tblPr>
      <w:tblGrid>
        <w:gridCol w:w="2673"/>
        <w:gridCol w:w="5849"/>
      </w:tblGrid>
      <w:tr w:rsidTr="00370E1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This unit covers preparing materials, selecting and setting up the welding equipment, carrying out t</w:t>
            </w:r>
            <w:r w:rsidRPr="003A40C5">
              <w:t>he submerged arc welding, inspecting for and correcting defects, and maintaining weld records.</w:t>
            </w:r>
          </w:p>
        </w:tc>
      </w:tr>
    </w:tbl>
    <w:p w:rsidR="00370E19" w:rsidP="003A40C5">
      <w:pPr>
        <w:pStyle w:val="BodyText"/>
      </w:pPr>
    </w:p>
    <w:p w:rsidR="00370E19" w:rsidP="003A40C5">
      <w:pPr>
        <w:pStyle w:val="BodyText"/>
      </w:pPr>
    </w:p>
    <w:p w:rsidR="00000000" w:rsidRPr="003A40C5" w:rsidP="003A40C5">
      <w:pPr>
        <w:pStyle w:val="Heading1"/>
      </w:pPr>
      <w:bookmarkStart w:id="3" w:name="O_210554"/>
      <w:bookmarkEnd w:id="3"/>
      <w:r w:rsidRPr="003A40C5">
        <w:t>Application of the Unit</w:t>
      </w:r>
    </w:p>
    <w:tbl>
      <w:tblPr>
        <w:tblW w:w="0" w:type="auto"/>
        <w:tblLayout w:type="fixed"/>
        <w:tblCellMar>
          <w:left w:w="62" w:type="dxa"/>
          <w:right w:w="62" w:type="dxa"/>
        </w:tblCellMar>
        <w:tblLook w:val="0000"/>
      </w:tblPr>
      <w:tblGrid>
        <w:gridCol w:w="2745"/>
        <w:gridCol w:w="5777"/>
      </w:tblGrid>
      <w:tr w:rsidTr="00370E1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Welds are more likely to be associated with heavy rather than with light fabrication. Welds include fillet and butt welds in all positions on a range of materials that may include carbon and stainless steel. The weld quality would meet the Australian Stand</w:t>
            </w:r>
            <w:r w:rsidRPr="003A40C5">
              <w:t>ard 1554 General Purpose or equivalent. The unit may satisfy the requirements of AS 1796 Certificate 9.</w:t>
            </w:r>
          </w:p>
          <w:p w:rsidR="00000000" w:rsidRPr="003A40C5" w:rsidP="003A40C5">
            <w:pPr>
              <w:pStyle w:val="BodyText"/>
            </w:pPr>
            <w:r w:rsidRPr="003A40C5">
              <w:t>Where welds comply with one of the certificates covered by Australian Standard 1796, then Unit MEM05026C (Apply welding principles) should also be selec</w:t>
            </w:r>
            <w:r w:rsidRPr="003A40C5">
              <w:t>ted.</w:t>
            </w:r>
          </w:p>
          <w:p w:rsidR="00000000" w:rsidRPr="003A40C5" w:rsidP="003A40C5">
            <w:pPr>
              <w:pStyle w:val="BodyText"/>
            </w:pPr>
          </w:p>
          <w:p w:rsidR="00000000" w:rsidRPr="003A40C5" w:rsidP="003A40C5">
            <w:pPr>
              <w:pStyle w:val="BodyText"/>
            </w:pPr>
            <w:r w:rsidRPr="003A40C5">
              <w:rPr>
                <w:rStyle w:val="SpecialBold"/>
              </w:rPr>
              <w:t>Band</w:t>
            </w:r>
            <w:r w:rsidRPr="003A40C5">
              <w:t>:</w:t>
            </w:r>
            <w:r w:rsidRPr="003A40C5">
              <w:tab/>
            </w:r>
            <w:r w:rsidRPr="003A40C5">
              <w:rPr>
                <w:rStyle w:val="SpecialBold"/>
              </w:rPr>
              <w:t>A</w:t>
            </w:r>
          </w:p>
          <w:p w:rsidR="00000000" w:rsidRPr="003A40C5" w:rsidP="003A40C5">
            <w:pPr>
              <w:pStyle w:val="BodyText"/>
            </w:pPr>
            <w:r w:rsidRPr="003A40C5">
              <w:rPr>
                <w:rStyle w:val="SpecialBold"/>
              </w:rPr>
              <w:t>Unit Weight</w:t>
            </w:r>
            <w:r w:rsidRPr="003A40C5">
              <w:t>:</w:t>
            </w:r>
            <w:r w:rsidRPr="003A40C5">
              <w:tab/>
            </w:r>
            <w:r w:rsidRPr="003A40C5">
              <w:rPr>
                <w:rStyle w:val="SpecialBold"/>
              </w:rPr>
              <w:t>4</w:t>
            </w:r>
          </w:p>
        </w:tc>
      </w:tr>
    </w:tbl>
    <w:p w:rsidR="00370E19" w:rsidP="003A40C5">
      <w:pPr>
        <w:pStyle w:val="BodyText"/>
      </w:pPr>
    </w:p>
    <w:p w:rsidR="00370E19" w:rsidP="003A40C5">
      <w:pPr>
        <w:pStyle w:val="BodyText"/>
      </w:pPr>
    </w:p>
    <w:p w:rsidR="00000000" w:rsidRPr="003A40C5" w:rsidP="003A40C5">
      <w:pPr>
        <w:pStyle w:val="Heading1"/>
      </w:pPr>
      <w:bookmarkStart w:id="4" w:name="O_280276"/>
      <w:bookmarkEnd w:id="4"/>
      <w:r w:rsidRPr="003A40C5">
        <w:t>Licensing/Regulatory Information</w:t>
      </w:r>
    </w:p>
    <w:p w:rsidR="00000000" w:rsidRPr="003A40C5" w:rsidP="003A40C5">
      <w:pPr>
        <w:pStyle w:val="BodyText"/>
      </w:pPr>
      <w:r w:rsidRPr="003A40C5">
        <w:t>Not Applicable</w:t>
      </w:r>
    </w:p>
    <w:p w:rsidR="00000000" w:rsidRPr="003A40C5" w:rsidP="003A40C5">
      <w:pPr>
        <w:pStyle w:val="AllowPageBreak"/>
      </w:pPr>
    </w:p>
    <w:p w:rsidR="00000000" w:rsidRPr="003A40C5" w:rsidP="003A40C5">
      <w:pPr>
        <w:pStyle w:val="Heading1"/>
      </w:pPr>
      <w:bookmarkStart w:id="5" w:name="O_210552"/>
      <w:bookmarkEnd w:id="5"/>
      <w:r w:rsidRPr="003A40C5">
        <w:t>Pre-Requisites</w:t>
      </w:r>
    </w:p>
    <w:tbl>
      <w:tblPr>
        <w:tblW w:w="0" w:type="auto"/>
        <w:tblLayout w:type="fixed"/>
        <w:tblCellMar>
          <w:left w:w="62" w:type="dxa"/>
          <w:right w:w="62" w:type="dxa"/>
        </w:tblCellMar>
        <w:tblLook w:val="0000"/>
      </w:tblPr>
      <w:tblGrid>
        <w:gridCol w:w="2713"/>
        <w:gridCol w:w="2195"/>
        <w:gridCol w:w="3614"/>
      </w:tblGrid>
      <w:tr w:rsidTr="00370E1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p>
        </w:tc>
      </w:tr>
      <w:tr w:rsidTr="00370E1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 xml:space="preserve">MEM12023A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Perform engineering measurements</w:t>
            </w:r>
          </w:p>
        </w:tc>
      </w:tr>
      <w:tr w:rsidTr="00370E1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p>
        </w:tc>
      </w:tr>
    </w:tbl>
    <w:p w:rsidR="00370E19" w:rsidP="003A40C5">
      <w:pPr>
        <w:pStyle w:val="BodyText"/>
      </w:pPr>
    </w:p>
    <w:p w:rsidR="00370E19" w:rsidP="003A40C5">
      <w:pPr>
        <w:pStyle w:val="BodyText"/>
      </w:pPr>
    </w:p>
    <w:p w:rsidR="00000000" w:rsidRPr="003A40C5" w:rsidP="003A40C5">
      <w:pPr>
        <w:pStyle w:val="Heading1"/>
      </w:pPr>
      <w:bookmarkStart w:id="6" w:name="O_210551"/>
      <w:bookmarkEnd w:id="6"/>
      <w:r w:rsidRPr="003A40C5">
        <w:t>Employability Skills Information</w:t>
      </w:r>
    </w:p>
    <w:tbl>
      <w:tblPr>
        <w:tblW w:w="0" w:type="auto"/>
        <w:tblLayout w:type="fixed"/>
        <w:tblCellMar>
          <w:left w:w="62" w:type="dxa"/>
          <w:right w:w="62" w:type="dxa"/>
        </w:tblCellMar>
        <w:tblLook w:val="0000"/>
      </w:tblPr>
      <w:tblGrid>
        <w:gridCol w:w="2802"/>
        <w:gridCol w:w="5720"/>
      </w:tblGrid>
      <w:tr w:rsidTr="00370E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This unit contains employability skills.</w:t>
            </w:r>
          </w:p>
        </w:tc>
      </w:tr>
    </w:tbl>
    <w:p w:rsidR="00370E19" w:rsidP="003A40C5">
      <w:pPr>
        <w:pStyle w:val="BodyText"/>
      </w:pPr>
    </w:p>
    <w:p w:rsidR="00370E19" w:rsidP="003A40C5">
      <w:pPr>
        <w:pStyle w:val="BodyText"/>
      </w:pPr>
    </w:p>
    <w:p w:rsidR="00000000" w:rsidRPr="003A40C5" w:rsidP="003A40C5">
      <w:pPr>
        <w:pStyle w:val="Heading1"/>
      </w:pPr>
      <w:bookmarkStart w:id="7" w:name="O_290062"/>
      <w:bookmarkEnd w:id="7"/>
      <w:r w:rsidRPr="003A40C5">
        <w:t>Elements and Performance Criteria Pre-Content</w:t>
      </w:r>
    </w:p>
    <w:tbl>
      <w:tblPr>
        <w:tblW w:w="0" w:type="auto"/>
        <w:tblLayout w:type="fixed"/>
        <w:tblCellMar>
          <w:left w:w="62" w:type="dxa"/>
          <w:right w:w="62" w:type="dxa"/>
        </w:tblCellMar>
        <w:tblLook w:val="0000"/>
      </w:tblPr>
      <w:tblGrid>
        <w:gridCol w:w="2571"/>
        <w:gridCol w:w="5951"/>
      </w:tblGrid>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Performance criteria describe</w:t>
            </w:r>
            <w:r w:rsidRPr="003A40C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A40C5">
              <w:t>the evidence guide.</w:t>
            </w:r>
          </w:p>
        </w:tc>
      </w:tr>
    </w:tbl>
    <w:p w:rsidR="00000000" w:rsidRPr="003A40C5" w:rsidP="003A40C5">
      <w:pPr>
        <w:pStyle w:val="BodyText"/>
      </w:pPr>
    </w:p>
    <w:p w:rsidR="00000000" w:rsidRPr="003A40C5" w:rsidP="003A40C5">
      <w:pPr>
        <w:pStyle w:val="AllowPageBreak"/>
      </w:pPr>
    </w:p>
    <w:p w:rsidR="00000000" w:rsidRPr="003A40C5" w:rsidP="003A40C5">
      <w:pPr>
        <w:pStyle w:val="Heading1"/>
      </w:pPr>
      <w:bookmarkStart w:id="8" w:name="O_236729"/>
      <w:bookmarkEnd w:id="8"/>
      <w:r w:rsidRPr="003A40C5">
        <w:t>Elements and Performance Criteria</w:t>
      </w:r>
    </w:p>
    <w:tbl>
      <w:tblPr>
        <w:tblW w:w="0" w:type="auto"/>
        <w:tblLayout w:type="fixed"/>
        <w:tblCellMar>
          <w:left w:w="62" w:type="dxa"/>
          <w:right w:w="62" w:type="dxa"/>
        </w:tblCellMar>
        <w:tblLook w:val="0000"/>
      </w:tblPr>
      <w:tblGrid>
        <w:gridCol w:w="2571"/>
        <w:gridCol w:w="5951"/>
      </w:tblGrid>
      <w:tr w:rsidTr="00370E19">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PERFORMANCE CRITERIA</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1.</w:t>
            </w:r>
            <w:r w:rsidRPr="003A40C5">
              <w:tab/>
              <w:t xml:space="preserve">Prepare materials for welding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1.1.</w:t>
            </w:r>
            <w:r w:rsidRPr="003A40C5">
              <w:tab/>
              <w:t>Weld requirements are identified from specifications and/or drawings.</w:t>
            </w:r>
          </w:p>
          <w:p w:rsidR="00000000" w:rsidRPr="003A40C5" w:rsidP="003A40C5">
            <w:pPr>
              <w:pStyle w:val="List2"/>
            </w:pPr>
            <w:r w:rsidRPr="003A40C5">
              <w:t>1.2.</w:t>
            </w:r>
            <w:r w:rsidRPr="003A40C5">
              <w:tab/>
            </w:r>
            <w:r w:rsidRPr="003A40C5">
              <w:t>Material is correctly prepared using tools and techniques appropriate to the material and process.</w:t>
            </w:r>
          </w:p>
          <w:p w:rsidR="00000000" w:rsidP="003A40C5">
            <w:pPr>
              <w:pStyle w:val="List2"/>
              <w:rPr>
                <w:lang w:val="en-NZ"/>
              </w:rPr>
            </w:pPr>
            <w:r w:rsidRPr="003A40C5">
              <w:t>1.3.</w:t>
            </w:r>
            <w:r w:rsidRPr="003A40C5">
              <w:tab/>
              <w:t>Materials are assembled/aligned to specifications, where required.</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2.</w:t>
            </w:r>
            <w:r w:rsidRPr="003A40C5">
              <w:tab/>
              <w:t>Select welding machine settings and consumables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2"/>
              <w:rPr>
                <w:lang w:val="en-NZ"/>
              </w:rPr>
            </w:pPr>
            <w:r w:rsidRPr="003A40C5">
              <w:t>2.1.</w:t>
            </w:r>
            <w:r w:rsidRPr="003A40C5">
              <w:tab/>
            </w:r>
            <w:r w:rsidRPr="003A40C5">
              <w:t>Welding machine settings and consumables are identified from job requirements, welding procedures and specifications and/or technical drawings.</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3.</w:t>
            </w:r>
            <w:r w:rsidRPr="003A40C5">
              <w:tab/>
              <w:t>Assemble and set up welding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3.1.</w:t>
            </w:r>
            <w:r w:rsidRPr="003A40C5">
              <w:tab/>
              <w:t>Welding equipment is assembled and set up safely and correctly to</w:t>
            </w:r>
            <w:r w:rsidRPr="003A40C5">
              <w:t xml:space="preserve"> standard operating procedures.</w:t>
            </w:r>
          </w:p>
          <w:p w:rsidR="00000000" w:rsidP="003A40C5">
            <w:pPr>
              <w:pStyle w:val="List2"/>
              <w:rPr>
                <w:lang w:val="en-NZ"/>
              </w:rPr>
            </w:pPr>
            <w:r w:rsidRPr="003A40C5">
              <w:t>3.2.</w:t>
            </w:r>
            <w:r w:rsidRPr="003A40C5">
              <w:tab/>
              <w:t>Test runs are undertaken and verified in accordance with specifications.</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4.</w:t>
            </w:r>
            <w:r w:rsidRPr="003A40C5">
              <w:tab/>
              <w:t>Identify distortion prevention methods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4.1.</w:t>
            </w:r>
            <w:r w:rsidRPr="003A40C5">
              <w:tab/>
              <w:t>Distortion prevention measures are identified.</w:t>
            </w:r>
          </w:p>
          <w:p w:rsidR="00000000" w:rsidP="003A40C5">
            <w:pPr>
              <w:pStyle w:val="List2"/>
              <w:rPr>
                <w:lang w:val="en-NZ"/>
              </w:rPr>
            </w:pPr>
            <w:r w:rsidRPr="003A40C5">
              <w:t>4.2.</w:t>
            </w:r>
            <w:r w:rsidRPr="003A40C5">
              <w:tab/>
              <w:t>Action appropriate to the weld type and materi</w:t>
            </w:r>
            <w:r w:rsidRPr="003A40C5">
              <w:t>al is taken to minimise and rectify distortion.</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5.</w:t>
            </w:r>
            <w:r w:rsidRPr="003A40C5">
              <w:tab/>
              <w:t>Weld joints using submerged arc by correct process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5.1.</w:t>
            </w:r>
            <w:r w:rsidRPr="003A40C5">
              <w:tab/>
              <w:t>Pad, butt and fillet welds are deposited correctly in flat, and fillet welds in horizontal position, to specification.</w:t>
            </w:r>
          </w:p>
          <w:p w:rsidR="00000000" w:rsidP="003A40C5">
            <w:pPr>
              <w:pStyle w:val="List2"/>
              <w:rPr>
                <w:lang w:val="en-NZ"/>
              </w:rPr>
            </w:pPr>
            <w:r w:rsidRPr="003A40C5">
              <w:t>5.2.</w:t>
            </w:r>
            <w:r w:rsidRPr="003A40C5">
              <w:tab/>
              <w:t>Joints are cleaned to sp</w:t>
            </w:r>
            <w:r w:rsidRPr="003A40C5">
              <w:t>ecifications using techniques and tools appropriate to the defect, material and process.</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6.</w:t>
            </w:r>
            <w:r w:rsidRPr="003A40C5">
              <w:tab/>
              <w:t>Inspect welds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6.1.</w:t>
            </w:r>
            <w:r w:rsidRPr="003A40C5">
              <w:tab/>
              <w:t>Weld joints are visually inspected against specifications.</w:t>
            </w:r>
          </w:p>
          <w:p w:rsidR="00000000" w:rsidP="003A40C5">
            <w:pPr>
              <w:pStyle w:val="List2"/>
              <w:rPr>
                <w:lang w:val="en-NZ"/>
              </w:rPr>
            </w:pPr>
            <w:r w:rsidRPr="003A40C5">
              <w:t>6.2.</w:t>
            </w:r>
            <w:r w:rsidRPr="003A40C5">
              <w:tab/>
              <w:t>Weld defects are identified.</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7.</w:t>
            </w:r>
            <w:r w:rsidRPr="003A40C5">
              <w:tab/>
              <w:t>Correct faults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7.1.</w:t>
            </w:r>
            <w:r w:rsidRPr="003A40C5">
              <w:tab/>
            </w:r>
            <w:r w:rsidRPr="003A40C5">
              <w:t>Remedial action is taken, where required.</w:t>
            </w:r>
          </w:p>
          <w:p w:rsidR="00000000" w:rsidP="003A40C5">
            <w:pPr>
              <w:pStyle w:val="List2"/>
              <w:rPr>
                <w:lang w:val="en-NZ"/>
              </w:rPr>
            </w:pPr>
            <w:r w:rsidRPr="003A40C5">
              <w:t>7.2.</w:t>
            </w:r>
            <w:r w:rsidRPr="003A40C5">
              <w:tab/>
              <w:t>Defects are removed with minimum loss of sound metal using techniques and tools appropriate to the defect, material and process.</w:t>
            </w:r>
          </w:p>
        </w:tc>
      </w:tr>
      <w:tr w:rsidTr="00370E1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List"/>
              <w:rPr>
                <w:lang w:val="en-NZ"/>
              </w:rPr>
            </w:pPr>
            <w:r w:rsidRPr="003A40C5">
              <w:t>8.</w:t>
            </w:r>
            <w:r w:rsidRPr="003A40C5">
              <w:tab/>
              <w:t xml:space="preserve">Maintain weld records as required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List2"/>
            </w:pPr>
            <w:r w:rsidRPr="003A40C5">
              <w:t>8.1.</w:t>
            </w:r>
            <w:r w:rsidRPr="003A40C5">
              <w:tab/>
              <w:t>Weld records are maintained to speci</w:t>
            </w:r>
            <w:r w:rsidRPr="003A40C5">
              <w:t>fications and standard operating procedures.</w:t>
            </w:r>
          </w:p>
        </w:tc>
      </w:tr>
    </w:tbl>
    <w:p w:rsidR="00370E19" w:rsidP="003A40C5">
      <w:pPr>
        <w:pStyle w:val="BodyText"/>
      </w:pPr>
    </w:p>
    <w:p w:rsidR="00370E19" w:rsidP="003A40C5">
      <w:pPr>
        <w:pStyle w:val="BodyText"/>
      </w:pPr>
    </w:p>
    <w:p w:rsidR="00000000" w:rsidRPr="003A40C5" w:rsidP="003A40C5">
      <w:pPr>
        <w:pStyle w:val="Heading1"/>
      </w:pPr>
      <w:bookmarkStart w:id="9" w:name="O_260679"/>
      <w:bookmarkEnd w:id="9"/>
      <w:r w:rsidRPr="003A40C5">
        <w:t>Required Skills and Knowledge</w:t>
      </w:r>
    </w:p>
    <w:tbl>
      <w:tblPr>
        <w:tblW w:w="0" w:type="auto"/>
        <w:tblLayout w:type="fixed"/>
        <w:tblCellMar>
          <w:left w:w="62" w:type="dxa"/>
          <w:right w:w="62" w:type="dxa"/>
        </w:tblCellMar>
        <w:tblLook w:val="0000"/>
      </w:tblPr>
      <w:tblGrid>
        <w:gridCol w:w="8522"/>
      </w:tblGrid>
      <w:tr w:rsidTr="00370E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REQUIRED SKILLS AND KNOWLEDGE</w:t>
            </w:r>
          </w:p>
        </w:tc>
      </w:tr>
      <w:tr w:rsidTr="00370E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This section describes the skills and knowledge required for this unit.</w:t>
            </w:r>
          </w:p>
        </w:tc>
      </w:tr>
      <w:tr w:rsidTr="00370E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Required skills</w:t>
            </w:r>
          </w:p>
        </w:tc>
      </w:tr>
      <w:tr w:rsidTr="00370E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Look for evidence that confirms skills in:</w:t>
            </w:r>
          </w:p>
          <w:p w:rsidR="00000000" w:rsidRPr="003A40C5" w:rsidP="003A40C5">
            <w:pPr>
              <w:pStyle w:val="ListBullet"/>
            </w:pPr>
            <w:r w:rsidRPr="003A40C5">
              <w:t>identifying and interpreting appropriate standard e.g. Australian Standard 1554 General Purpose, American Bureau of Shipping (ABS) or equivalent</w:t>
            </w:r>
          </w:p>
          <w:p w:rsidR="00000000" w:rsidRPr="003A40C5" w:rsidP="003A40C5">
            <w:pPr>
              <w:pStyle w:val="ListBullet"/>
            </w:pPr>
            <w:r w:rsidRPr="003A40C5">
              <w:t>selecting and using appropriate tools and equipment</w:t>
            </w:r>
          </w:p>
          <w:p w:rsidR="00000000" w:rsidRPr="003A40C5" w:rsidP="003A40C5">
            <w:pPr>
              <w:pStyle w:val="ListBullet"/>
            </w:pPr>
            <w:r w:rsidRPr="003A40C5">
              <w:t>using a variety</w:t>
            </w:r>
            <w:r w:rsidRPr="003A40C5">
              <w:t xml:space="preserve"> of welding machines, wire electrodes, settings and materials</w:t>
            </w:r>
          </w:p>
          <w:p w:rsidR="00000000" w:rsidRPr="003A40C5" w:rsidP="003A40C5">
            <w:pPr>
              <w:pStyle w:val="ListBullet"/>
            </w:pPr>
            <w:r w:rsidRPr="003A40C5">
              <w:t>identifying and rectifying weld defects</w:t>
            </w:r>
          </w:p>
          <w:p w:rsidR="00000000" w:rsidRPr="003A40C5" w:rsidP="003A40C5">
            <w:pPr>
              <w:pStyle w:val="ListBullet"/>
            </w:pPr>
            <w:r w:rsidRPr="003A40C5">
              <w:t>applying techniques for distortion prevention and rectification</w:t>
            </w:r>
          </w:p>
          <w:p w:rsidR="00000000" w:rsidRPr="003A40C5" w:rsidP="003A40C5">
            <w:pPr>
              <w:pStyle w:val="ListBullet"/>
            </w:pPr>
            <w:r w:rsidRPr="003A40C5">
              <w:t>cleaning weld</w:t>
            </w:r>
          </w:p>
          <w:p w:rsidR="00000000" w:rsidP="003A40C5">
            <w:pPr>
              <w:pStyle w:val="ListBullet"/>
              <w:rPr>
                <w:lang w:val="en-NZ"/>
              </w:rPr>
            </w:pPr>
            <w:r w:rsidRPr="003A40C5">
              <w:t>maintaining weld records</w:t>
            </w:r>
          </w:p>
        </w:tc>
      </w:tr>
      <w:tr w:rsidTr="00370E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Required knowledge</w:t>
            </w:r>
          </w:p>
        </w:tc>
      </w:tr>
      <w:tr w:rsidTr="00370E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Look for evidence that confirm</w:t>
            </w:r>
            <w:r w:rsidRPr="003A40C5">
              <w:t>s knowledge of:</w:t>
            </w:r>
          </w:p>
          <w:p w:rsidR="00000000" w:rsidRPr="003A40C5" w:rsidP="003A40C5">
            <w:pPr>
              <w:pStyle w:val="ListBullet"/>
            </w:pPr>
            <w:r w:rsidRPr="003A40C5">
              <w:t>main types of fluxes and flux/wire combinations</w:t>
            </w:r>
          </w:p>
          <w:p w:rsidR="00000000" w:rsidRPr="003A40C5" w:rsidP="003A40C5">
            <w:pPr>
              <w:pStyle w:val="ListBullet"/>
            </w:pPr>
            <w:r w:rsidRPr="003A40C5">
              <w:t>typical applications of SAW and common materials</w:t>
            </w:r>
          </w:p>
          <w:p w:rsidR="00000000" w:rsidRPr="003A40C5" w:rsidP="003A40C5">
            <w:pPr>
              <w:pStyle w:val="ListBullet"/>
            </w:pPr>
            <w:r w:rsidRPr="003A40C5">
              <w:t>the application of weld metal transfer (short arc, spray, etc.)</w:t>
            </w:r>
          </w:p>
          <w:p w:rsidR="00000000" w:rsidRPr="003A40C5" w:rsidP="003A40C5">
            <w:pPr>
              <w:pStyle w:val="ListBullet"/>
            </w:pPr>
            <w:r w:rsidRPr="003A40C5">
              <w:t>material preparation</w:t>
            </w:r>
          </w:p>
          <w:p w:rsidR="00000000" w:rsidRPr="003A40C5" w:rsidP="003A40C5">
            <w:pPr>
              <w:pStyle w:val="ListBullet"/>
            </w:pPr>
            <w:r w:rsidRPr="003A40C5">
              <w:t>joint preparations</w:t>
            </w:r>
          </w:p>
          <w:p w:rsidR="00000000" w:rsidRPr="003A40C5" w:rsidP="003A40C5">
            <w:pPr>
              <w:pStyle w:val="ListBullet"/>
            </w:pPr>
            <w:r w:rsidRPr="003A40C5">
              <w:t>electrode classification</w:t>
            </w:r>
          </w:p>
          <w:p w:rsidR="00000000" w:rsidRPr="003A40C5" w:rsidP="003A40C5">
            <w:pPr>
              <w:pStyle w:val="ListBullet"/>
            </w:pPr>
            <w:r w:rsidRPr="003A40C5">
              <w:t>causes of distortion for materials within the scope of this unit</w:t>
            </w:r>
          </w:p>
          <w:p w:rsidR="00000000" w:rsidRPr="003A40C5" w:rsidP="003A40C5">
            <w:pPr>
              <w:pStyle w:val="ListBullet"/>
            </w:pPr>
            <w:r w:rsidRPr="003A40C5">
              <w:t>causes of defects and methods of rectification</w:t>
            </w:r>
          </w:p>
          <w:p w:rsidR="00000000" w:rsidRPr="003A40C5" w:rsidP="003A40C5">
            <w:pPr>
              <w:pStyle w:val="ListBullet"/>
            </w:pPr>
            <w:r w:rsidRPr="003A40C5">
              <w:t>code requirements</w:t>
            </w:r>
          </w:p>
          <w:p w:rsidR="00000000" w:rsidRPr="003A40C5" w:rsidP="003A40C5">
            <w:pPr>
              <w:pStyle w:val="ListBullet"/>
            </w:pPr>
            <w:r w:rsidRPr="003A40C5">
              <w:t>safe welding practices</w:t>
            </w:r>
          </w:p>
          <w:p w:rsidR="00000000" w:rsidRPr="003A40C5" w:rsidP="003A40C5">
            <w:pPr>
              <w:pStyle w:val="ListBullet"/>
            </w:pPr>
            <w:r w:rsidRPr="003A40C5">
              <w:t>use and application of personal protective equipment for submerged arc welding</w:t>
            </w:r>
          </w:p>
          <w:p w:rsidR="00000000" w:rsidRPr="003A40C5" w:rsidP="003A40C5">
            <w:pPr>
              <w:pStyle w:val="ListBullet"/>
            </w:pPr>
            <w:r w:rsidRPr="003A40C5">
              <w:t>relevant hazards and con</w:t>
            </w:r>
            <w:r w:rsidRPr="003A40C5">
              <w:t>trol measures related to the competency</w:t>
            </w:r>
          </w:p>
        </w:tc>
      </w:tr>
    </w:tbl>
    <w:p w:rsidR="00370E19" w:rsidP="003A40C5">
      <w:pPr>
        <w:pStyle w:val="BodyText"/>
      </w:pPr>
    </w:p>
    <w:p w:rsidR="00370E19" w:rsidP="003A40C5">
      <w:pPr>
        <w:pStyle w:val="BodyText"/>
      </w:pPr>
    </w:p>
    <w:p w:rsidR="00000000" w:rsidRPr="003A40C5" w:rsidP="003A40C5">
      <w:pPr>
        <w:pStyle w:val="AllowPageBreak"/>
      </w:pPr>
    </w:p>
    <w:p w:rsidR="00000000" w:rsidRPr="003A40C5" w:rsidP="003A40C5">
      <w:pPr>
        <w:pStyle w:val="Heading1"/>
      </w:pPr>
      <w:bookmarkStart w:id="10" w:name="O_244713"/>
      <w:bookmarkEnd w:id="10"/>
      <w:r w:rsidRPr="003A40C5">
        <w:t>Evidence Guide</w:t>
      </w:r>
    </w:p>
    <w:tbl>
      <w:tblPr>
        <w:tblW w:w="9570" w:type="dxa"/>
        <w:tblLayout w:type="fixed"/>
        <w:tblCellMar>
          <w:left w:w="62" w:type="dxa"/>
          <w:right w:w="62" w:type="dxa"/>
        </w:tblCellMar>
        <w:tblLook w:val="0000"/>
      </w:tblPr>
      <w:tblGrid>
        <w:gridCol w:w="3908"/>
        <w:gridCol w:w="5662"/>
      </w:tblGrid>
      <w:tr w:rsidTr="00370E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EVIDENCE GUIDE</w:t>
            </w:r>
          </w:p>
        </w:tc>
      </w:tr>
      <w:tr w:rsidTr="00370E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 xml:space="preserve">The evidence guide provides advice on assessment and must be read in conjunction with the performance criteria, required skills and knowledge, </w:t>
            </w:r>
            <w:r w:rsidRPr="003A40C5">
              <w:t>range statement and the Assessment Guidelines for the Training Package.</w:t>
            </w:r>
          </w:p>
        </w:tc>
      </w:tr>
      <w:tr w:rsidTr="00370E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 xml:space="preserve">A person who demonstrates competency in this unit must be able to prepare materials, select and set up the welding equipment, carry out the </w:t>
            </w:r>
            <w:r w:rsidRPr="003A40C5">
              <w:t>submerged arc welding, visually inspect for and correct defects, and maintain the weld records. Competency in this unit cannot be claimed until all prerequisites have been satisfied.</w:t>
            </w:r>
          </w:p>
        </w:tc>
      </w:tr>
      <w:tr w:rsidTr="00370E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Critical aspects for assessment and evidence required to demonstrate com</w:t>
            </w:r>
            <w:r w:rsidRPr="003A40C5">
              <w:rPr>
                <w:rStyle w:val="SpecialBold"/>
              </w:rPr>
              <w:t>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Assessors must be satisfied that the candidate can competently and consistently perform all elements of the unit as specified by the criteria, including required knowledge, and be capable of applying the competency in new and different</w:t>
            </w:r>
            <w:r w:rsidRPr="003A40C5">
              <w:t xml:space="preserve"> situations and contexts.</w:t>
            </w:r>
          </w:p>
        </w:tc>
      </w:tr>
      <w:tr w:rsidTr="00370E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This unit may be assessed on the job, off the job or a combination of both on and off the job. Where assessment occurs off the job, that is the candidate is not in productive work,</w:t>
            </w:r>
            <w:r w:rsidRPr="003A40C5">
              <w:t xml:space="preserve"> then an appropriate simulation must be used where the range of conditions reflects realistic workplace situations. The competencies covered by this unit would be demonstrated by an individual working alone or as part of a team. The assessment environment </w:t>
            </w:r>
            <w:r w:rsidRPr="003A40C5">
              <w:t>should not disadvantage the candidate.</w:t>
            </w:r>
          </w:p>
          <w:p w:rsidR="00000000" w:rsidP="003A40C5">
            <w:pPr>
              <w:pStyle w:val="BodyText"/>
              <w:rPr>
                <w:lang w:val="en-NZ"/>
              </w:rPr>
            </w:pPr>
            <w:r w:rsidRPr="003A40C5">
              <w:t>This unit could be assessed in conjunction with any other units addressing the safety, quality, communication, materials handling, recording and reporting associated with welding using submerged arc welding process or</w:t>
            </w:r>
            <w:r w:rsidRPr="003A40C5">
              <w:t xml:space="preserve"> other units requiring the exercise of the skills and knowledge covered by this unit.</w:t>
            </w:r>
          </w:p>
        </w:tc>
      </w:tr>
      <w:tr w:rsidTr="00370E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Assessors should gather a range of evidence that is valid, sufficient, current and authentic. Evidence can be gathered through a variety of ways inc</w:t>
            </w:r>
            <w:r w:rsidRPr="003A40C5">
              <w:t>luding direct observation, supervisor's reports, project work, samples and questioning. Questioning techniques should not require language, literacy and numeracy skills beyond those required in this unit of competency. The candidate must have access to all</w:t>
            </w:r>
            <w:r w:rsidRPr="003A40C5">
              <w:t xml:space="preserve"> tools, equipment, materials and documentation required. The candidate must be permitted to refer to any relevant workplace procedures, product and manufacturing specifications, codes, standards, manuals and reference materials.</w:t>
            </w:r>
          </w:p>
        </w:tc>
      </w:tr>
      <w:tr w:rsidTr="00370E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Guidance information for a</w:t>
            </w:r>
            <w:r w:rsidRPr="003A40C5">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p>
        </w:tc>
      </w:tr>
    </w:tbl>
    <w:p w:rsidR="00370E19" w:rsidP="003A40C5">
      <w:pPr>
        <w:pStyle w:val="BodyText"/>
      </w:pPr>
    </w:p>
    <w:p w:rsidR="00370E19" w:rsidP="003A40C5">
      <w:pPr>
        <w:pStyle w:val="BodyText"/>
      </w:pPr>
    </w:p>
    <w:p w:rsidR="00000000" w:rsidRPr="003A40C5" w:rsidP="003A40C5">
      <w:pPr>
        <w:pStyle w:val="Heading1"/>
      </w:pPr>
      <w:bookmarkStart w:id="11" w:name="O_252696"/>
      <w:bookmarkEnd w:id="11"/>
      <w:r w:rsidRPr="003A40C5">
        <w:t>Range Statement</w:t>
      </w:r>
    </w:p>
    <w:tbl>
      <w:tblPr>
        <w:tblW w:w="0" w:type="auto"/>
        <w:tblLayout w:type="fixed"/>
        <w:tblCellMar>
          <w:left w:w="62" w:type="dxa"/>
          <w:right w:w="62" w:type="dxa"/>
        </w:tblCellMar>
        <w:tblLook w:val="0000"/>
      </w:tblPr>
      <w:tblGrid>
        <w:gridCol w:w="3500"/>
        <w:gridCol w:w="5022"/>
      </w:tblGrid>
      <w:tr w:rsidTr="00370E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RANGE STATEMENT</w:t>
            </w:r>
          </w:p>
        </w:tc>
      </w:tr>
      <w:tr w:rsidTr="00370E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 xml:space="preserve">The range statement relates to the unit of competency as a whole. It allows for different work environments and situations that may affect </w:t>
            </w:r>
            <w:r w:rsidRPr="003A40C5">
              <w:t>performance. Bold italicised wording, if used in the performance criteria, is detailed below. Essential operating conditions that may be present with training and assessment (depending on the work situation, needs of the candidate, accessibility of the ite</w:t>
            </w:r>
            <w:r w:rsidRPr="003A40C5">
              <w:t>m, and local industry and regional contexts) may also be included.</w:t>
            </w:r>
          </w:p>
        </w:tc>
      </w:tr>
      <w:tr w:rsidTr="00370E1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Weld</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Fillet and butt in flat and horizontal positions</w:t>
            </w:r>
          </w:p>
        </w:tc>
      </w:tr>
      <w:tr w:rsidTr="00370E1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Prepared</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Preparation of materials including preheating, setting up of jigs, fixtures, clamps, etc., joint preparation e.g. bevelling</w:t>
            </w:r>
          </w:p>
        </w:tc>
      </w:tr>
      <w:tr w:rsidTr="00370E1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DC welding machines</w:t>
            </w:r>
          </w:p>
        </w:tc>
      </w:tr>
      <w:tr w:rsidTr="00370E1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Distortion prevention measures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Distortion prevention including preheating, setting up of jigs, fixtures, clamps, etc.</w:t>
            </w:r>
          </w:p>
        </w:tc>
      </w:tr>
      <w:tr w:rsidTr="00370E1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Defects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t>Porosity, slag inclusions, discontinuities, lack of penetration, undercut</w:t>
            </w:r>
          </w:p>
        </w:tc>
      </w:tr>
      <w:tr w:rsidTr="00370E1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Remedial action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Remedial action using thermal processes may include oxy acetylene and air arc equipment; grinding devices may also be used</w:t>
            </w:r>
          </w:p>
        </w:tc>
      </w:tr>
    </w:tbl>
    <w:p w:rsidR="00370E19" w:rsidP="003A40C5">
      <w:pPr>
        <w:pStyle w:val="BodyText"/>
      </w:pPr>
    </w:p>
    <w:p w:rsidR="00370E19" w:rsidP="003A40C5">
      <w:pPr>
        <w:pStyle w:val="BodyText"/>
      </w:pPr>
    </w:p>
    <w:p w:rsidR="00000000" w:rsidRPr="003A40C5" w:rsidP="003A40C5">
      <w:pPr>
        <w:pStyle w:val="Heading1"/>
      </w:pPr>
      <w:bookmarkStart w:id="12" w:name="O_210556"/>
      <w:bookmarkEnd w:id="12"/>
      <w:r w:rsidRPr="003A40C5">
        <w:t>Unit Sector(s)</w:t>
      </w:r>
    </w:p>
    <w:tbl>
      <w:tblPr>
        <w:tblW w:w="0" w:type="auto"/>
        <w:tblLayout w:type="fixed"/>
        <w:tblCellMar>
          <w:left w:w="62" w:type="dxa"/>
          <w:right w:w="62" w:type="dxa"/>
        </w:tblCellMar>
        <w:tblLook w:val="0000"/>
      </w:tblPr>
      <w:tblGrid>
        <w:gridCol w:w="2654"/>
        <w:gridCol w:w="5868"/>
      </w:tblGrid>
      <w:tr w:rsidTr="00370E1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p>
        </w:tc>
      </w:tr>
    </w:tbl>
    <w:p w:rsidR="00370E19" w:rsidP="003A40C5">
      <w:pPr>
        <w:pStyle w:val="BodyText"/>
      </w:pPr>
    </w:p>
    <w:p w:rsidR="00370E19" w:rsidP="003A40C5">
      <w:pPr>
        <w:pStyle w:val="BodyText"/>
      </w:pPr>
    </w:p>
    <w:p w:rsidR="00000000" w:rsidRPr="003A40C5" w:rsidP="003A40C5">
      <w:pPr>
        <w:pStyle w:val="Heading1"/>
      </w:pPr>
      <w:bookmarkStart w:id="13" w:name="O_210553"/>
      <w:bookmarkEnd w:id="13"/>
      <w:r w:rsidRPr="003A40C5">
        <w:t>Co-requisite units</w:t>
      </w:r>
    </w:p>
    <w:tbl>
      <w:tblPr>
        <w:tblW w:w="0" w:type="auto"/>
        <w:tblLayout w:type="fixed"/>
        <w:tblCellMar>
          <w:left w:w="62" w:type="dxa"/>
          <w:right w:w="62" w:type="dxa"/>
        </w:tblCellMar>
        <w:tblLook w:val="0000"/>
      </w:tblPr>
      <w:tblGrid>
        <w:gridCol w:w="2641"/>
        <w:gridCol w:w="1322"/>
        <w:gridCol w:w="4559"/>
      </w:tblGrid>
      <w:tr w:rsidTr="00370E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70E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p>
        </w:tc>
      </w:tr>
      <w:tr w:rsidTr="00370E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p>
        </w:tc>
      </w:tr>
    </w:tbl>
    <w:p w:rsidR="00370E19" w:rsidP="003A40C5">
      <w:pPr>
        <w:pStyle w:val="BodyText"/>
      </w:pPr>
    </w:p>
    <w:p w:rsidR="00370E19" w:rsidP="003A40C5">
      <w:pPr>
        <w:pStyle w:val="BodyText"/>
      </w:pPr>
    </w:p>
    <w:p w:rsidR="00000000" w:rsidRPr="003A40C5" w:rsidP="003A40C5">
      <w:pPr>
        <w:pStyle w:val="Heading1"/>
      </w:pPr>
      <w:bookmarkStart w:id="14" w:name="O_210555"/>
      <w:bookmarkEnd w:id="14"/>
      <w:r w:rsidRPr="003A40C5">
        <w:t>Competency field</w:t>
      </w:r>
    </w:p>
    <w:tbl>
      <w:tblPr>
        <w:tblW w:w="0" w:type="auto"/>
        <w:tblLayout w:type="fixed"/>
        <w:tblCellMar>
          <w:left w:w="62" w:type="dxa"/>
          <w:right w:w="62" w:type="dxa"/>
        </w:tblCellMar>
        <w:tblLook w:val="0000"/>
      </w:tblPr>
      <w:tblGrid>
        <w:gridCol w:w="2776"/>
        <w:gridCol w:w="5746"/>
      </w:tblGrid>
      <w:tr w:rsidTr="00370E1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0C5">
            <w:pPr>
              <w:pStyle w:val="BodyText"/>
              <w:rPr>
                <w:lang w:val="en-NZ"/>
              </w:rPr>
            </w:pPr>
            <w:r w:rsidRPr="003A40C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0C5" w:rsidP="003A40C5">
            <w:pPr>
              <w:pStyle w:val="BodyText"/>
            </w:pPr>
            <w:r w:rsidRPr="003A40C5">
              <w:t>Fabrication</w:t>
            </w:r>
          </w:p>
        </w:tc>
      </w:tr>
    </w:tbl>
    <w:p w:rsidR="00370E19" w:rsidP="003A40C5">
      <w:pPr>
        <w:pStyle w:val="BodyText"/>
      </w:pPr>
    </w:p>
    <w:p w:rsidR="00370E19" w:rsidP="003A40C5">
      <w:pPr>
        <w:pStyle w:val="BodyText"/>
      </w:pPr>
    </w:p>
    <w:p w:rsidR="00000000" w:rsidRPr="003A40C5" w:rsidP="003A40C5"/>
    <w:sectPr w:rsidSect="003A4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E19" w:rsidP="00370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19" w:rsidP="003A4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0E19" w:rsidP="003A4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0E19" w:rsidP="003A4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E19" w:rsidP="00370E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19" w:rsidP="003A40C5">
    <w:pPr>
      <w:pStyle w:val="Header"/>
      <w:framePr w:wrap="around"/>
    </w:pPr>
    <w:r>
      <w:fldChar w:fldCharType="begin"/>
    </w:r>
    <w:r>
      <w:instrText xml:space="preserve"> TITLE   \* MERGEFORMAT </w:instrText>
    </w:r>
    <w:r>
      <w:fldChar w:fldCharType="separate"/>
    </w:r>
    <w:r>
      <w:t>MEM05023C Weld using submerged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0E19" w:rsidP="003A4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0A6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CC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40C5"/>
    <w:pPr>
      <w:spacing w:before="360" w:after="60"/>
      <w:outlineLvl w:val="0"/>
    </w:pPr>
    <w:rPr>
      <w:sz w:val="32"/>
    </w:rPr>
  </w:style>
  <w:style w:type="paragraph" w:styleId="Heading2">
    <w:name w:val="heading 2"/>
    <w:basedOn w:val="HeadingBase"/>
    <w:next w:val="BodyText"/>
    <w:link w:val="Heading2Char"/>
    <w:qFormat/>
    <w:rsid w:val="003A40C5"/>
    <w:pPr>
      <w:keepLines/>
      <w:spacing w:before="240" w:after="120"/>
      <w:outlineLvl w:val="1"/>
    </w:pPr>
    <w:rPr>
      <w:sz w:val="28"/>
      <w:szCs w:val="40"/>
    </w:rPr>
  </w:style>
  <w:style w:type="paragraph" w:styleId="Heading3">
    <w:name w:val="heading 3"/>
    <w:basedOn w:val="HeadingBase"/>
    <w:next w:val="BodyText"/>
    <w:link w:val="Heading3Char"/>
    <w:qFormat/>
    <w:rsid w:val="003A40C5"/>
    <w:pPr>
      <w:spacing w:before="180" w:after="120"/>
      <w:outlineLvl w:val="2"/>
    </w:pPr>
    <w:rPr>
      <w:spacing w:val="-10"/>
      <w:kern w:val="32"/>
    </w:rPr>
  </w:style>
  <w:style w:type="paragraph" w:styleId="Heading4">
    <w:name w:val="heading 4"/>
    <w:basedOn w:val="HeadingBase"/>
    <w:next w:val="BodyText"/>
    <w:link w:val="Heading4Char"/>
    <w:qFormat/>
    <w:rsid w:val="003A40C5"/>
    <w:pPr>
      <w:spacing w:before="160" w:after="120"/>
      <w:outlineLvl w:val="3"/>
    </w:pPr>
    <w:rPr>
      <w:sz w:val="22"/>
    </w:rPr>
  </w:style>
  <w:style w:type="paragraph" w:styleId="Heading5">
    <w:name w:val="heading 5"/>
    <w:basedOn w:val="HeadingBase"/>
    <w:next w:val="Normal"/>
    <w:link w:val="Heading5Char"/>
    <w:qFormat/>
    <w:rsid w:val="003A40C5"/>
    <w:pPr>
      <w:spacing w:before="80"/>
      <w:outlineLvl w:val="4"/>
    </w:pPr>
    <w:rPr>
      <w:color w:val="918585"/>
      <w:sz w:val="20"/>
    </w:rPr>
  </w:style>
  <w:style w:type="paragraph" w:styleId="Heading6">
    <w:name w:val="heading 6"/>
    <w:basedOn w:val="HeadingBase"/>
    <w:next w:val="Normal"/>
    <w:link w:val="Heading6Char"/>
    <w:qFormat/>
    <w:rsid w:val="003A40C5"/>
    <w:pPr>
      <w:spacing w:before="60"/>
      <w:outlineLvl w:val="5"/>
    </w:pPr>
    <w:rPr>
      <w:color w:val="918585"/>
      <w:sz w:val="20"/>
    </w:rPr>
  </w:style>
  <w:style w:type="paragraph" w:styleId="Heading7">
    <w:name w:val="heading 7"/>
    <w:basedOn w:val="Normal"/>
    <w:next w:val="Normal"/>
    <w:link w:val="Heading7Char"/>
    <w:qFormat/>
    <w:rsid w:val="003A40C5"/>
    <w:pPr>
      <w:ind w:left="720"/>
      <w:outlineLvl w:val="6"/>
    </w:pPr>
    <w:rPr>
      <w:i/>
    </w:rPr>
  </w:style>
  <w:style w:type="paragraph" w:styleId="Heading8">
    <w:name w:val="heading 8"/>
    <w:basedOn w:val="Normal"/>
    <w:next w:val="Normal"/>
    <w:link w:val="Heading8Char"/>
    <w:qFormat/>
    <w:rsid w:val="003A40C5"/>
    <w:pPr>
      <w:ind w:left="720"/>
      <w:outlineLvl w:val="7"/>
    </w:pPr>
    <w:rPr>
      <w:i/>
    </w:rPr>
  </w:style>
  <w:style w:type="paragraph" w:styleId="Heading9">
    <w:name w:val="heading 9"/>
    <w:basedOn w:val="Normal"/>
    <w:next w:val="Normal"/>
    <w:link w:val="Heading9Char"/>
    <w:qFormat/>
    <w:rsid w:val="003A40C5"/>
    <w:pPr>
      <w:ind w:left="720"/>
      <w:outlineLvl w:val="8"/>
    </w:pPr>
    <w:rPr>
      <w:i/>
    </w:rPr>
  </w:style>
  <w:style w:type="character" w:default="1" w:styleId="DefaultParagraphFont">
    <w:name w:val="Default Paragraph Font"/>
    <w:uiPriority w:val="1"/>
    <w:unhideWhenUsed/>
    <w:rsid w:val="003A4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0C5"/>
  </w:style>
  <w:style w:type="character" w:customStyle="1" w:styleId="Heading1Char">
    <w:name w:val="Heading 1 Char"/>
    <w:basedOn w:val="DefaultParagraphFont"/>
    <w:link w:val="Heading1"/>
    <w:rsid w:val="003A40C5"/>
    <w:rPr>
      <w:rFonts w:ascii="Times New Roman" w:eastAsia="Times New Roman" w:hAnsi="Times New Roman" w:cs="Times New Roman"/>
      <w:b/>
      <w:sz w:val="32"/>
      <w:szCs w:val="20"/>
      <w:lang w:eastAsia="en-US"/>
    </w:rPr>
  </w:style>
  <w:style w:type="paragraph" w:styleId="BodyText">
    <w:name w:val="Body Text"/>
    <w:basedOn w:val="Normal"/>
    <w:link w:val="BodyTextChar"/>
    <w:rsid w:val="003A4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0C5"/>
    <w:rPr>
      <w:rFonts w:ascii="Times New Roman" w:eastAsia="Times New Roman" w:hAnsi="Times New Roman" w:cs="Times New Roman"/>
      <w:sz w:val="24"/>
      <w:lang w:val="en-US" w:eastAsia="en-US"/>
    </w:rPr>
  </w:style>
  <w:style w:type="paragraph" w:styleId="Footer">
    <w:name w:val="footer"/>
    <w:basedOn w:val="Normal"/>
    <w:link w:val="FooterChar"/>
    <w:rsid w:val="003A4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0C5"/>
    <w:rPr>
      <w:rFonts w:ascii="Times New Roman" w:eastAsia="Times New Roman" w:hAnsi="Times New Roman" w:cs="Times New Roman"/>
      <w:sz w:val="16"/>
      <w:lang w:val="en-US" w:eastAsia="en-US"/>
    </w:rPr>
  </w:style>
  <w:style w:type="paragraph" w:styleId="List">
    <w:name w:val="List"/>
    <w:basedOn w:val="BodyText"/>
    <w:next w:val="BodyText"/>
    <w:rsid w:val="003A40C5"/>
    <w:pPr>
      <w:tabs>
        <w:tab w:val="left" w:pos="340"/>
      </w:tabs>
      <w:spacing w:before="60" w:after="60"/>
      <w:ind w:left="340" w:hanging="340"/>
    </w:pPr>
  </w:style>
  <w:style w:type="paragraph" w:styleId="ListBullet">
    <w:name w:val="List Bullet"/>
    <w:basedOn w:val="List"/>
    <w:rsid w:val="003A40C5"/>
    <w:pPr>
      <w:numPr>
        <w:numId w:val="12"/>
      </w:numPr>
      <w:tabs>
        <w:tab w:val="clear" w:pos="340"/>
      </w:tabs>
      <w:spacing w:before="40" w:after="40"/>
    </w:pPr>
  </w:style>
  <w:style w:type="character" w:customStyle="1" w:styleId="SpecialBold">
    <w:name w:val="Special Bold"/>
    <w:basedOn w:val="DefaultParagraphFont"/>
    <w:rsid w:val="003A40C5"/>
    <w:rPr>
      <w:b/>
      <w:spacing w:val="0"/>
    </w:rPr>
  </w:style>
  <w:style w:type="paragraph" w:styleId="Header">
    <w:name w:val="header"/>
    <w:basedOn w:val="Normal"/>
    <w:link w:val="HeaderChar"/>
    <w:rsid w:val="003A4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40C5"/>
    <w:pPr>
      <w:spacing w:before="240" w:after="120"/>
      <w:outlineLvl w:val="0"/>
    </w:pPr>
    <w:rPr>
      <w:rFonts w:ascii="Times New Roman" w:hAnsi="Times New Roman"/>
      <w:b/>
      <w:sz w:val="28"/>
    </w:rPr>
  </w:style>
  <w:style w:type="paragraph" w:customStyle="1" w:styleId="AllowPageBreak">
    <w:name w:val="AllowPageBreak"/>
    <w:rsid w:val="003A40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0C5"/>
    <w:pPr>
      <w:tabs>
        <w:tab w:val="left" w:pos="680"/>
      </w:tabs>
      <w:spacing w:before="60" w:after="60"/>
      <w:ind w:left="680" w:hanging="340"/>
    </w:pPr>
  </w:style>
  <w:style w:type="character" w:customStyle="1" w:styleId="Heading2Char">
    <w:name w:val="Heading 2 Char"/>
    <w:basedOn w:val="DefaultParagraphFont"/>
    <w:link w:val="Heading2"/>
    <w:rsid w:val="003A4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4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40C5"/>
    <w:rPr>
      <w:rFonts w:ascii="Courier New" w:eastAsia="Times New Roman" w:hAnsi="Courier New" w:cs="Times New Roman"/>
      <w:i/>
      <w:szCs w:val="20"/>
      <w:lang w:val="en-US" w:eastAsia="en-US"/>
    </w:rPr>
  </w:style>
  <w:style w:type="paragraph" w:customStyle="1" w:styleId="HeadingBase">
    <w:name w:val="Heading Base"/>
    <w:rsid w:val="003A4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0C5"/>
    <w:pPr>
      <w:tabs>
        <w:tab w:val="right" w:leader="dot" w:pos="9072"/>
      </w:tabs>
      <w:ind w:left="567"/>
    </w:pPr>
    <w:rPr>
      <w:szCs w:val="22"/>
    </w:rPr>
  </w:style>
  <w:style w:type="paragraph" w:customStyle="1" w:styleId="TOCBase">
    <w:name w:val="TOC Base"/>
    <w:rsid w:val="003A4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0C5"/>
    <w:pPr>
      <w:tabs>
        <w:tab w:val="right" w:leader="dot" w:pos="9072"/>
      </w:tabs>
      <w:spacing w:before="40" w:after="40"/>
      <w:ind w:left="284"/>
    </w:pPr>
    <w:rPr>
      <w:rFonts w:ascii="Times New Roman" w:hAnsi="Times New Roman"/>
    </w:rPr>
  </w:style>
  <w:style w:type="paragraph" w:styleId="TOC1">
    <w:name w:val="toc 1"/>
    <w:basedOn w:val="TOCBase"/>
    <w:next w:val="Normal"/>
    <w:rsid w:val="003A4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0C5"/>
    <w:pPr>
      <w:spacing w:before="5040"/>
      <w:jc w:val="center"/>
    </w:pPr>
    <w:rPr>
      <w:sz w:val="48"/>
      <w:szCs w:val="72"/>
      <w:lang w:val="en-US"/>
    </w:rPr>
  </w:style>
  <w:style w:type="character" w:customStyle="1" w:styleId="TitleChar">
    <w:name w:val="Title Char"/>
    <w:basedOn w:val="DefaultParagraphFont"/>
    <w:link w:val="Title"/>
    <w:rsid w:val="003A4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0C5"/>
    <w:pPr>
      <w:tabs>
        <w:tab w:val="left" w:pos="3600"/>
        <w:tab w:val="left" w:pos="3958"/>
      </w:tabs>
    </w:pPr>
  </w:style>
  <w:style w:type="paragraph" w:customStyle="1" w:styleId="Note">
    <w:name w:val="Note"/>
    <w:basedOn w:val="BodyText"/>
    <w:rsid w:val="003A4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0C5"/>
    <w:pPr>
      <w:framePr w:wrap="auto" w:hAnchor="text" w:y="6049"/>
    </w:pPr>
    <w:rPr>
      <w:color w:val="000000"/>
      <w:sz w:val="40"/>
    </w:rPr>
  </w:style>
  <w:style w:type="paragraph" w:customStyle="1" w:styleId="TOCTitle">
    <w:name w:val="TOCTitle"/>
    <w:basedOn w:val="Heading1"/>
    <w:rsid w:val="003A40C5"/>
    <w:pPr>
      <w:spacing w:after="240"/>
      <w:jc w:val="center"/>
      <w:outlineLvl w:val="9"/>
    </w:pPr>
    <w:rPr>
      <w:caps/>
    </w:rPr>
  </w:style>
  <w:style w:type="paragraph" w:customStyle="1" w:styleId="Version">
    <w:name w:val="Version"/>
    <w:rsid w:val="003A40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0C5"/>
    <w:pPr>
      <w:numPr>
        <w:numId w:val="13"/>
      </w:numPr>
      <w:tabs>
        <w:tab w:val="clear" w:pos="680"/>
      </w:tabs>
    </w:pPr>
  </w:style>
  <w:style w:type="paragraph" w:styleId="Index1">
    <w:name w:val="index 1"/>
    <w:basedOn w:val="Normal"/>
    <w:next w:val="Normal"/>
    <w:semiHidden/>
    <w:rsid w:val="003A40C5"/>
    <w:pPr>
      <w:keepNext w:val="0"/>
      <w:tabs>
        <w:tab w:val="right" w:pos="4176"/>
      </w:tabs>
      <w:ind w:left="198" w:hanging="198"/>
    </w:pPr>
    <w:rPr>
      <w:rFonts w:ascii="Garamond" w:hAnsi="Garamond"/>
    </w:rPr>
  </w:style>
  <w:style w:type="paragraph" w:styleId="IndexHeading">
    <w:name w:val="index heading"/>
    <w:basedOn w:val="Normal"/>
    <w:next w:val="Index1"/>
    <w:semiHidden/>
    <w:rsid w:val="003A40C5"/>
    <w:pPr>
      <w:spacing w:before="120" w:after="120"/>
    </w:pPr>
    <w:rPr>
      <w:rFonts w:ascii="Arial" w:hAnsi="Arial"/>
      <w:b/>
      <w:color w:val="918585"/>
      <w:sz w:val="24"/>
    </w:rPr>
  </w:style>
  <w:style w:type="paragraph" w:customStyle="1" w:styleId="Chapter">
    <w:name w:val="Chapter"/>
    <w:basedOn w:val="Normal"/>
    <w:rsid w:val="003A40C5"/>
    <w:pPr>
      <w:spacing w:before="240"/>
    </w:pPr>
    <w:rPr>
      <w:rFonts w:ascii="Times New Roman" w:hAnsi="Times New Roman"/>
      <w:smallCaps/>
      <w:spacing w:val="80"/>
      <w:sz w:val="28"/>
    </w:rPr>
  </w:style>
  <w:style w:type="paragraph" w:customStyle="1" w:styleId="InChapter">
    <w:name w:val="InChapter"/>
    <w:basedOn w:val="Heading3"/>
    <w:rsid w:val="003A40C5"/>
    <w:pPr>
      <w:spacing w:after="240"/>
      <w:outlineLvl w:val="9"/>
    </w:pPr>
    <w:rPr>
      <w:noProof/>
    </w:rPr>
  </w:style>
  <w:style w:type="paragraph" w:styleId="Index2">
    <w:name w:val="index 2"/>
    <w:basedOn w:val="Normal"/>
    <w:next w:val="Normal"/>
    <w:semiHidden/>
    <w:rsid w:val="003A40C5"/>
    <w:pPr>
      <w:tabs>
        <w:tab w:val="right" w:pos="4176"/>
      </w:tabs>
      <w:ind w:left="568" w:hanging="284"/>
    </w:pPr>
    <w:rPr>
      <w:rFonts w:ascii="Garamond" w:hAnsi="Garamond"/>
    </w:rPr>
  </w:style>
  <w:style w:type="paragraph" w:customStyle="1" w:styleId="Byline">
    <w:name w:val="Byline"/>
    <w:rsid w:val="003A4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0C5"/>
    <w:pPr>
      <w:tabs>
        <w:tab w:val="clear" w:pos="3600"/>
        <w:tab w:val="clear" w:pos="3958"/>
      </w:tabs>
      <w:jc w:val="right"/>
    </w:pPr>
  </w:style>
  <w:style w:type="character" w:styleId="Emphasis">
    <w:name w:val="Emphasis"/>
    <w:basedOn w:val="DefaultParagraphFont"/>
    <w:qFormat/>
    <w:rsid w:val="003A40C5"/>
    <w:rPr>
      <w:i/>
    </w:rPr>
  </w:style>
  <w:style w:type="paragraph" w:styleId="Caption">
    <w:name w:val="caption"/>
    <w:basedOn w:val="BodyText"/>
    <w:next w:val="Normal"/>
    <w:qFormat/>
    <w:rsid w:val="003A40C5"/>
    <w:pPr>
      <w:framePr w:w="2268" w:hSpace="181" w:vSpace="181" w:wrap="around" w:vAnchor="text" w:hAnchor="page" w:x="1135" w:y="285" w:anchorLock="1"/>
    </w:pPr>
    <w:rPr>
      <w:i/>
    </w:rPr>
  </w:style>
  <w:style w:type="paragraph" w:customStyle="1" w:styleId="MiniTOCTitle">
    <w:name w:val="MiniTOCTitle"/>
    <w:basedOn w:val="Heading4"/>
    <w:rsid w:val="003A40C5"/>
    <w:pPr>
      <w:spacing w:before="240"/>
      <w:outlineLvl w:val="9"/>
    </w:pPr>
    <w:rPr>
      <w:noProof/>
      <w:sz w:val="24"/>
    </w:rPr>
  </w:style>
  <w:style w:type="paragraph" w:customStyle="1" w:styleId="MiniTOCItem">
    <w:name w:val="MiniTOCItem"/>
    <w:basedOn w:val="ListBullet"/>
    <w:rsid w:val="003A40C5"/>
    <w:pPr>
      <w:numPr>
        <w:numId w:val="0"/>
      </w:numPr>
      <w:tabs>
        <w:tab w:val="right" w:leader="dot" w:pos="6521"/>
      </w:tabs>
      <w:spacing w:before="0" w:after="0"/>
    </w:pPr>
  </w:style>
  <w:style w:type="paragraph" w:customStyle="1" w:styleId="TOFTitle">
    <w:name w:val="TOFTitle"/>
    <w:basedOn w:val="TOCTitle"/>
    <w:rsid w:val="003A40C5"/>
  </w:style>
  <w:style w:type="paragraph" w:styleId="TableofFigures">
    <w:name w:val="table of figures"/>
    <w:basedOn w:val="Normal"/>
    <w:next w:val="Normal"/>
    <w:semiHidden/>
    <w:rsid w:val="003A40C5"/>
    <w:pPr>
      <w:tabs>
        <w:tab w:val="right" w:leader="dot" w:pos="9072"/>
      </w:tabs>
      <w:ind w:left="970" w:hanging="403"/>
    </w:pPr>
    <w:rPr>
      <w:rFonts w:ascii="Times New Roman" w:hAnsi="Times New Roman"/>
      <w:b/>
    </w:rPr>
  </w:style>
  <w:style w:type="paragraph" w:styleId="ListNumber">
    <w:name w:val="List Number"/>
    <w:basedOn w:val="List"/>
    <w:rsid w:val="003A40C5"/>
    <w:pPr>
      <w:numPr>
        <w:numId w:val="10"/>
      </w:numPr>
    </w:pPr>
  </w:style>
  <w:style w:type="character" w:customStyle="1" w:styleId="WingdingSymbols">
    <w:name w:val="Wingding Symbols"/>
    <w:rsid w:val="003A40C5"/>
    <w:rPr>
      <w:rFonts w:ascii="Wingdings" w:hAnsi="Wingdings"/>
    </w:rPr>
  </w:style>
  <w:style w:type="paragraph" w:customStyle="1" w:styleId="TableHeading">
    <w:name w:val="Table Heading"/>
    <w:basedOn w:val="HeadingBase"/>
    <w:rsid w:val="003A40C5"/>
    <w:pPr>
      <w:keepLines/>
      <w:pBdr>
        <w:bottom w:val="single" w:sz="6" w:space="1" w:color="918585"/>
      </w:pBdr>
      <w:spacing w:before="240"/>
    </w:pPr>
  </w:style>
  <w:style w:type="character" w:customStyle="1" w:styleId="HotSpot">
    <w:name w:val="HotSpot"/>
    <w:rsid w:val="003A40C5"/>
    <w:rPr>
      <w:color w:val="0033CC"/>
      <w:u w:val="none"/>
    </w:rPr>
  </w:style>
  <w:style w:type="paragraph" w:customStyle="1" w:styleId="BodyTextRight">
    <w:name w:val="Body Text Right"/>
    <w:basedOn w:val="BodyText"/>
    <w:rsid w:val="003A40C5"/>
    <w:pPr>
      <w:spacing w:before="0" w:after="0"/>
      <w:jc w:val="right"/>
    </w:pPr>
  </w:style>
  <w:style w:type="paragraph" w:styleId="Index3">
    <w:name w:val="index 3"/>
    <w:basedOn w:val="ListNumber2"/>
    <w:next w:val="Normal"/>
    <w:semiHidden/>
    <w:rsid w:val="003A40C5"/>
    <w:pPr>
      <w:numPr>
        <w:numId w:val="0"/>
      </w:numPr>
      <w:tabs>
        <w:tab w:val="right" w:leader="dot" w:pos="4176"/>
      </w:tabs>
    </w:pPr>
  </w:style>
  <w:style w:type="paragraph" w:styleId="ListNumber2">
    <w:name w:val="List Number 2"/>
    <w:basedOn w:val="List2"/>
    <w:rsid w:val="003A40C5"/>
    <w:pPr>
      <w:numPr>
        <w:numId w:val="9"/>
      </w:numPr>
      <w:tabs>
        <w:tab w:val="clear" w:pos="1060"/>
      </w:tabs>
    </w:pPr>
  </w:style>
  <w:style w:type="paragraph" w:customStyle="1" w:styleId="MarginNote">
    <w:name w:val="Margin Note"/>
    <w:basedOn w:val="BodyText"/>
    <w:rsid w:val="003A4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40C5"/>
    <w:rPr>
      <w:sz w:val="32"/>
    </w:rPr>
  </w:style>
  <w:style w:type="paragraph" w:customStyle="1" w:styleId="HeadingProcedure">
    <w:name w:val="Heading Procedure"/>
    <w:basedOn w:val="HeadingBase"/>
    <w:next w:val="Normal"/>
    <w:rsid w:val="003A40C5"/>
    <w:pPr>
      <w:tabs>
        <w:tab w:val="left" w:pos="0"/>
      </w:tabs>
      <w:spacing w:before="120" w:after="60"/>
    </w:pPr>
    <w:rPr>
      <w:i/>
      <w:color w:val="918585"/>
      <w:sz w:val="22"/>
    </w:rPr>
  </w:style>
  <w:style w:type="paragraph" w:customStyle="1" w:styleId="TableBodyText">
    <w:name w:val="Table Body Text"/>
    <w:basedOn w:val="BodyText"/>
    <w:rsid w:val="003A40C5"/>
    <w:pPr>
      <w:spacing w:before="60" w:after="60"/>
    </w:pPr>
  </w:style>
  <w:style w:type="paragraph" w:styleId="ListContinue">
    <w:name w:val="List Continue"/>
    <w:basedOn w:val="List"/>
    <w:rsid w:val="003A40C5"/>
    <w:pPr>
      <w:ind w:firstLine="0"/>
    </w:pPr>
  </w:style>
  <w:style w:type="paragraph" w:customStyle="1" w:styleId="ListNote">
    <w:name w:val="List Note"/>
    <w:basedOn w:val="List"/>
    <w:rsid w:val="003A40C5"/>
    <w:pPr>
      <w:pBdr>
        <w:top w:val="single" w:sz="6" w:space="2" w:color="918585"/>
        <w:bottom w:val="single" w:sz="6" w:space="2" w:color="918585"/>
      </w:pBdr>
      <w:tabs>
        <w:tab w:val="left" w:pos="1021"/>
      </w:tabs>
      <w:ind w:firstLine="0"/>
    </w:pPr>
  </w:style>
  <w:style w:type="paragraph" w:customStyle="1" w:styleId="Warning">
    <w:name w:val="Warning"/>
    <w:basedOn w:val="BodyText"/>
    <w:rsid w:val="003A40C5"/>
    <w:pPr>
      <w:shd w:val="clear" w:color="auto" w:fill="D9D9D9"/>
      <w:tabs>
        <w:tab w:val="left" w:pos="992"/>
      </w:tabs>
      <w:ind w:left="119" w:right="119"/>
    </w:pPr>
    <w:rPr>
      <w:sz w:val="20"/>
    </w:rPr>
  </w:style>
  <w:style w:type="paragraph" w:customStyle="1" w:styleId="MarginIcons">
    <w:name w:val="Margin Icons"/>
    <w:basedOn w:val="BodyText"/>
    <w:rsid w:val="003A4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0C5"/>
    <w:rPr>
      <w:rFonts w:ascii="Courier New" w:hAnsi="Courier New"/>
    </w:rPr>
  </w:style>
  <w:style w:type="paragraph" w:customStyle="1" w:styleId="NoteBullet">
    <w:name w:val="Note Bullet"/>
    <w:basedOn w:val="Note"/>
    <w:rsid w:val="003A40C5"/>
    <w:pPr>
      <w:tabs>
        <w:tab w:val="clear" w:pos="680"/>
      </w:tabs>
      <w:spacing w:before="60" w:after="60"/>
    </w:pPr>
  </w:style>
  <w:style w:type="paragraph" w:customStyle="1" w:styleId="SubHeading2">
    <w:name w:val="SubHeading2"/>
    <w:basedOn w:val="HeadingBase"/>
    <w:rsid w:val="003A40C5"/>
    <w:pPr>
      <w:spacing w:before="240" w:after="60"/>
    </w:pPr>
    <w:rPr>
      <w:sz w:val="20"/>
    </w:rPr>
  </w:style>
  <w:style w:type="paragraph" w:customStyle="1" w:styleId="SubHeading1">
    <w:name w:val="SubHeading1"/>
    <w:basedOn w:val="HeadingBase"/>
    <w:rsid w:val="003A40C5"/>
    <w:pPr>
      <w:spacing w:before="240" w:after="60"/>
    </w:pPr>
    <w:rPr>
      <w:color w:val="918585"/>
      <w:sz w:val="22"/>
    </w:rPr>
  </w:style>
  <w:style w:type="paragraph" w:customStyle="1" w:styleId="SideHeading">
    <w:name w:val="Side Heading"/>
    <w:basedOn w:val="HeadingBase"/>
    <w:rsid w:val="003A4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0C5"/>
    <w:pPr>
      <w:tabs>
        <w:tab w:val="num" w:pos="360"/>
      </w:tabs>
    </w:pPr>
  </w:style>
  <w:style w:type="paragraph" w:styleId="PlainText">
    <w:name w:val="Plain Text"/>
    <w:basedOn w:val="Normal"/>
    <w:link w:val="PlainTextChar"/>
    <w:rsid w:val="003A40C5"/>
    <w:rPr>
      <w:sz w:val="20"/>
    </w:rPr>
  </w:style>
  <w:style w:type="character" w:customStyle="1" w:styleId="PlainTextChar">
    <w:name w:val="Plain Text Char"/>
    <w:basedOn w:val="DefaultParagraphFont"/>
    <w:link w:val="PlainText"/>
    <w:rsid w:val="003A4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40C5"/>
    <w:rPr>
      <w:b/>
      <w:smallCaps/>
    </w:rPr>
  </w:style>
  <w:style w:type="paragraph" w:customStyle="1" w:styleId="TableListNumber">
    <w:name w:val="Table List Number"/>
    <w:basedOn w:val="ListNumber"/>
    <w:rsid w:val="003A40C5"/>
    <w:pPr>
      <w:numPr>
        <w:numId w:val="0"/>
      </w:numPr>
    </w:pPr>
  </w:style>
  <w:style w:type="paragraph" w:styleId="TOC4">
    <w:name w:val="toc 4"/>
    <w:basedOn w:val="TOCBase"/>
    <w:next w:val="Normal"/>
    <w:semiHidden/>
    <w:rsid w:val="003A40C5"/>
    <w:pPr>
      <w:tabs>
        <w:tab w:val="right" w:leader="dot" w:pos="9071"/>
      </w:tabs>
      <w:ind w:left="1701"/>
    </w:pPr>
  </w:style>
  <w:style w:type="paragraph" w:customStyle="1" w:styleId="ListAlpha">
    <w:name w:val="List Alpha"/>
    <w:basedOn w:val="List"/>
    <w:rsid w:val="003A40C5"/>
    <w:pPr>
      <w:numPr>
        <w:numId w:val="8"/>
      </w:numPr>
    </w:pPr>
  </w:style>
  <w:style w:type="paragraph" w:customStyle="1" w:styleId="ListAlpha2">
    <w:name w:val="List Alpha 2"/>
    <w:basedOn w:val="List2"/>
    <w:rsid w:val="003A40C5"/>
    <w:pPr>
      <w:numPr>
        <w:numId w:val="7"/>
      </w:numPr>
    </w:pPr>
  </w:style>
  <w:style w:type="paragraph" w:styleId="List3">
    <w:name w:val="List 3"/>
    <w:basedOn w:val="BodyText"/>
    <w:rsid w:val="003A40C5"/>
    <w:pPr>
      <w:tabs>
        <w:tab w:val="left" w:pos="1021"/>
      </w:tabs>
      <w:spacing w:before="60" w:after="60"/>
      <w:ind w:left="1020" w:hanging="340"/>
    </w:pPr>
  </w:style>
  <w:style w:type="paragraph" w:styleId="List4">
    <w:name w:val="List 4"/>
    <w:basedOn w:val="BodyText"/>
    <w:rsid w:val="003A40C5"/>
    <w:pPr>
      <w:tabs>
        <w:tab w:val="left" w:pos="1361"/>
      </w:tabs>
      <w:spacing w:before="60" w:after="60"/>
      <w:ind w:left="1361" w:hanging="340"/>
    </w:pPr>
  </w:style>
  <w:style w:type="paragraph" w:styleId="List5">
    <w:name w:val="List 5"/>
    <w:basedOn w:val="BodyText"/>
    <w:rsid w:val="003A40C5"/>
    <w:pPr>
      <w:tabs>
        <w:tab w:val="left" w:pos="1701"/>
      </w:tabs>
      <w:spacing w:before="60" w:after="60"/>
      <w:ind w:left="1701" w:hanging="340"/>
    </w:pPr>
  </w:style>
  <w:style w:type="paragraph" w:styleId="ListBullet3">
    <w:name w:val="List Bullet 3"/>
    <w:basedOn w:val="List3"/>
    <w:rsid w:val="003A40C5"/>
    <w:pPr>
      <w:numPr>
        <w:numId w:val="14"/>
      </w:numPr>
      <w:tabs>
        <w:tab w:val="clear" w:pos="1021"/>
      </w:tabs>
      <w:ind w:left="1037" w:hanging="357"/>
    </w:pPr>
  </w:style>
  <w:style w:type="paragraph" w:styleId="ListBullet4">
    <w:name w:val="List Bullet 4"/>
    <w:basedOn w:val="List4"/>
    <w:rsid w:val="003A40C5"/>
    <w:pPr>
      <w:numPr>
        <w:numId w:val="2"/>
      </w:numPr>
    </w:pPr>
  </w:style>
  <w:style w:type="paragraph" w:styleId="ListBullet5">
    <w:name w:val="List Bullet 5"/>
    <w:basedOn w:val="List5"/>
    <w:rsid w:val="003A40C5"/>
    <w:pPr>
      <w:numPr>
        <w:numId w:val="3"/>
      </w:numPr>
    </w:pPr>
  </w:style>
  <w:style w:type="paragraph" w:styleId="ListContinue2">
    <w:name w:val="List Continue 2"/>
    <w:basedOn w:val="List2"/>
    <w:rsid w:val="003A40C5"/>
    <w:pPr>
      <w:ind w:firstLine="0"/>
    </w:pPr>
  </w:style>
  <w:style w:type="paragraph" w:styleId="ListContinue3">
    <w:name w:val="List Continue 3"/>
    <w:basedOn w:val="List3"/>
    <w:rsid w:val="003A40C5"/>
    <w:pPr>
      <w:ind w:left="1021" w:firstLine="0"/>
    </w:pPr>
  </w:style>
  <w:style w:type="paragraph" w:styleId="ListContinue4">
    <w:name w:val="List Continue 4"/>
    <w:basedOn w:val="List4"/>
    <w:rsid w:val="003A40C5"/>
    <w:pPr>
      <w:ind w:firstLine="0"/>
    </w:pPr>
  </w:style>
  <w:style w:type="paragraph" w:styleId="ListContinue5">
    <w:name w:val="List Continue 5"/>
    <w:basedOn w:val="List5"/>
    <w:rsid w:val="003A40C5"/>
    <w:pPr>
      <w:ind w:firstLine="0"/>
    </w:pPr>
  </w:style>
  <w:style w:type="paragraph" w:styleId="ListNumber3">
    <w:name w:val="List Number 3"/>
    <w:basedOn w:val="List3"/>
    <w:rsid w:val="003A40C5"/>
    <w:pPr>
      <w:numPr>
        <w:numId w:val="4"/>
      </w:numPr>
    </w:pPr>
  </w:style>
  <w:style w:type="paragraph" w:styleId="ListNumber4">
    <w:name w:val="List Number 4"/>
    <w:basedOn w:val="List4"/>
    <w:rsid w:val="003A40C5"/>
    <w:pPr>
      <w:numPr>
        <w:numId w:val="5"/>
      </w:numPr>
    </w:pPr>
  </w:style>
  <w:style w:type="paragraph" w:styleId="ListNumber5">
    <w:name w:val="List Number 5"/>
    <w:basedOn w:val="List5"/>
    <w:rsid w:val="003A40C5"/>
    <w:pPr>
      <w:numPr>
        <w:numId w:val="6"/>
      </w:numPr>
    </w:pPr>
  </w:style>
  <w:style w:type="paragraph" w:styleId="BlockText">
    <w:name w:val="Block Text"/>
    <w:basedOn w:val="Normal"/>
    <w:rsid w:val="003A40C5"/>
    <w:pPr>
      <w:spacing w:after="120"/>
      <w:ind w:left="1440" w:right="1440"/>
    </w:pPr>
  </w:style>
  <w:style w:type="character" w:customStyle="1" w:styleId="Subscript">
    <w:name w:val="Subscript"/>
    <w:basedOn w:val="DefaultParagraphFont"/>
    <w:rsid w:val="003A40C5"/>
    <w:rPr>
      <w:sz w:val="16"/>
      <w:vertAlign w:val="subscript"/>
    </w:rPr>
  </w:style>
  <w:style w:type="character" w:customStyle="1" w:styleId="Superscript">
    <w:name w:val="Superscript"/>
    <w:basedOn w:val="DefaultParagraphFont"/>
    <w:rsid w:val="003A40C5"/>
    <w:rPr>
      <w:sz w:val="16"/>
      <w:vertAlign w:val="superscript"/>
    </w:rPr>
  </w:style>
  <w:style w:type="character" w:customStyle="1" w:styleId="Symbols">
    <w:name w:val="Symbols"/>
    <w:basedOn w:val="DefaultParagraphFont"/>
    <w:rsid w:val="003A40C5"/>
    <w:rPr>
      <w:rFonts w:ascii="Symbol" w:hAnsi="Symbol"/>
    </w:rPr>
  </w:style>
  <w:style w:type="character" w:customStyle="1" w:styleId="MenuOptions">
    <w:name w:val="Menu Options"/>
    <w:basedOn w:val="DefaultParagraphFont"/>
    <w:rsid w:val="003A40C5"/>
    <w:rPr>
      <w:rFonts w:ascii="Arial Narrow" w:hAnsi="Arial Narrow"/>
      <w:smallCaps/>
    </w:rPr>
  </w:style>
  <w:style w:type="character" w:customStyle="1" w:styleId="Buttons">
    <w:name w:val="Buttons"/>
    <w:basedOn w:val="DefaultParagraphFont"/>
    <w:rsid w:val="003A40C5"/>
    <w:rPr>
      <w:b/>
    </w:rPr>
  </w:style>
  <w:style w:type="character" w:customStyle="1" w:styleId="Underlined">
    <w:name w:val="Underlined"/>
    <w:basedOn w:val="DefaultParagraphFont"/>
    <w:rsid w:val="003A40C5"/>
    <w:rPr>
      <w:u w:val="single"/>
    </w:rPr>
  </w:style>
  <w:style w:type="paragraph" w:customStyle="1" w:styleId="TableBodyTextRight">
    <w:name w:val="Table Body Text Right"/>
    <w:basedOn w:val="TableBodyText"/>
    <w:rsid w:val="003A40C5"/>
    <w:pPr>
      <w:widowControl w:val="0"/>
      <w:autoSpaceDE w:val="0"/>
      <w:autoSpaceDN w:val="0"/>
      <w:adjustRightInd w:val="0"/>
      <w:jc w:val="right"/>
    </w:pPr>
    <w:rPr>
      <w:rFonts w:cs="Arial"/>
      <w:szCs w:val="18"/>
    </w:rPr>
  </w:style>
  <w:style w:type="paragraph" w:customStyle="1" w:styleId="CopyrightText">
    <w:name w:val="Copyright Text"/>
    <w:basedOn w:val="BodyText"/>
    <w:rsid w:val="003A40C5"/>
    <w:rPr>
      <w:sz w:val="18"/>
    </w:rPr>
  </w:style>
  <w:style w:type="paragraph" w:customStyle="1" w:styleId="BodySmallRight">
    <w:name w:val="Body Small Right"/>
    <w:basedOn w:val="BodyTextRight"/>
    <w:rsid w:val="003A40C5"/>
    <w:rPr>
      <w:sz w:val="18"/>
      <w:szCs w:val="18"/>
    </w:rPr>
  </w:style>
  <w:style w:type="paragraph" w:customStyle="1" w:styleId="MarginEdition">
    <w:name w:val="Margin Edition"/>
    <w:basedOn w:val="MarginNote"/>
    <w:rsid w:val="003A40C5"/>
    <w:pPr>
      <w:spacing w:before="0" w:after="0"/>
    </w:pPr>
    <w:rPr>
      <w:rFonts w:ascii="Times New Roman" w:hAnsi="Times New Roman"/>
      <w:color w:val="999999"/>
    </w:rPr>
  </w:style>
  <w:style w:type="paragraph" w:customStyle="1" w:styleId="Spacer">
    <w:name w:val="Spacer"/>
    <w:basedOn w:val="Normal"/>
    <w:rsid w:val="003A40C5"/>
    <w:rPr>
      <w:sz w:val="2"/>
      <w:szCs w:val="2"/>
    </w:rPr>
  </w:style>
  <w:style w:type="character" w:customStyle="1" w:styleId="Small">
    <w:name w:val="Small"/>
    <w:basedOn w:val="DefaultParagraphFont"/>
    <w:rsid w:val="003A40C5"/>
    <w:rPr>
      <w:sz w:val="16"/>
    </w:rPr>
  </w:style>
  <w:style w:type="paragraph" w:customStyle="1" w:styleId="WideTable">
    <w:name w:val="Wide Table"/>
    <w:basedOn w:val="Normal"/>
    <w:rsid w:val="003A40C5"/>
    <w:pPr>
      <w:ind w:left="-1418"/>
    </w:pPr>
    <w:rPr>
      <w:sz w:val="2"/>
      <w:szCs w:val="2"/>
    </w:rPr>
  </w:style>
  <w:style w:type="character" w:styleId="PageNumber">
    <w:name w:val="page number"/>
    <w:basedOn w:val="DefaultParagraphFont"/>
    <w:rsid w:val="003A40C5"/>
  </w:style>
  <w:style w:type="paragraph" w:styleId="Quote">
    <w:name w:val="Quote"/>
    <w:basedOn w:val="Heading1"/>
    <w:link w:val="QuoteChar"/>
    <w:qFormat/>
    <w:rsid w:val="003A40C5"/>
    <w:rPr>
      <w:b w:val="0"/>
      <w:sz w:val="72"/>
      <w:szCs w:val="72"/>
      <w:lang w:val="en-NZ"/>
    </w:rPr>
  </w:style>
  <w:style w:type="character" w:customStyle="1" w:styleId="QuoteChar">
    <w:name w:val="Quote Char"/>
    <w:basedOn w:val="DefaultParagraphFont"/>
    <w:link w:val="Quote"/>
    <w:rsid w:val="003A4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0C5"/>
    <w:pPr>
      <w:pageBreakBefore/>
    </w:pPr>
  </w:style>
  <w:style w:type="paragraph" w:customStyle="1" w:styleId="Border">
    <w:name w:val="Border"/>
    <w:basedOn w:val="Normal"/>
    <w:qFormat/>
    <w:rsid w:val="003A4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0C5"/>
    <w:rPr>
      <w:b/>
      <w:bCs/>
      <w:i/>
      <w:iCs/>
      <w:color w:val="auto"/>
    </w:rPr>
  </w:style>
  <w:style w:type="paragraph" w:styleId="IntenseQuote">
    <w:name w:val="Intense Quote"/>
    <w:basedOn w:val="Normal"/>
    <w:next w:val="Normal"/>
    <w:link w:val="IntenseQuoteChar"/>
    <w:uiPriority w:val="30"/>
    <w:qFormat/>
    <w:rsid w:val="003A4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40C5"/>
    <w:rPr>
      <w:smallCaps/>
      <w:color w:val="auto"/>
      <w:u w:val="single"/>
    </w:rPr>
  </w:style>
  <w:style w:type="character" w:styleId="IntenseReference">
    <w:name w:val="Intense Reference"/>
    <w:basedOn w:val="DefaultParagraphFont"/>
    <w:uiPriority w:val="32"/>
    <w:qFormat/>
    <w:rsid w:val="003A40C5"/>
    <w:rPr>
      <w:b/>
      <w:bCs/>
      <w:smallCaps/>
      <w:color w:val="auto"/>
      <w:spacing w:val="5"/>
      <w:u w:val="single"/>
    </w:rPr>
  </w:style>
  <w:style w:type="paragraph" w:customStyle="1" w:styleId="2ColumnHeading">
    <w:name w:val="2Column Heading"/>
    <w:basedOn w:val="BodyText"/>
    <w:qFormat/>
    <w:rsid w:val="003A40C5"/>
    <w:pPr>
      <w:spacing w:after="60"/>
      <w:ind w:left="-2268"/>
    </w:pPr>
    <w:rPr>
      <w:b/>
    </w:rPr>
  </w:style>
  <w:style w:type="paragraph" w:customStyle="1" w:styleId="Heading1TOC">
    <w:name w:val="Heading1 TOC"/>
    <w:basedOn w:val="Normal"/>
    <w:qFormat/>
    <w:rsid w:val="003A40C5"/>
    <w:pPr>
      <w:spacing w:before="240" w:after="120"/>
    </w:pPr>
    <w:rPr>
      <w:rFonts w:ascii="Times New Roman" w:hAnsi="Times New Roman"/>
      <w:b/>
      <w:sz w:val="32"/>
    </w:rPr>
  </w:style>
  <w:style w:type="paragraph" w:customStyle="1" w:styleId="Heading2TOC">
    <w:name w:val="Heading2 TOC"/>
    <w:basedOn w:val="Normal"/>
    <w:qFormat/>
    <w:rsid w:val="003A40C5"/>
    <w:pPr>
      <w:spacing w:before="240" w:after="60"/>
    </w:pPr>
    <w:rPr>
      <w:rFonts w:ascii="Times New Roman" w:hAnsi="Times New Roman"/>
      <w:b/>
      <w:sz w:val="28"/>
    </w:rPr>
  </w:style>
  <w:style w:type="character" w:customStyle="1" w:styleId="Underline">
    <w:name w:val="Underline"/>
    <w:basedOn w:val="DefaultParagraphFont"/>
    <w:qFormat/>
    <w:rsid w:val="003A40C5"/>
    <w:rPr>
      <w:u w:val="single"/>
    </w:rPr>
  </w:style>
  <w:style w:type="character" w:customStyle="1" w:styleId="BoldandItalics">
    <w:name w:val="Bold and Italics"/>
    <w:qFormat/>
    <w:rsid w:val="003A40C5"/>
    <w:rPr>
      <w:b/>
      <w:i/>
      <w:u w:val="none"/>
    </w:rPr>
  </w:style>
  <w:style w:type="paragraph" w:styleId="BalloonText">
    <w:name w:val="Balloon Text"/>
    <w:basedOn w:val="Normal"/>
    <w:link w:val="BalloonTextChar"/>
    <w:rsid w:val="003A40C5"/>
    <w:rPr>
      <w:rFonts w:ascii="Tahoma" w:hAnsi="Tahoma" w:cs="Tahoma"/>
      <w:sz w:val="16"/>
      <w:szCs w:val="16"/>
    </w:rPr>
  </w:style>
  <w:style w:type="character" w:customStyle="1" w:styleId="BalloonTextChar">
    <w:name w:val="Balloon Text Char"/>
    <w:basedOn w:val="DefaultParagraphFont"/>
    <w:link w:val="BalloonText"/>
    <w:rsid w:val="003A4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4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1155</Words>
  <Characters>6984</Characters>
  <Application>Microsoft Office Word</Application>
  <DocSecurity>0</DocSecurity>
  <Lines>250</Lines>
  <Paragraphs>114</Paragraphs>
  <ScaleCrop>false</ScaleCrop>
  <Company>Author-it Software Corporation Ltd.</Company>
  <LinksUpToDate>false</LinksUpToDate>
  <CharactersWithSpaces>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MEM05023C Weld using submerged arc welding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2012-05-27T01:30:00Z</dcterms:created>
  <dcterms:modified xsi:type="dcterms:W3CDTF">2012-05-27T01:30:00Z</dcterms:modified>
</cp:coreProperties>
</file>