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E07" w:rsidP="00086E07">
      <w:pPr>
        <w:pStyle w:val="Title"/>
      </w:pPr>
      <w:r>
        <w:fldChar w:fldCharType="begin"/>
      </w:r>
      <w:r>
        <w:instrText xml:space="preserve"> TITLE   \* MERGEFORMAT </w:instrText>
      </w:r>
      <w:r>
        <w:fldChar w:fldCharType="separate"/>
      </w:r>
      <w:r>
        <w:t>MEM05022C Perform advanced welding using oxy acetylene welding process</w:t>
      </w:r>
      <w:r>
        <w:fldChar w:fldCharType="end"/>
      </w:r>
    </w:p>
    <w:p w:rsidR="00086E07" w:rsidP="00086E07">
      <w:pPr>
        <w:pStyle w:val="Version"/>
        <w:sectPr w:rsidSect="002D32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324E" w:rsidP="002D324E">
      <w:pPr>
        <w:pStyle w:val="SuperHeading"/>
      </w:pPr>
      <w:r w:rsidRPr="002D324E">
        <w:t>MEM05022C Perform advanced welding using oxy acetylene welding process</w:t>
      </w:r>
    </w:p>
    <w:p w:rsidR="00000000" w:rsidRPr="002D324E" w:rsidP="002D324E">
      <w:pPr>
        <w:pStyle w:val="Heading1"/>
      </w:pPr>
      <w:bookmarkStart w:id="1" w:name="O_272015"/>
      <w:bookmarkEnd w:id="1"/>
      <w:r w:rsidRPr="002D324E">
        <w:t>Modification History</w:t>
      </w:r>
    </w:p>
    <w:p w:rsidR="00000000" w:rsidRPr="002D324E" w:rsidP="002D324E">
      <w:pPr>
        <w:pStyle w:val="BodyText"/>
      </w:pPr>
      <w:r w:rsidRPr="002D324E">
        <w:t>Not Applicable</w:t>
      </w:r>
    </w:p>
    <w:p w:rsidR="00000000" w:rsidRPr="002D324E" w:rsidP="002D324E">
      <w:pPr>
        <w:pStyle w:val="AllowPageBreak"/>
      </w:pPr>
    </w:p>
    <w:p w:rsidR="00000000" w:rsidRPr="002D324E" w:rsidP="002D324E">
      <w:pPr>
        <w:pStyle w:val="Heading1"/>
      </w:pPr>
      <w:bookmarkStart w:id="2" w:name="O_210543"/>
      <w:bookmarkEnd w:id="2"/>
      <w:r w:rsidRPr="002D324E">
        <w:t>Unit Descriptor</w:t>
      </w:r>
    </w:p>
    <w:tbl>
      <w:tblPr>
        <w:tblW w:w="0" w:type="auto"/>
        <w:tblLayout w:type="fixed"/>
        <w:tblCellMar>
          <w:left w:w="62" w:type="dxa"/>
          <w:right w:w="62" w:type="dxa"/>
        </w:tblCellMar>
        <w:tblLook w:val="0000"/>
      </w:tblPr>
      <w:tblGrid>
        <w:gridCol w:w="2673"/>
        <w:gridCol w:w="5849"/>
      </w:tblGrid>
      <w:tr w:rsidTr="00086E0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BodyText"/>
            </w:pPr>
            <w:r w:rsidRPr="002D324E">
              <w:t xml:space="preserve">This unit covers performing advanced oxy acetylene welding, carried </w:t>
            </w:r>
            <w:r w:rsidRPr="002D324E">
              <w:t>out using a range of materials for general fabrication.</w:t>
            </w:r>
          </w:p>
        </w:tc>
      </w:tr>
    </w:tbl>
    <w:p w:rsidR="00086E07" w:rsidP="002D324E">
      <w:pPr>
        <w:pStyle w:val="BodyText"/>
      </w:pPr>
    </w:p>
    <w:p w:rsidR="00086E07" w:rsidP="002D324E">
      <w:pPr>
        <w:pStyle w:val="BodyText"/>
      </w:pPr>
    </w:p>
    <w:p w:rsidR="00000000" w:rsidRPr="002D324E" w:rsidP="002D324E">
      <w:pPr>
        <w:pStyle w:val="Heading1"/>
      </w:pPr>
      <w:bookmarkStart w:id="3" w:name="O_210547"/>
      <w:bookmarkEnd w:id="3"/>
      <w:r w:rsidRPr="002D324E">
        <w:t>Application of the Unit</w:t>
      </w:r>
    </w:p>
    <w:tbl>
      <w:tblPr>
        <w:tblW w:w="0" w:type="auto"/>
        <w:tblLayout w:type="fixed"/>
        <w:tblCellMar>
          <w:left w:w="62" w:type="dxa"/>
          <w:right w:w="62" w:type="dxa"/>
        </w:tblCellMar>
        <w:tblLook w:val="0000"/>
      </w:tblPr>
      <w:tblGrid>
        <w:gridCol w:w="2745"/>
        <w:gridCol w:w="5777"/>
      </w:tblGrid>
      <w:tr w:rsidTr="00086E0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BodyText"/>
            </w:pPr>
            <w:r w:rsidRPr="002D324E">
              <w:t>This unit applies to comprehensive preparation as required in a range of environments. It also includes maintaining weld records and rectifying defects. The term 'oxy acetylene' is used here to describe a range of fuel gases, including acetylene, LPG, hydr</w:t>
            </w:r>
            <w:r w:rsidRPr="002D324E">
              <w:t xml:space="preserve">ogen etc. </w:t>
            </w:r>
          </w:p>
          <w:p w:rsidR="00000000" w:rsidRPr="002D324E" w:rsidP="002D324E">
            <w:pPr>
              <w:pStyle w:val="BodyText"/>
            </w:pPr>
            <w:r w:rsidRPr="002D324E">
              <w:t>This unit covers the competencies required for welding quality that would meet the Australian Standard 1554 Special Purpose, appropriate industrial standards, or equivalent outcomes.</w:t>
            </w:r>
          </w:p>
          <w:p w:rsidR="00000000" w:rsidRPr="002D324E" w:rsidP="002D324E">
            <w:pPr>
              <w:pStyle w:val="BodyText"/>
            </w:pPr>
            <w:r w:rsidRPr="002D324E">
              <w:t>Where welds comply with one of the certificates covered by Aus</w:t>
            </w:r>
            <w:r w:rsidRPr="002D324E">
              <w:t xml:space="preserve">tralian Standard 1796, then Unit MEM05026C (Apply welding principles) should also be selected. </w:t>
            </w:r>
          </w:p>
          <w:p w:rsidR="00000000" w:rsidRPr="002D324E" w:rsidP="002D324E">
            <w:pPr>
              <w:pStyle w:val="BodyText"/>
            </w:pPr>
            <w:r w:rsidRPr="002D324E">
              <w:t xml:space="preserve">Where advanced manual thermal cutting, gouging and shaping is carried out, Unit MEM05008C (Perform advanced manual thermal cutting, gouging and shaping) should </w:t>
            </w:r>
            <w:r w:rsidRPr="002D324E">
              <w:t>also be selected.</w:t>
            </w:r>
          </w:p>
          <w:p w:rsidR="00000000" w:rsidRPr="002D324E" w:rsidP="002D324E">
            <w:pPr>
              <w:pStyle w:val="BodyText"/>
            </w:pPr>
          </w:p>
          <w:p w:rsidR="00000000" w:rsidRPr="002D324E" w:rsidP="002D324E">
            <w:pPr>
              <w:pStyle w:val="BodyText"/>
            </w:pPr>
            <w:r w:rsidRPr="002D324E">
              <w:rPr>
                <w:rStyle w:val="SpecialBold"/>
              </w:rPr>
              <w:t>Band</w:t>
            </w:r>
            <w:r w:rsidRPr="002D324E">
              <w:t>:</w:t>
            </w:r>
            <w:r w:rsidRPr="002D324E">
              <w:tab/>
            </w:r>
            <w:r w:rsidRPr="002D324E">
              <w:rPr>
                <w:rStyle w:val="SpecialBold"/>
              </w:rPr>
              <w:t>A</w:t>
            </w:r>
          </w:p>
          <w:p w:rsidR="00000000" w:rsidRPr="002D324E" w:rsidP="002D324E">
            <w:pPr>
              <w:pStyle w:val="BodyText"/>
            </w:pPr>
            <w:r w:rsidRPr="002D324E">
              <w:rPr>
                <w:rStyle w:val="SpecialBold"/>
              </w:rPr>
              <w:t>Unit Weight</w:t>
            </w:r>
            <w:r w:rsidRPr="002D324E">
              <w:t>:</w:t>
            </w:r>
            <w:r w:rsidRPr="002D324E">
              <w:tab/>
            </w:r>
            <w:r w:rsidRPr="002D324E">
              <w:rPr>
                <w:rStyle w:val="SpecialBold"/>
              </w:rPr>
              <w:t>6</w:t>
            </w:r>
          </w:p>
        </w:tc>
      </w:tr>
    </w:tbl>
    <w:p w:rsidR="00086E07" w:rsidP="002D324E">
      <w:pPr>
        <w:pStyle w:val="BodyText"/>
      </w:pPr>
    </w:p>
    <w:p w:rsidR="00086E07" w:rsidP="002D324E">
      <w:pPr>
        <w:pStyle w:val="BodyText"/>
      </w:pPr>
    </w:p>
    <w:p w:rsidR="00000000" w:rsidRPr="002D324E" w:rsidP="002D324E">
      <w:pPr>
        <w:pStyle w:val="Heading1"/>
      </w:pPr>
      <w:bookmarkStart w:id="4" w:name="O_280275"/>
      <w:bookmarkEnd w:id="4"/>
      <w:r w:rsidRPr="002D324E">
        <w:t>Licensing/Regulatory Information</w:t>
      </w:r>
    </w:p>
    <w:p w:rsidR="00000000" w:rsidRPr="002D324E" w:rsidP="002D324E">
      <w:pPr>
        <w:pStyle w:val="BodyText"/>
      </w:pPr>
      <w:r w:rsidRPr="002D324E">
        <w:t>Not Applicable</w:t>
      </w:r>
    </w:p>
    <w:p w:rsidR="00000000" w:rsidRPr="002D324E" w:rsidP="002D324E">
      <w:pPr>
        <w:pStyle w:val="AllowPageBreak"/>
      </w:pPr>
    </w:p>
    <w:p w:rsidR="00000000" w:rsidRPr="002D324E" w:rsidP="002D324E">
      <w:pPr>
        <w:pStyle w:val="Heading1"/>
      </w:pPr>
      <w:bookmarkStart w:id="5" w:name="O_210545"/>
      <w:bookmarkEnd w:id="5"/>
      <w:r w:rsidRPr="002D324E">
        <w:t>Pre-Requisites</w:t>
      </w:r>
    </w:p>
    <w:tbl>
      <w:tblPr>
        <w:tblW w:w="0" w:type="auto"/>
        <w:tblLayout w:type="fixed"/>
        <w:tblCellMar>
          <w:left w:w="62" w:type="dxa"/>
          <w:right w:w="62" w:type="dxa"/>
        </w:tblCellMar>
        <w:tblLook w:val="0000"/>
      </w:tblPr>
      <w:tblGrid>
        <w:gridCol w:w="2712"/>
        <w:gridCol w:w="2207"/>
        <w:gridCol w:w="3603"/>
      </w:tblGrid>
      <w:tr w:rsidTr="00086E07">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p>
        </w:tc>
      </w:tr>
      <w:tr w:rsidTr="00086E0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 xml:space="preserve">MEM05004C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Perform routine oxy acetylene welding</w:t>
            </w:r>
          </w:p>
        </w:tc>
      </w:tr>
      <w:tr w:rsidTr="00086E0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Perform manual heating and thermal cutting</w:t>
            </w:r>
          </w:p>
        </w:tc>
      </w:tr>
      <w:tr w:rsidTr="00086E0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 xml:space="preserve">MEM05051A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Select welding processes</w:t>
            </w:r>
          </w:p>
        </w:tc>
      </w:tr>
      <w:tr w:rsidTr="00086E0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 xml:space="preserve">MEM05052A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Apply safe welding practices</w:t>
            </w:r>
          </w:p>
        </w:tc>
      </w:tr>
      <w:tr w:rsidTr="00086E0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Interpret technical drawing</w:t>
            </w:r>
          </w:p>
        </w:tc>
      </w:tr>
      <w:tr w:rsidTr="00086E0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Use hand tools</w:t>
            </w:r>
          </w:p>
        </w:tc>
      </w:tr>
      <w:tr w:rsidTr="00086E0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BodyText"/>
            </w:pPr>
            <w:r w:rsidRPr="002D324E">
              <w:t>Use power tools/hand held operations</w:t>
            </w:r>
          </w:p>
        </w:tc>
      </w:tr>
    </w:tbl>
    <w:p w:rsidR="00086E07" w:rsidP="002D324E">
      <w:pPr>
        <w:pStyle w:val="BodyText"/>
      </w:pPr>
    </w:p>
    <w:p w:rsidR="00086E07" w:rsidP="002D324E">
      <w:pPr>
        <w:pStyle w:val="BodyText"/>
      </w:pPr>
    </w:p>
    <w:p w:rsidR="00000000" w:rsidRPr="002D324E" w:rsidP="002D324E">
      <w:pPr>
        <w:pStyle w:val="Heading1"/>
      </w:pPr>
      <w:bookmarkStart w:id="6" w:name="O_210544"/>
      <w:bookmarkEnd w:id="6"/>
      <w:r w:rsidRPr="002D324E">
        <w:t>Employability Skills Information</w:t>
      </w:r>
    </w:p>
    <w:tbl>
      <w:tblPr>
        <w:tblW w:w="0" w:type="auto"/>
        <w:tblLayout w:type="fixed"/>
        <w:tblCellMar>
          <w:left w:w="62" w:type="dxa"/>
          <w:right w:w="62" w:type="dxa"/>
        </w:tblCellMar>
        <w:tblLook w:val="0000"/>
      </w:tblPr>
      <w:tblGrid>
        <w:gridCol w:w="2802"/>
        <w:gridCol w:w="5720"/>
      </w:tblGrid>
      <w:tr w:rsidTr="00086E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BodyText"/>
            </w:pPr>
            <w:r w:rsidRPr="002D324E">
              <w:t>This unit contains employability skills.</w:t>
            </w:r>
          </w:p>
        </w:tc>
      </w:tr>
    </w:tbl>
    <w:p w:rsidR="00086E07" w:rsidP="002D324E">
      <w:pPr>
        <w:pStyle w:val="BodyText"/>
      </w:pPr>
    </w:p>
    <w:p w:rsidR="00086E07" w:rsidP="002D324E">
      <w:pPr>
        <w:pStyle w:val="BodyText"/>
      </w:pPr>
    </w:p>
    <w:p w:rsidR="00000000" w:rsidRPr="002D324E" w:rsidP="002D324E">
      <w:pPr>
        <w:pStyle w:val="Heading1"/>
      </w:pPr>
      <w:bookmarkStart w:id="7" w:name="O_290061"/>
      <w:bookmarkEnd w:id="7"/>
      <w:r w:rsidRPr="002D324E">
        <w:t>Elements and Performance Criteria Pre-Content</w:t>
      </w:r>
    </w:p>
    <w:tbl>
      <w:tblPr>
        <w:tblW w:w="0" w:type="auto"/>
        <w:tblLayout w:type="fixed"/>
        <w:tblCellMar>
          <w:left w:w="62" w:type="dxa"/>
          <w:right w:w="62" w:type="dxa"/>
        </w:tblCellMar>
        <w:tblLook w:val="0000"/>
      </w:tblPr>
      <w:tblGrid>
        <w:gridCol w:w="2565"/>
        <w:gridCol w:w="5957"/>
      </w:tblGrid>
      <w:tr w:rsidTr="00086E0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BodyText"/>
            </w:pPr>
            <w:r w:rsidRPr="002D324E">
              <w:t xml:space="preserve">Performance criteria </w:t>
            </w:r>
            <w:r w:rsidRPr="002D324E">
              <w:t>describe the performance needed to demonstrate achievement of the element. Where bold italicised text is used, further information is detailed in the required skills and knowledge section and the range statement. Assessment of performance is to be consiste</w:t>
            </w:r>
            <w:r w:rsidRPr="002D324E">
              <w:t>nt with the evidence guide.</w:t>
            </w:r>
          </w:p>
        </w:tc>
      </w:tr>
    </w:tbl>
    <w:p w:rsidR="00000000" w:rsidRPr="002D324E" w:rsidP="002D324E">
      <w:pPr>
        <w:pStyle w:val="BodyText"/>
      </w:pPr>
    </w:p>
    <w:p w:rsidR="00000000" w:rsidRPr="002D324E" w:rsidP="002D324E">
      <w:pPr>
        <w:pStyle w:val="AllowPageBreak"/>
      </w:pPr>
    </w:p>
    <w:p w:rsidR="00000000" w:rsidRPr="002D324E" w:rsidP="002D324E">
      <w:pPr>
        <w:pStyle w:val="Heading1"/>
      </w:pPr>
      <w:bookmarkStart w:id="8" w:name="O_236728"/>
      <w:bookmarkEnd w:id="8"/>
      <w:r w:rsidRPr="002D324E">
        <w:t>Elements and Performance Criteria</w:t>
      </w:r>
    </w:p>
    <w:tbl>
      <w:tblPr>
        <w:tblW w:w="0" w:type="auto"/>
        <w:tblLayout w:type="fixed"/>
        <w:tblCellMar>
          <w:left w:w="62" w:type="dxa"/>
          <w:right w:w="62" w:type="dxa"/>
        </w:tblCellMar>
        <w:tblLook w:val="0000"/>
      </w:tblPr>
      <w:tblGrid>
        <w:gridCol w:w="2565"/>
        <w:gridCol w:w="5957"/>
      </w:tblGrid>
      <w:tr w:rsidTr="00086E07">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BodyText"/>
            </w:pPr>
            <w:r w:rsidRPr="002D324E">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PERFORMANCE CRITERIA</w:t>
            </w:r>
          </w:p>
        </w:tc>
      </w:tr>
      <w:tr w:rsidTr="00086E0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List"/>
              <w:rPr>
                <w:lang w:val="en-NZ"/>
              </w:rPr>
            </w:pPr>
            <w:r w:rsidRPr="002D324E">
              <w:t>1.</w:t>
            </w:r>
            <w:r w:rsidRPr="002D324E">
              <w:tab/>
              <w:t>Select welding equipment and consumables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List2"/>
              <w:rPr>
                <w:lang w:val="en-NZ"/>
              </w:rPr>
            </w:pPr>
            <w:r w:rsidRPr="002D324E">
              <w:t>1.1.</w:t>
            </w:r>
            <w:r w:rsidRPr="002D324E">
              <w:tab/>
              <w:t>Correct welding equipment and consumables are selected from weld procedure specifications.</w:t>
            </w:r>
          </w:p>
        </w:tc>
      </w:tr>
      <w:tr w:rsidTr="00086E0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List"/>
              <w:rPr>
                <w:lang w:val="en-NZ"/>
              </w:rPr>
            </w:pPr>
            <w:r w:rsidRPr="002D324E">
              <w:t>2.</w:t>
            </w:r>
            <w:r w:rsidRPr="002D324E">
              <w:tab/>
            </w:r>
            <w:r w:rsidRPr="002D324E">
              <w:t>Prepare welding materials and equipment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List2"/>
            </w:pPr>
            <w:r w:rsidRPr="002D324E">
              <w:t>2.1.</w:t>
            </w:r>
            <w:r w:rsidRPr="002D324E">
              <w:tab/>
              <w:t>Welding equipment and consumables are prepared according to job requirements.</w:t>
            </w:r>
          </w:p>
          <w:p w:rsidR="00000000" w:rsidRPr="002D324E" w:rsidP="002D324E">
            <w:pPr>
              <w:pStyle w:val="List2"/>
            </w:pPr>
            <w:r w:rsidRPr="002D324E">
              <w:t>2.2.</w:t>
            </w:r>
            <w:r w:rsidRPr="002D324E">
              <w:tab/>
              <w:t>Welding equipment appropriate to the task is assembled and adjusted correctly and safely.</w:t>
            </w:r>
          </w:p>
          <w:p w:rsidR="00000000" w:rsidP="002D324E">
            <w:pPr>
              <w:pStyle w:val="List2"/>
              <w:rPr>
                <w:lang w:val="en-NZ"/>
              </w:rPr>
            </w:pPr>
            <w:r w:rsidRPr="002D324E">
              <w:t>2.3.</w:t>
            </w:r>
            <w:r w:rsidRPr="002D324E">
              <w:tab/>
            </w:r>
            <w:r w:rsidRPr="002D324E">
              <w:t>Materials are prepared to achieve required weld specification.</w:t>
            </w:r>
          </w:p>
        </w:tc>
      </w:tr>
      <w:tr w:rsidTr="00086E0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List"/>
              <w:rPr>
                <w:lang w:val="en-NZ"/>
              </w:rPr>
            </w:pPr>
            <w:r w:rsidRPr="002D324E">
              <w:t>3.</w:t>
            </w:r>
            <w:r w:rsidRPr="002D324E">
              <w:tab/>
              <w:t>Assemble welding equipment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List2"/>
              <w:rPr>
                <w:lang w:val="en-NZ"/>
              </w:rPr>
            </w:pPr>
            <w:r w:rsidRPr="002D324E">
              <w:t>3.1.</w:t>
            </w:r>
            <w:r w:rsidRPr="002D324E">
              <w:tab/>
              <w:t>Welding equipment, including cylinders, regulators, hoses, torches and tips is assembled and set up safely in accordance with standard operating procedures.</w:t>
            </w:r>
          </w:p>
        </w:tc>
      </w:tr>
      <w:tr w:rsidTr="00086E0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List"/>
              <w:rPr>
                <w:lang w:val="en-NZ"/>
              </w:rPr>
            </w:pPr>
            <w:r w:rsidRPr="002D324E">
              <w:t>4.</w:t>
            </w:r>
            <w:r w:rsidRPr="002D324E">
              <w:tab/>
              <w:t>Weld joints to Australian Standard 1554 SP or equivalent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List2"/>
            </w:pPr>
            <w:r w:rsidRPr="002D324E">
              <w:t>4.1.</w:t>
            </w:r>
            <w:r w:rsidRPr="002D324E">
              <w:tab/>
              <w:t>Materials are welded to Australian Standard 1554 SP or equivalent in all positions.</w:t>
            </w:r>
          </w:p>
          <w:p w:rsidR="00000000" w:rsidP="002D324E">
            <w:pPr>
              <w:pStyle w:val="List2"/>
              <w:rPr>
                <w:lang w:val="en-NZ"/>
              </w:rPr>
            </w:pPr>
            <w:r w:rsidRPr="002D324E">
              <w:t>4.2.</w:t>
            </w:r>
            <w:r w:rsidRPr="002D324E">
              <w:tab/>
              <w:t xml:space="preserve">Instructions, symbols, specifications are interpreted correctly including bead size, bead placement, </w:t>
            </w:r>
            <w:r w:rsidRPr="002D324E">
              <w:t>reinforcement etc. and in accordance with weld procedure sheet, if available, and standard operating procedures.</w:t>
            </w:r>
          </w:p>
        </w:tc>
      </w:tr>
      <w:tr w:rsidTr="00086E0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List"/>
              <w:rPr>
                <w:lang w:val="en-NZ"/>
              </w:rPr>
            </w:pPr>
            <w:r w:rsidRPr="002D324E">
              <w:t>5.</w:t>
            </w:r>
            <w:r w:rsidRPr="002D324E">
              <w:tab/>
              <w:t>Inspect welds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List2"/>
            </w:pPr>
            <w:r w:rsidRPr="002D324E">
              <w:t>5.1.</w:t>
            </w:r>
            <w:r w:rsidRPr="002D324E">
              <w:tab/>
              <w:t>Weld joints are visually inspected against specifications.</w:t>
            </w:r>
          </w:p>
          <w:p w:rsidR="00000000" w:rsidP="002D324E">
            <w:pPr>
              <w:pStyle w:val="List2"/>
              <w:rPr>
                <w:lang w:val="en-NZ"/>
              </w:rPr>
            </w:pPr>
            <w:r w:rsidRPr="002D324E">
              <w:t>5.2.</w:t>
            </w:r>
            <w:r w:rsidRPr="002D324E">
              <w:tab/>
              <w:t>Weld defects are identified.</w:t>
            </w:r>
          </w:p>
        </w:tc>
      </w:tr>
      <w:tr w:rsidTr="00086E0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List"/>
              <w:rPr>
                <w:lang w:val="en-NZ"/>
              </w:rPr>
            </w:pPr>
            <w:r w:rsidRPr="002D324E">
              <w:t>6.</w:t>
            </w:r>
            <w:r w:rsidRPr="002D324E">
              <w:tab/>
              <w:t>Correct faults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List2"/>
              <w:rPr>
                <w:lang w:val="en-NZ"/>
              </w:rPr>
            </w:pPr>
            <w:r w:rsidRPr="002D324E">
              <w:t>6.1.</w:t>
            </w:r>
            <w:r w:rsidRPr="002D324E">
              <w:tab/>
              <w:t>Def</w:t>
            </w:r>
            <w:r w:rsidRPr="002D324E">
              <w:t>ects are removed with minimum loss of sound metal using correct and appropriate techniques and tools to Australian Standard 3992 or equivalent.</w:t>
            </w:r>
          </w:p>
        </w:tc>
      </w:tr>
      <w:tr w:rsidTr="00086E0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List"/>
              <w:rPr>
                <w:lang w:val="en-NZ"/>
              </w:rPr>
            </w:pPr>
            <w:r w:rsidRPr="002D324E">
              <w:t>7.</w:t>
            </w:r>
            <w:r w:rsidRPr="002D324E">
              <w:tab/>
              <w:t xml:space="preserve">Maintain weld records </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List2"/>
            </w:pPr>
            <w:r w:rsidRPr="002D324E">
              <w:t>7.1.</w:t>
            </w:r>
            <w:r w:rsidRPr="002D324E">
              <w:tab/>
              <w:t>Weld records are maintained in accordance with specifications and standard opera</w:t>
            </w:r>
            <w:r w:rsidRPr="002D324E">
              <w:t>ting procedures.</w:t>
            </w:r>
          </w:p>
        </w:tc>
      </w:tr>
    </w:tbl>
    <w:p w:rsidR="00086E07" w:rsidP="002D324E">
      <w:pPr>
        <w:pStyle w:val="BodyText"/>
      </w:pPr>
    </w:p>
    <w:p w:rsidR="00086E07" w:rsidP="002D324E">
      <w:pPr>
        <w:pStyle w:val="BodyText"/>
      </w:pPr>
    </w:p>
    <w:p w:rsidR="00000000" w:rsidRPr="002D324E" w:rsidP="002D324E">
      <w:pPr>
        <w:pStyle w:val="Heading1"/>
      </w:pPr>
      <w:bookmarkStart w:id="9" w:name="O_260678"/>
      <w:bookmarkEnd w:id="9"/>
      <w:r w:rsidRPr="002D324E">
        <w:t>Required Skills and Knowledge</w:t>
      </w:r>
    </w:p>
    <w:tbl>
      <w:tblPr>
        <w:tblW w:w="0" w:type="auto"/>
        <w:tblLayout w:type="fixed"/>
        <w:tblCellMar>
          <w:left w:w="62" w:type="dxa"/>
          <w:right w:w="62" w:type="dxa"/>
        </w:tblCellMar>
        <w:tblLook w:val="0000"/>
      </w:tblPr>
      <w:tblGrid>
        <w:gridCol w:w="8522"/>
      </w:tblGrid>
      <w:tr w:rsidTr="00086E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REQUIRED SKILLS AND KNOWLEDGE</w:t>
            </w:r>
          </w:p>
        </w:tc>
      </w:tr>
      <w:tr w:rsidTr="00086E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This section describes the skills and knowledge required for this unit.</w:t>
            </w:r>
          </w:p>
        </w:tc>
      </w:tr>
      <w:tr w:rsidTr="00086E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Required skills</w:t>
            </w:r>
          </w:p>
        </w:tc>
      </w:tr>
      <w:tr w:rsidTr="00086E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BodyText"/>
            </w:pPr>
            <w:r w:rsidRPr="002D324E">
              <w:t>Look for evidence that confirms skills in:</w:t>
            </w:r>
          </w:p>
          <w:p w:rsidR="00000000" w:rsidRPr="002D324E" w:rsidP="002D324E">
            <w:pPr>
              <w:pStyle w:val="ListBullet"/>
            </w:pPr>
            <w:r w:rsidRPr="002D324E">
              <w:t>selecting equipment and consumables</w:t>
            </w:r>
          </w:p>
          <w:p w:rsidR="00000000" w:rsidRPr="002D324E" w:rsidP="002D324E">
            <w:pPr>
              <w:pStyle w:val="ListBullet"/>
            </w:pPr>
            <w:r w:rsidRPr="002D324E">
              <w:t>assembling welding equipment</w:t>
            </w:r>
          </w:p>
          <w:p w:rsidR="00000000" w:rsidRPr="002D324E" w:rsidP="002D324E">
            <w:pPr>
              <w:pStyle w:val="ListBullet"/>
            </w:pPr>
            <w:r w:rsidRPr="002D324E">
              <w:t>welding to AS1554 SP</w:t>
            </w:r>
          </w:p>
          <w:p w:rsidR="00000000" w:rsidRPr="002D324E" w:rsidP="002D324E">
            <w:pPr>
              <w:pStyle w:val="ListBullet"/>
            </w:pPr>
            <w:r w:rsidRPr="002D324E">
              <w:t>inspecting welds to specification</w:t>
            </w:r>
          </w:p>
          <w:p w:rsidR="00000000" w:rsidRPr="002D324E" w:rsidP="002D324E">
            <w:pPr>
              <w:pStyle w:val="ListBullet"/>
            </w:pPr>
            <w:r w:rsidRPr="002D324E">
              <w:t>correcting weld faults to AS3992</w:t>
            </w:r>
          </w:p>
          <w:p w:rsidR="00000000" w:rsidRPr="002D324E" w:rsidP="002D324E">
            <w:pPr>
              <w:pStyle w:val="ListBullet"/>
            </w:pPr>
            <w:r w:rsidRPr="002D324E">
              <w:t>entering information on to proformas and standard workplace forms</w:t>
            </w:r>
          </w:p>
          <w:p w:rsidR="00000000" w:rsidRPr="002D324E" w:rsidP="002D324E">
            <w:pPr>
              <w:pStyle w:val="ListBullet"/>
            </w:pPr>
            <w:r w:rsidRPr="002D324E">
              <w:t>using hand and power tools to prepare and weld materials</w:t>
            </w:r>
          </w:p>
          <w:p w:rsidR="00000000" w:rsidRPr="002D324E" w:rsidP="002D324E">
            <w:pPr>
              <w:pStyle w:val="ListBullet"/>
            </w:pPr>
            <w:r w:rsidRPr="002D324E">
              <w:t>interpreting weld requirements and specifications/procedures</w:t>
            </w:r>
          </w:p>
          <w:p w:rsidR="00000000" w:rsidRPr="002D324E" w:rsidP="002D324E">
            <w:pPr>
              <w:pStyle w:val="ListBullet"/>
            </w:pPr>
            <w:r w:rsidRPr="002D324E">
              <w:t>using measurement and numeracy skills for advanced oxy acetylene welding</w:t>
            </w:r>
          </w:p>
          <w:p w:rsidR="00000000" w:rsidRPr="002D324E" w:rsidP="002D324E">
            <w:pPr>
              <w:pStyle w:val="ListBullet"/>
            </w:pPr>
            <w:r w:rsidRPr="002D324E">
              <w:t>selecting equipment and consumables appropriate to given task</w:t>
            </w:r>
          </w:p>
          <w:p w:rsidR="00000000" w:rsidP="002D324E">
            <w:pPr>
              <w:pStyle w:val="ListBullet"/>
              <w:rPr>
                <w:lang w:val="en-NZ"/>
              </w:rPr>
            </w:pPr>
            <w:r w:rsidRPr="002D324E">
              <w:t>usi</w:t>
            </w:r>
            <w:r w:rsidRPr="002D324E">
              <w:t>ng visual identification of defects/faults</w:t>
            </w:r>
          </w:p>
        </w:tc>
      </w:tr>
      <w:tr w:rsidTr="00086E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Required knowledge</w:t>
            </w:r>
          </w:p>
        </w:tc>
      </w:tr>
      <w:tr w:rsidTr="00086E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BodyText"/>
            </w:pPr>
            <w:r w:rsidRPr="002D324E">
              <w:t>Look for evidence that confirms knowledge of:</w:t>
            </w:r>
          </w:p>
          <w:p w:rsidR="00000000" w:rsidRPr="002D324E" w:rsidP="002D324E">
            <w:pPr>
              <w:pStyle w:val="ListBullet"/>
            </w:pPr>
            <w:r w:rsidRPr="002D324E">
              <w:t>preparatory requirements</w:t>
            </w:r>
          </w:p>
          <w:p w:rsidR="00000000" w:rsidRPr="002D324E" w:rsidP="002D324E">
            <w:pPr>
              <w:pStyle w:val="ListBullet"/>
            </w:pPr>
            <w:r w:rsidRPr="002D324E">
              <w:t>the purpose and examples of pre-welding and post-welding heating of the weld materials</w:t>
            </w:r>
          </w:p>
          <w:p w:rsidR="00000000" w:rsidRPr="002D324E" w:rsidP="002D324E">
            <w:pPr>
              <w:pStyle w:val="ListBullet"/>
            </w:pPr>
            <w:r w:rsidRPr="002D324E">
              <w:t>the appropriate settings for the given task and the selected equipment/consumables</w:t>
            </w:r>
          </w:p>
          <w:p w:rsidR="00000000" w:rsidRPr="002D324E" w:rsidP="002D324E">
            <w:pPr>
              <w:pStyle w:val="ListBullet"/>
            </w:pPr>
            <w:r w:rsidRPr="002D324E">
              <w:t>the purpose of reinforcing areas to be welded</w:t>
            </w:r>
          </w:p>
          <w:p w:rsidR="00000000" w:rsidRPr="002D324E" w:rsidP="002D324E">
            <w:pPr>
              <w:pStyle w:val="ListBullet"/>
            </w:pPr>
            <w:r w:rsidRPr="002D324E">
              <w:t>the methods of weld defect removal and their application</w:t>
            </w:r>
          </w:p>
          <w:p w:rsidR="00000000" w:rsidRPr="002D324E" w:rsidP="002D324E">
            <w:pPr>
              <w:pStyle w:val="ListBullet"/>
            </w:pPr>
            <w:r w:rsidRPr="002D324E">
              <w:t>material and consumable properties and characteristics</w:t>
            </w:r>
          </w:p>
          <w:p w:rsidR="00000000" w:rsidRPr="002D324E" w:rsidP="002D324E">
            <w:pPr>
              <w:pStyle w:val="ListBullet"/>
            </w:pPr>
            <w:r w:rsidRPr="002D324E">
              <w:t>requirements of</w:t>
            </w:r>
            <w:r w:rsidRPr="002D324E">
              <w:t xml:space="preserve"> AS1554SP and AS3992 or equivalent</w:t>
            </w:r>
          </w:p>
          <w:p w:rsidR="00000000" w:rsidRPr="002D324E" w:rsidP="002D324E">
            <w:pPr>
              <w:pStyle w:val="ListBullet"/>
            </w:pPr>
            <w:r w:rsidRPr="002D324E">
              <w:t>fuel gas properties and applications</w:t>
            </w:r>
          </w:p>
          <w:p w:rsidR="00000000" w:rsidRPr="002D324E" w:rsidP="002D324E">
            <w:pPr>
              <w:pStyle w:val="ListBullet"/>
            </w:pPr>
            <w:r w:rsidRPr="002D324E">
              <w:t>post treatments</w:t>
            </w:r>
          </w:p>
          <w:p w:rsidR="00000000" w:rsidRPr="002D324E" w:rsidP="002D324E">
            <w:pPr>
              <w:pStyle w:val="ListBullet"/>
            </w:pPr>
            <w:r w:rsidRPr="002D324E">
              <w:t>recording procedures</w:t>
            </w:r>
          </w:p>
          <w:p w:rsidR="00000000" w:rsidRPr="002D324E" w:rsidP="002D324E">
            <w:pPr>
              <w:pStyle w:val="ListBullet"/>
            </w:pPr>
            <w:r w:rsidRPr="002D324E">
              <w:t>safe welding practices</w:t>
            </w:r>
          </w:p>
          <w:p w:rsidR="00000000" w:rsidRPr="002D324E" w:rsidP="002D324E">
            <w:pPr>
              <w:pStyle w:val="ListBullet"/>
            </w:pPr>
            <w:r w:rsidRPr="002D324E">
              <w:t>use and application of personal protective equipment for oxy acetylene welding</w:t>
            </w:r>
          </w:p>
          <w:p w:rsidR="00000000" w:rsidRPr="002D324E" w:rsidP="002D324E">
            <w:pPr>
              <w:pStyle w:val="ListBullet"/>
            </w:pPr>
            <w:r w:rsidRPr="002D324E">
              <w:t>relevant hazards and control measures related</w:t>
            </w:r>
            <w:r w:rsidRPr="002D324E">
              <w:t xml:space="preserve"> to the competency</w:t>
            </w:r>
          </w:p>
        </w:tc>
      </w:tr>
    </w:tbl>
    <w:p w:rsidR="00086E07" w:rsidP="002D324E">
      <w:pPr>
        <w:pStyle w:val="BodyText"/>
      </w:pPr>
    </w:p>
    <w:p w:rsidR="00086E07" w:rsidP="002D324E">
      <w:pPr>
        <w:pStyle w:val="BodyText"/>
      </w:pPr>
    </w:p>
    <w:p w:rsidR="00000000" w:rsidRPr="002D324E" w:rsidP="002D324E">
      <w:pPr>
        <w:pStyle w:val="AllowPageBreak"/>
      </w:pPr>
    </w:p>
    <w:p w:rsidR="00000000" w:rsidRPr="002D324E" w:rsidP="002D324E">
      <w:pPr>
        <w:pStyle w:val="Heading1"/>
      </w:pPr>
      <w:bookmarkStart w:id="10" w:name="O_244712"/>
      <w:bookmarkEnd w:id="10"/>
      <w:r w:rsidRPr="002D324E">
        <w:t>Evidence Guide</w:t>
      </w:r>
    </w:p>
    <w:tbl>
      <w:tblPr>
        <w:tblW w:w="9570" w:type="dxa"/>
        <w:tblLayout w:type="fixed"/>
        <w:tblCellMar>
          <w:left w:w="62" w:type="dxa"/>
          <w:right w:w="62" w:type="dxa"/>
        </w:tblCellMar>
        <w:tblLook w:val="0000"/>
      </w:tblPr>
      <w:tblGrid>
        <w:gridCol w:w="3908"/>
        <w:gridCol w:w="5662"/>
      </w:tblGrid>
      <w:tr w:rsidTr="00086E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EVIDENCE GUIDE</w:t>
            </w:r>
          </w:p>
        </w:tc>
      </w:tr>
      <w:tr w:rsidTr="00086E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 xml:space="preserve">The evidence guide provides advice on assessment and must be read in conjunction with the performance criteria, required skills and knowledge, </w:t>
            </w:r>
            <w:r w:rsidRPr="002D324E">
              <w:t>range statement and the Assessment Guidelines for the Training Package.</w:t>
            </w:r>
          </w:p>
        </w:tc>
      </w:tr>
      <w:tr w:rsidTr="00086E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A person who demonstrates competency in this unit must be able to perform advanced oxy acetylene welding carried out using a range of materials for general fab</w:t>
            </w:r>
            <w:r w:rsidRPr="002D324E">
              <w:t>rication. Competency in this unit cannot be claimed until all prerequisites have been satisfied.</w:t>
            </w:r>
          </w:p>
        </w:tc>
      </w:tr>
      <w:tr w:rsidTr="00086E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Assessors must be satisfied that the candidate can competently an</w:t>
            </w:r>
            <w:r w:rsidRPr="002D324E">
              <w:t>d consistently perform all elements of the unit as specified by the criteria, including required knowledge, and be capable of applying the competency in new and different situations and contexts.</w:t>
            </w:r>
          </w:p>
        </w:tc>
      </w:tr>
      <w:tr w:rsidTr="00086E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BodyText"/>
            </w:pPr>
            <w:r w:rsidRPr="002D324E">
              <w:t xml:space="preserve">This unit </w:t>
            </w:r>
            <w:r w:rsidRPr="002D324E">
              <w:t>may be assessed on the job, off the job or a combination of both on and off the job. Where assessment occurs off the job, that is the candidate is not in productive work, then an appropriate simulation must be used where the range of conditions reflects re</w:t>
            </w:r>
            <w:r w:rsidRPr="002D324E">
              <w:t>alistic workplace situations. The competencies covered by this unit would be demonstrated by an individual working alone or as part of a team. The assessment environment should not disadvantage the candidate.</w:t>
            </w:r>
          </w:p>
          <w:p w:rsidR="00000000" w:rsidP="002D324E">
            <w:pPr>
              <w:pStyle w:val="BodyText"/>
              <w:rPr>
                <w:lang w:val="en-NZ"/>
              </w:rPr>
            </w:pPr>
            <w:r w:rsidRPr="002D324E">
              <w:t>This unit could be assessed in conjunction with any other units addressing the safety, quality, communication, materials handling, recording and reporting associated with performing advanced welding using oxy acetylene welding process or other units requir</w:t>
            </w:r>
            <w:r w:rsidRPr="002D324E">
              <w:t>ing the exercise of the skills and knowledge covered by this unit.</w:t>
            </w:r>
          </w:p>
        </w:tc>
      </w:tr>
      <w:tr w:rsidTr="00086E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Assessors should gather a range of evidence that is valid, sufficient, current and authentic. Evidence can be gathered through a variety of ways including direct obser</w:t>
            </w:r>
            <w:r w:rsidRPr="002D324E">
              <w:t xml:space="preserve">vation, supervisor's reports, project work, samples and questioning. Questioning techniques should not require language, literacy and numeracy skills beyond those required in this unit of competency. The candidate must have access to all tools, equipment, </w:t>
            </w:r>
            <w:r w:rsidRPr="002D324E">
              <w:t>materials and documentation required. The candidate must be permitted to refer to any relevant workplace procedures, product and manufacturing specifications, codes, standards, manuals and reference materials.</w:t>
            </w:r>
          </w:p>
        </w:tc>
      </w:tr>
      <w:tr w:rsidTr="00086E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BodyText"/>
            </w:pPr>
          </w:p>
        </w:tc>
      </w:tr>
    </w:tbl>
    <w:p w:rsidR="00086E07" w:rsidP="002D324E">
      <w:pPr>
        <w:pStyle w:val="BodyText"/>
      </w:pPr>
    </w:p>
    <w:p w:rsidR="00086E07" w:rsidP="002D324E">
      <w:pPr>
        <w:pStyle w:val="BodyText"/>
      </w:pPr>
    </w:p>
    <w:p w:rsidR="00000000" w:rsidRPr="002D324E" w:rsidP="002D324E">
      <w:pPr>
        <w:pStyle w:val="Heading1"/>
      </w:pPr>
      <w:bookmarkStart w:id="11" w:name="O_252695"/>
      <w:bookmarkEnd w:id="11"/>
      <w:r w:rsidRPr="002D324E">
        <w:t>Range Statement</w:t>
      </w:r>
    </w:p>
    <w:tbl>
      <w:tblPr>
        <w:tblW w:w="0" w:type="auto"/>
        <w:tblLayout w:type="fixed"/>
        <w:tblCellMar>
          <w:left w:w="62" w:type="dxa"/>
          <w:right w:w="62" w:type="dxa"/>
        </w:tblCellMar>
        <w:tblLook w:val="0000"/>
      </w:tblPr>
      <w:tblGrid>
        <w:gridCol w:w="3545"/>
        <w:gridCol w:w="4977"/>
      </w:tblGrid>
      <w:tr w:rsidTr="00086E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RANGE STATEMENT</w:t>
            </w:r>
          </w:p>
        </w:tc>
      </w:tr>
      <w:tr w:rsidTr="00086E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 xml:space="preserve">The range statement relates to the unit of competency as a whole. It allows for different work environments and situations that may affect </w:t>
            </w:r>
            <w:r w:rsidRPr="002D324E">
              <w:t>performance. Bold italicised wording, if used in the performance criteria, is detailed below. Essential operating conditions that may be present with training and assessment (depending on the work situation, needs of the candidate, accessibility of the ite</w:t>
            </w:r>
            <w:r w:rsidRPr="002D324E">
              <w:t>m, and local industry and regional contexts) may also be included.</w:t>
            </w:r>
          </w:p>
        </w:tc>
      </w:tr>
      <w:tr w:rsidTr="00086E07">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Equipment and consumables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Fuel gases, including acetylene, LPG, hydrogen etc., cylinders, regulators, hoses, torches, tips, range of filler rods and fluxes</w:t>
            </w:r>
          </w:p>
        </w:tc>
      </w:tr>
      <w:tr w:rsidTr="00086E07">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Weld</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Fillet and butt in the ho</w:t>
            </w:r>
            <w:r w:rsidRPr="002D324E">
              <w:t>rizontal, vertical and overhead positions</w:t>
            </w:r>
          </w:p>
        </w:tc>
      </w:tr>
      <w:tr w:rsidTr="00086E07">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Preparing materials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t>Preheating, setting up of jigs, fixtures, clamps, etc., joint preparation e.g. bevelling</w:t>
            </w:r>
          </w:p>
        </w:tc>
      </w:tr>
      <w:tr w:rsidTr="00086E07">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Materials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BodyText"/>
            </w:pPr>
            <w:r w:rsidRPr="002D324E">
              <w:t>Low carbon steel, plate, pipe, tube and round bar</w:t>
            </w:r>
          </w:p>
        </w:tc>
      </w:tr>
    </w:tbl>
    <w:p w:rsidR="00086E07" w:rsidP="002D324E">
      <w:pPr>
        <w:pStyle w:val="BodyText"/>
      </w:pPr>
    </w:p>
    <w:p w:rsidR="00086E07" w:rsidP="002D324E">
      <w:pPr>
        <w:pStyle w:val="BodyText"/>
      </w:pPr>
    </w:p>
    <w:p w:rsidR="00000000" w:rsidRPr="002D324E" w:rsidP="002D324E">
      <w:pPr>
        <w:pStyle w:val="Heading1"/>
      </w:pPr>
      <w:bookmarkStart w:id="12" w:name="O_210549"/>
      <w:bookmarkEnd w:id="12"/>
      <w:r w:rsidRPr="002D324E">
        <w:t>Unit Sector(s)</w:t>
      </w:r>
    </w:p>
    <w:tbl>
      <w:tblPr>
        <w:tblW w:w="0" w:type="auto"/>
        <w:tblLayout w:type="fixed"/>
        <w:tblCellMar>
          <w:left w:w="62" w:type="dxa"/>
          <w:right w:w="62" w:type="dxa"/>
        </w:tblCellMar>
        <w:tblLook w:val="0000"/>
      </w:tblPr>
      <w:tblGrid>
        <w:gridCol w:w="2654"/>
        <w:gridCol w:w="5868"/>
      </w:tblGrid>
      <w:tr w:rsidTr="00086E0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BodyText"/>
            </w:pPr>
          </w:p>
        </w:tc>
      </w:tr>
    </w:tbl>
    <w:p w:rsidR="00086E07" w:rsidP="002D324E">
      <w:pPr>
        <w:pStyle w:val="BodyText"/>
      </w:pPr>
    </w:p>
    <w:p w:rsidR="00086E07" w:rsidP="002D324E">
      <w:pPr>
        <w:pStyle w:val="BodyText"/>
      </w:pPr>
    </w:p>
    <w:p w:rsidR="00000000" w:rsidRPr="002D324E" w:rsidP="002D324E">
      <w:pPr>
        <w:pStyle w:val="Heading1"/>
      </w:pPr>
      <w:bookmarkStart w:id="13" w:name="O_210546"/>
      <w:bookmarkEnd w:id="13"/>
      <w:r w:rsidRPr="002D324E">
        <w:t>Co-requisite units</w:t>
      </w:r>
    </w:p>
    <w:tbl>
      <w:tblPr>
        <w:tblW w:w="0" w:type="auto"/>
        <w:tblLayout w:type="fixed"/>
        <w:tblCellMar>
          <w:left w:w="62" w:type="dxa"/>
          <w:right w:w="62" w:type="dxa"/>
        </w:tblCellMar>
        <w:tblLook w:val="0000"/>
      </w:tblPr>
      <w:tblGrid>
        <w:gridCol w:w="2641"/>
        <w:gridCol w:w="1322"/>
        <w:gridCol w:w="4559"/>
      </w:tblGrid>
      <w:tr w:rsidTr="00086E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p>
        </w:tc>
      </w:tr>
      <w:tr w:rsidTr="00086E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p>
        </w:tc>
      </w:tr>
      <w:tr w:rsidTr="00086E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BodyText"/>
            </w:pPr>
          </w:p>
        </w:tc>
      </w:tr>
    </w:tbl>
    <w:p w:rsidR="00086E07" w:rsidP="002D324E">
      <w:pPr>
        <w:pStyle w:val="BodyText"/>
      </w:pPr>
    </w:p>
    <w:p w:rsidR="00086E07" w:rsidP="002D324E">
      <w:pPr>
        <w:pStyle w:val="BodyText"/>
      </w:pPr>
    </w:p>
    <w:p w:rsidR="00000000" w:rsidRPr="002D324E" w:rsidP="002D324E">
      <w:pPr>
        <w:pStyle w:val="Heading1"/>
      </w:pPr>
      <w:bookmarkStart w:id="14" w:name="O_210548"/>
      <w:bookmarkEnd w:id="14"/>
      <w:r w:rsidRPr="002D324E">
        <w:t>Competency field</w:t>
      </w:r>
    </w:p>
    <w:tbl>
      <w:tblPr>
        <w:tblW w:w="0" w:type="auto"/>
        <w:tblLayout w:type="fixed"/>
        <w:tblCellMar>
          <w:left w:w="62" w:type="dxa"/>
          <w:right w:w="62" w:type="dxa"/>
        </w:tblCellMar>
        <w:tblLook w:val="0000"/>
      </w:tblPr>
      <w:tblGrid>
        <w:gridCol w:w="2776"/>
        <w:gridCol w:w="5746"/>
      </w:tblGrid>
      <w:tr w:rsidTr="00086E0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24E">
            <w:pPr>
              <w:pStyle w:val="BodyText"/>
              <w:rPr>
                <w:lang w:val="en-NZ"/>
              </w:rPr>
            </w:pPr>
            <w:r w:rsidRPr="002D324E">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24E" w:rsidP="002D324E">
            <w:pPr>
              <w:pStyle w:val="BodyText"/>
            </w:pPr>
            <w:r w:rsidRPr="002D324E">
              <w:t>Fabrication</w:t>
            </w:r>
          </w:p>
        </w:tc>
      </w:tr>
    </w:tbl>
    <w:p w:rsidR="00086E07" w:rsidP="002D324E">
      <w:pPr>
        <w:pStyle w:val="BodyText"/>
      </w:pPr>
    </w:p>
    <w:p w:rsidR="00086E07" w:rsidP="002D324E">
      <w:pPr>
        <w:pStyle w:val="BodyText"/>
      </w:pPr>
    </w:p>
    <w:p w:rsidR="00000000" w:rsidRPr="002D324E" w:rsidP="002D324E"/>
    <w:sectPr w:rsidSect="002D32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2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E07" w:rsidP="00086E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2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07" w:rsidP="002D32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6E07" w:rsidP="002D32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86E07" w:rsidP="002D32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2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E07" w:rsidP="00086E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2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07" w:rsidP="002D324E">
    <w:pPr>
      <w:pStyle w:val="Header"/>
      <w:framePr w:wrap="around"/>
    </w:pPr>
    <w:r>
      <w:fldChar w:fldCharType="begin"/>
    </w:r>
    <w:r>
      <w:instrText xml:space="preserve"> TITLE   \* MERGEFORMAT </w:instrText>
    </w:r>
    <w:r>
      <w:fldChar w:fldCharType="separate"/>
    </w:r>
    <w:r>
      <w:t>MEM05022C Perform advanced welding using oxy acetylene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6E07" w:rsidP="002D32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9E2C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205A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2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324E"/>
    <w:pPr>
      <w:spacing w:before="360" w:after="60"/>
      <w:outlineLvl w:val="0"/>
    </w:pPr>
    <w:rPr>
      <w:sz w:val="32"/>
    </w:rPr>
  </w:style>
  <w:style w:type="paragraph" w:styleId="Heading2">
    <w:name w:val="heading 2"/>
    <w:basedOn w:val="HeadingBase"/>
    <w:next w:val="BodyText"/>
    <w:link w:val="Heading2Char"/>
    <w:qFormat/>
    <w:rsid w:val="002D324E"/>
    <w:pPr>
      <w:keepLines/>
      <w:spacing w:before="240" w:after="120"/>
      <w:outlineLvl w:val="1"/>
    </w:pPr>
    <w:rPr>
      <w:sz w:val="28"/>
      <w:szCs w:val="40"/>
    </w:rPr>
  </w:style>
  <w:style w:type="paragraph" w:styleId="Heading3">
    <w:name w:val="heading 3"/>
    <w:basedOn w:val="HeadingBase"/>
    <w:next w:val="BodyText"/>
    <w:link w:val="Heading3Char"/>
    <w:qFormat/>
    <w:rsid w:val="002D324E"/>
    <w:pPr>
      <w:spacing w:before="180" w:after="120"/>
      <w:outlineLvl w:val="2"/>
    </w:pPr>
    <w:rPr>
      <w:spacing w:val="-10"/>
      <w:kern w:val="32"/>
    </w:rPr>
  </w:style>
  <w:style w:type="paragraph" w:styleId="Heading4">
    <w:name w:val="heading 4"/>
    <w:basedOn w:val="HeadingBase"/>
    <w:next w:val="BodyText"/>
    <w:link w:val="Heading4Char"/>
    <w:qFormat/>
    <w:rsid w:val="002D324E"/>
    <w:pPr>
      <w:spacing w:before="160" w:after="120"/>
      <w:outlineLvl w:val="3"/>
    </w:pPr>
    <w:rPr>
      <w:sz w:val="22"/>
    </w:rPr>
  </w:style>
  <w:style w:type="paragraph" w:styleId="Heading5">
    <w:name w:val="heading 5"/>
    <w:basedOn w:val="HeadingBase"/>
    <w:next w:val="Normal"/>
    <w:link w:val="Heading5Char"/>
    <w:qFormat/>
    <w:rsid w:val="002D324E"/>
    <w:pPr>
      <w:spacing w:before="80"/>
      <w:outlineLvl w:val="4"/>
    </w:pPr>
    <w:rPr>
      <w:color w:val="918585"/>
      <w:sz w:val="20"/>
    </w:rPr>
  </w:style>
  <w:style w:type="paragraph" w:styleId="Heading6">
    <w:name w:val="heading 6"/>
    <w:basedOn w:val="HeadingBase"/>
    <w:next w:val="Normal"/>
    <w:link w:val="Heading6Char"/>
    <w:qFormat/>
    <w:rsid w:val="002D324E"/>
    <w:pPr>
      <w:spacing w:before="60"/>
      <w:outlineLvl w:val="5"/>
    </w:pPr>
    <w:rPr>
      <w:color w:val="918585"/>
      <w:sz w:val="20"/>
    </w:rPr>
  </w:style>
  <w:style w:type="paragraph" w:styleId="Heading7">
    <w:name w:val="heading 7"/>
    <w:basedOn w:val="Normal"/>
    <w:next w:val="Normal"/>
    <w:link w:val="Heading7Char"/>
    <w:qFormat/>
    <w:rsid w:val="002D324E"/>
    <w:pPr>
      <w:ind w:left="720"/>
      <w:outlineLvl w:val="6"/>
    </w:pPr>
    <w:rPr>
      <w:i/>
    </w:rPr>
  </w:style>
  <w:style w:type="paragraph" w:styleId="Heading8">
    <w:name w:val="heading 8"/>
    <w:basedOn w:val="Normal"/>
    <w:next w:val="Normal"/>
    <w:link w:val="Heading8Char"/>
    <w:qFormat/>
    <w:rsid w:val="002D324E"/>
    <w:pPr>
      <w:ind w:left="720"/>
      <w:outlineLvl w:val="7"/>
    </w:pPr>
    <w:rPr>
      <w:i/>
    </w:rPr>
  </w:style>
  <w:style w:type="paragraph" w:styleId="Heading9">
    <w:name w:val="heading 9"/>
    <w:basedOn w:val="Normal"/>
    <w:next w:val="Normal"/>
    <w:link w:val="Heading9Char"/>
    <w:qFormat/>
    <w:rsid w:val="002D324E"/>
    <w:pPr>
      <w:ind w:left="720"/>
      <w:outlineLvl w:val="8"/>
    </w:pPr>
    <w:rPr>
      <w:i/>
    </w:rPr>
  </w:style>
  <w:style w:type="character" w:default="1" w:styleId="DefaultParagraphFont">
    <w:name w:val="Default Paragraph Font"/>
    <w:uiPriority w:val="1"/>
    <w:unhideWhenUsed/>
    <w:rsid w:val="002D32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24E"/>
  </w:style>
  <w:style w:type="character" w:customStyle="1" w:styleId="Heading1Char">
    <w:name w:val="Heading 1 Char"/>
    <w:basedOn w:val="DefaultParagraphFont"/>
    <w:link w:val="Heading1"/>
    <w:rsid w:val="002D324E"/>
    <w:rPr>
      <w:rFonts w:ascii="Times New Roman" w:eastAsia="Times New Roman" w:hAnsi="Times New Roman" w:cs="Times New Roman"/>
      <w:b/>
      <w:sz w:val="32"/>
      <w:szCs w:val="20"/>
      <w:lang w:eastAsia="en-US"/>
    </w:rPr>
  </w:style>
  <w:style w:type="paragraph" w:styleId="BodyText">
    <w:name w:val="Body Text"/>
    <w:basedOn w:val="Normal"/>
    <w:link w:val="BodyTextChar"/>
    <w:rsid w:val="002D32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324E"/>
    <w:rPr>
      <w:rFonts w:ascii="Times New Roman" w:eastAsia="Times New Roman" w:hAnsi="Times New Roman" w:cs="Times New Roman"/>
      <w:sz w:val="24"/>
      <w:lang w:val="en-US" w:eastAsia="en-US"/>
    </w:rPr>
  </w:style>
  <w:style w:type="paragraph" w:styleId="Footer">
    <w:name w:val="footer"/>
    <w:basedOn w:val="Normal"/>
    <w:link w:val="FooterChar"/>
    <w:rsid w:val="002D32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24E"/>
    <w:rPr>
      <w:rFonts w:ascii="Times New Roman" w:eastAsia="Times New Roman" w:hAnsi="Times New Roman" w:cs="Times New Roman"/>
      <w:sz w:val="16"/>
      <w:lang w:val="en-US" w:eastAsia="en-US"/>
    </w:rPr>
  </w:style>
  <w:style w:type="paragraph" w:styleId="List">
    <w:name w:val="List"/>
    <w:basedOn w:val="BodyText"/>
    <w:next w:val="BodyText"/>
    <w:rsid w:val="002D324E"/>
    <w:pPr>
      <w:tabs>
        <w:tab w:val="left" w:pos="340"/>
      </w:tabs>
      <w:spacing w:before="60" w:after="60"/>
      <w:ind w:left="340" w:hanging="340"/>
    </w:pPr>
  </w:style>
  <w:style w:type="paragraph" w:styleId="ListBullet">
    <w:name w:val="List Bullet"/>
    <w:basedOn w:val="List"/>
    <w:rsid w:val="002D324E"/>
    <w:pPr>
      <w:numPr>
        <w:numId w:val="12"/>
      </w:numPr>
      <w:tabs>
        <w:tab w:val="clear" w:pos="340"/>
      </w:tabs>
      <w:spacing w:before="40" w:after="40"/>
    </w:pPr>
  </w:style>
  <w:style w:type="character" w:customStyle="1" w:styleId="SpecialBold">
    <w:name w:val="Special Bold"/>
    <w:basedOn w:val="DefaultParagraphFont"/>
    <w:rsid w:val="002D324E"/>
    <w:rPr>
      <w:b/>
      <w:spacing w:val="0"/>
    </w:rPr>
  </w:style>
  <w:style w:type="paragraph" w:styleId="Header">
    <w:name w:val="header"/>
    <w:basedOn w:val="Normal"/>
    <w:link w:val="HeaderChar"/>
    <w:rsid w:val="002D32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2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324E"/>
    <w:pPr>
      <w:spacing w:before="240" w:after="120"/>
      <w:outlineLvl w:val="0"/>
    </w:pPr>
    <w:rPr>
      <w:rFonts w:ascii="Times New Roman" w:hAnsi="Times New Roman"/>
      <w:b/>
      <w:sz w:val="28"/>
    </w:rPr>
  </w:style>
  <w:style w:type="paragraph" w:customStyle="1" w:styleId="AllowPageBreak">
    <w:name w:val="AllowPageBreak"/>
    <w:rsid w:val="002D32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324E"/>
    <w:pPr>
      <w:tabs>
        <w:tab w:val="left" w:pos="680"/>
      </w:tabs>
      <w:spacing w:before="60" w:after="60"/>
      <w:ind w:left="680" w:hanging="340"/>
    </w:pPr>
  </w:style>
  <w:style w:type="character" w:customStyle="1" w:styleId="Heading2Char">
    <w:name w:val="Heading 2 Char"/>
    <w:basedOn w:val="DefaultParagraphFont"/>
    <w:link w:val="Heading2"/>
    <w:rsid w:val="002D32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2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2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2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2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2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32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324E"/>
    <w:rPr>
      <w:rFonts w:ascii="Courier New" w:eastAsia="Times New Roman" w:hAnsi="Courier New" w:cs="Times New Roman"/>
      <w:i/>
      <w:szCs w:val="20"/>
      <w:lang w:val="en-US" w:eastAsia="en-US"/>
    </w:rPr>
  </w:style>
  <w:style w:type="paragraph" w:customStyle="1" w:styleId="HeadingBase">
    <w:name w:val="Heading Base"/>
    <w:rsid w:val="002D32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24E"/>
    <w:pPr>
      <w:tabs>
        <w:tab w:val="right" w:leader="dot" w:pos="9072"/>
      </w:tabs>
      <w:ind w:left="567"/>
    </w:pPr>
    <w:rPr>
      <w:szCs w:val="22"/>
    </w:rPr>
  </w:style>
  <w:style w:type="paragraph" w:customStyle="1" w:styleId="TOCBase">
    <w:name w:val="TOC Base"/>
    <w:rsid w:val="002D32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24E"/>
    <w:pPr>
      <w:tabs>
        <w:tab w:val="right" w:leader="dot" w:pos="9072"/>
      </w:tabs>
      <w:spacing w:before="40" w:after="40"/>
      <w:ind w:left="284"/>
    </w:pPr>
    <w:rPr>
      <w:rFonts w:ascii="Times New Roman" w:hAnsi="Times New Roman"/>
    </w:rPr>
  </w:style>
  <w:style w:type="paragraph" w:styleId="TOC1">
    <w:name w:val="toc 1"/>
    <w:basedOn w:val="TOCBase"/>
    <w:next w:val="Normal"/>
    <w:rsid w:val="002D32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324E"/>
    <w:pPr>
      <w:spacing w:before="5040"/>
      <w:jc w:val="center"/>
    </w:pPr>
    <w:rPr>
      <w:sz w:val="48"/>
      <w:szCs w:val="72"/>
      <w:lang w:val="en-US"/>
    </w:rPr>
  </w:style>
  <w:style w:type="character" w:customStyle="1" w:styleId="TitleChar">
    <w:name w:val="Title Char"/>
    <w:basedOn w:val="DefaultParagraphFont"/>
    <w:link w:val="Title"/>
    <w:rsid w:val="002D32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24E"/>
    <w:pPr>
      <w:tabs>
        <w:tab w:val="left" w:pos="3600"/>
        <w:tab w:val="left" w:pos="3958"/>
      </w:tabs>
    </w:pPr>
  </w:style>
  <w:style w:type="paragraph" w:customStyle="1" w:styleId="Note">
    <w:name w:val="Note"/>
    <w:basedOn w:val="BodyText"/>
    <w:rsid w:val="002D32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24E"/>
    <w:pPr>
      <w:framePr w:wrap="auto" w:hAnchor="text" w:y="6049"/>
    </w:pPr>
    <w:rPr>
      <w:color w:val="000000"/>
      <w:sz w:val="40"/>
    </w:rPr>
  </w:style>
  <w:style w:type="paragraph" w:customStyle="1" w:styleId="TOCTitle">
    <w:name w:val="TOCTitle"/>
    <w:basedOn w:val="Heading1"/>
    <w:rsid w:val="002D324E"/>
    <w:pPr>
      <w:spacing w:after="240"/>
      <w:jc w:val="center"/>
      <w:outlineLvl w:val="9"/>
    </w:pPr>
    <w:rPr>
      <w:caps/>
    </w:rPr>
  </w:style>
  <w:style w:type="paragraph" w:customStyle="1" w:styleId="Version">
    <w:name w:val="Version"/>
    <w:rsid w:val="002D32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324E"/>
    <w:pPr>
      <w:numPr>
        <w:numId w:val="13"/>
      </w:numPr>
      <w:tabs>
        <w:tab w:val="clear" w:pos="680"/>
      </w:tabs>
    </w:pPr>
  </w:style>
  <w:style w:type="paragraph" w:styleId="Index1">
    <w:name w:val="index 1"/>
    <w:basedOn w:val="Normal"/>
    <w:next w:val="Normal"/>
    <w:semiHidden/>
    <w:rsid w:val="002D324E"/>
    <w:pPr>
      <w:keepNext w:val="0"/>
      <w:tabs>
        <w:tab w:val="right" w:pos="4176"/>
      </w:tabs>
      <w:ind w:left="198" w:hanging="198"/>
    </w:pPr>
    <w:rPr>
      <w:rFonts w:ascii="Garamond" w:hAnsi="Garamond"/>
    </w:rPr>
  </w:style>
  <w:style w:type="paragraph" w:styleId="IndexHeading">
    <w:name w:val="index heading"/>
    <w:basedOn w:val="Normal"/>
    <w:next w:val="Index1"/>
    <w:semiHidden/>
    <w:rsid w:val="002D324E"/>
    <w:pPr>
      <w:spacing w:before="120" w:after="120"/>
    </w:pPr>
    <w:rPr>
      <w:rFonts w:ascii="Arial" w:hAnsi="Arial"/>
      <w:b/>
      <w:color w:val="918585"/>
      <w:sz w:val="24"/>
    </w:rPr>
  </w:style>
  <w:style w:type="paragraph" w:customStyle="1" w:styleId="Chapter">
    <w:name w:val="Chapter"/>
    <w:basedOn w:val="Normal"/>
    <w:rsid w:val="002D324E"/>
    <w:pPr>
      <w:spacing w:before="240"/>
    </w:pPr>
    <w:rPr>
      <w:rFonts w:ascii="Times New Roman" w:hAnsi="Times New Roman"/>
      <w:smallCaps/>
      <w:spacing w:val="80"/>
      <w:sz w:val="28"/>
    </w:rPr>
  </w:style>
  <w:style w:type="paragraph" w:customStyle="1" w:styleId="InChapter">
    <w:name w:val="InChapter"/>
    <w:basedOn w:val="Heading3"/>
    <w:rsid w:val="002D324E"/>
    <w:pPr>
      <w:spacing w:after="240"/>
      <w:outlineLvl w:val="9"/>
    </w:pPr>
    <w:rPr>
      <w:noProof/>
    </w:rPr>
  </w:style>
  <w:style w:type="paragraph" w:styleId="Index2">
    <w:name w:val="index 2"/>
    <w:basedOn w:val="Normal"/>
    <w:next w:val="Normal"/>
    <w:semiHidden/>
    <w:rsid w:val="002D324E"/>
    <w:pPr>
      <w:tabs>
        <w:tab w:val="right" w:pos="4176"/>
      </w:tabs>
      <w:ind w:left="568" w:hanging="284"/>
    </w:pPr>
    <w:rPr>
      <w:rFonts w:ascii="Garamond" w:hAnsi="Garamond"/>
    </w:rPr>
  </w:style>
  <w:style w:type="paragraph" w:customStyle="1" w:styleId="Byline">
    <w:name w:val="Byline"/>
    <w:rsid w:val="002D32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24E"/>
    <w:pPr>
      <w:tabs>
        <w:tab w:val="clear" w:pos="3600"/>
        <w:tab w:val="clear" w:pos="3958"/>
      </w:tabs>
      <w:jc w:val="right"/>
    </w:pPr>
  </w:style>
  <w:style w:type="character" w:styleId="Emphasis">
    <w:name w:val="Emphasis"/>
    <w:basedOn w:val="DefaultParagraphFont"/>
    <w:qFormat/>
    <w:rsid w:val="002D324E"/>
    <w:rPr>
      <w:i/>
    </w:rPr>
  </w:style>
  <w:style w:type="paragraph" w:styleId="Caption">
    <w:name w:val="caption"/>
    <w:basedOn w:val="BodyText"/>
    <w:next w:val="Normal"/>
    <w:qFormat/>
    <w:rsid w:val="002D324E"/>
    <w:pPr>
      <w:framePr w:w="2268" w:hSpace="181" w:vSpace="181" w:wrap="around" w:vAnchor="text" w:hAnchor="page" w:x="1135" w:y="285" w:anchorLock="1"/>
    </w:pPr>
    <w:rPr>
      <w:i/>
    </w:rPr>
  </w:style>
  <w:style w:type="paragraph" w:customStyle="1" w:styleId="MiniTOCTitle">
    <w:name w:val="MiniTOCTitle"/>
    <w:basedOn w:val="Heading4"/>
    <w:rsid w:val="002D324E"/>
    <w:pPr>
      <w:spacing w:before="240"/>
      <w:outlineLvl w:val="9"/>
    </w:pPr>
    <w:rPr>
      <w:noProof/>
      <w:sz w:val="24"/>
    </w:rPr>
  </w:style>
  <w:style w:type="paragraph" w:customStyle="1" w:styleId="MiniTOCItem">
    <w:name w:val="MiniTOCItem"/>
    <w:basedOn w:val="ListBullet"/>
    <w:rsid w:val="002D324E"/>
    <w:pPr>
      <w:numPr>
        <w:numId w:val="0"/>
      </w:numPr>
      <w:tabs>
        <w:tab w:val="right" w:leader="dot" w:pos="6521"/>
      </w:tabs>
      <w:spacing w:before="0" w:after="0"/>
    </w:pPr>
  </w:style>
  <w:style w:type="paragraph" w:customStyle="1" w:styleId="TOFTitle">
    <w:name w:val="TOFTitle"/>
    <w:basedOn w:val="TOCTitle"/>
    <w:rsid w:val="002D324E"/>
  </w:style>
  <w:style w:type="paragraph" w:styleId="TableofFigures">
    <w:name w:val="table of figures"/>
    <w:basedOn w:val="Normal"/>
    <w:next w:val="Normal"/>
    <w:semiHidden/>
    <w:rsid w:val="002D324E"/>
    <w:pPr>
      <w:tabs>
        <w:tab w:val="right" w:leader="dot" w:pos="9072"/>
      </w:tabs>
      <w:ind w:left="970" w:hanging="403"/>
    </w:pPr>
    <w:rPr>
      <w:rFonts w:ascii="Times New Roman" w:hAnsi="Times New Roman"/>
      <w:b/>
    </w:rPr>
  </w:style>
  <w:style w:type="paragraph" w:styleId="ListNumber">
    <w:name w:val="List Number"/>
    <w:basedOn w:val="List"/>
    <w:rsid w:val="002D324E"/>
    <w:pPr>
      <w:numPr>
        <w:numId w:val="10"/>
      </w:numPr>
    </w:pPr>
  </w:style>
  <w:style w:type="character" w:customStyle="1" w:styleId="WingdingSymbols">
    <w:name w:val="Wingding Symbols"/>
    <w:rsid w:val="002D324E"/>
    <w:rPr>
      <w:rFonts w:ascii="Wingdings" w:hAnsi="Wingdings"/>
    </w:rPr>
  </w:style>
  <w:style w:type="paragraph" w:customStyle="1" w:styleId="TableHeading">
    <w:name w:val="Table Heading"/>
    <w:basedOn w:val="HeadingBase"/>
    <w:rsid w:val="002D324E"/>
    <w:pPr>
      <w:keepLines/>
      <w:pBdr>
        <w:bottom w:val="single" w:sz="6" w:space="1" w:color="918585"/>
      </w:pBdr>
      <w:spacing w:before="240"/>
    </w:pPr>
  </w:style>
  <w:style w:type="character" w:customStyle="1" w:styleId="HotSpot">
    <w:name w:val="HotSpot"/>
    <w:rsid w:val="002D324E"/>
    <w:rPr>
      <w:color w:val="0033CC"/>
      <w:u w:val="none"/>
    </w:rPr>
  </w:style>
  <w:style w:type="paragraph" w:customStyle="1" w:styleId="BodyTextRight">
    <w:name w:val="Body Text Right"/>
    <w:basedOn w:val="BodyText"/>
    <w:rsid w:val="002D324E"/>
    <w:pPr>
      <w:spacing w:before="0" w:after="0"/>
      <w:jc w:val="right"/>
    </w:pPr>
  </w:style>
  <w:style w:type="paragraph" w:styleId="Index3">
    <w:name w:val="index 3"/>
    <w:basedOn w:val="ListNumber2"/>
    <w:next w:val="Normal"/>
    <w:semiHidden/>
    <w:rsid w:val="002D324E"/>
    <w:pPr>
      <w:numPr>
        <w:numId w:val="0"/>
      </w:numPr>
      <w:tabs>
        <w:tab w:val="right" w:leader="dot" w:pos="4176"/>
      </w:tabs>
    </w:pPr>
  </w:style>
  <w:style w:type="paragraph" w:styleId="ListNumber2">
    <w:name w:val="List Number 2"/>
    <w:basedOn w:val="List2"/>
    <w:rsid w:val="002D324E"/>
    <w:pPr>
      <w:numPr>
        <w:numId w:val="9"/>
      </w:numPr>
      <w:tabs>
        <w:tab w:val="clear" w:pos="1060"/>
      </w:tabs>
    </w:pPr>
  </w:style>
  <w:style w:type="paragraph" w:customStyle="1" w:styleId="MarginNote">
    <w:name w:val="Margin Note"/>
    <w:basedOn w:val="BodyText"/>
    <w:rsid w:val="002D32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2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2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324E"/>
    <w:rPr>
      <w:sz w:val="32"/>
    </w:rPr>
  </w:style>
  <w:style w:type="paragraph" w:customStyle="1" w:styleId="HeadingProcedure">
    <w:name w:val="Heading Procedure"/>
    <w:basedOn w:val="HeadingBase"/>
    <w:next w:val="Normal"/>
    <w:rsid w:val="002D324E"/>
    <w:pPr>
      <w:tabs>
        <w:tab w:val="left" w:pos="0"/>
      </w:tabs>
      <w:spacing w:before="120" w:after="60"/>
    </w:pPr>
    <w:rPr>
      <w:i/>
      <w:color w:val="918585"/>
      <w:sz w:val="22"/>
    </w:rPr>
  </w:style>
  <w:style w:type="paragraph" w:customStyle="1" w:styleId="TableBodyText">
    <w:name w:val="Table Body Text"/>
    <w:basedOn w:val="BodyText"/>
    <w:rsid w:val="002D324E"/>
    <w:pPr>
      <w:spacing w:before="60" w:after="60"/>
    </w:pPr>
  </w:style>
  <w:style w:type="paragraph" w:styleId="ListContinue">
    <w:name w:val="List Continue"/>
    <w:basedOn w:val="List"/>
    <w:rsid w:val="002D324E"/>
    <w:pPr>
      <w:ind w:firstLine="0"/>
    </w:pPr>
  </w:style>
  <w:style w:type="paragraph" w:customStyle="1" w:styleId="ListNote">
    <w:name w:val="List Note"/>
    <w:basedOn w:val="List"/>
    <w:rsid w:val="002D324E"/>
    <w:pPr>
      <w:pBdr>
        <w:top w:val="single" w:sz="6" w:space="2" w:color="918585"/>
        <w:bottom w:val="single" w:sz="6" w:space="2" w:color="918585"/>
      </w:pBdr>
      <w:tabs>
        <w:tab w:val="left" w:pos="1021"/>
      </w:tabs>
      <w:ind w:firstLine="0"/>
    </w:pPr>
  </w:style>
  <w:style w:type="paragraph" w:customStyle="1" w:styleId="Warning">
    <w:name w:val="Warning"/>
    <w:basedOn w:val="BodyText"/>
    <w:rsid w:val="002D324E"/>
    <w:pPr>
      <w:shd w:val="clear" w:color="auto" w:fill="D9D9D9"/>
      <w:tabs>
        <w:tab w:val="left" w:pos="992"/>
      </w:tabs>
      <w:ind w:left="119" w:right="119"/>
    </w:pPr>
    <w:rPr>
      <w:sz w:val="20"/>
    </w:rPr>
  </w:style>
  <w:style w:type="paragraph" w:customStyle="1" w:styleId="MarginIcons">
    <w:name w:val="Margin Icons"/>
    <w:basedOn w:val="BodyText"/>
    <w:rsid w:val="002D32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24E"/>
    <w:rPr>
      <w:rFonts w:ascii="Courier New" w:hAnsi="Courier New"/>
    </w:rPr>
  </w:style>
  <w:style w:type="paragraph" w:customStyle="1" w:styleId="NoteBullet">
    <w:name w:val="Note Bullet"/>
    <w:basedOn w:val="Note"/>
    <w:rsid w:val="002D324E"/>
    <w:pPr>
      <w:tabs>
        <w:tab w:val="clear" w:pos="680"/>
      </w:tabs>
      <w:spacing w:before="60" w:after="60"/>
    </w:pPr>
  </w:style>
  <w:style w:type="paragraph" w:customStyle="1" w:styleId="SubHeading2">
    <w:name w:val="SubHeading2"/>
    <w:basedOn w:val="HeadingBase"/>
    <w:rsid w:val="002D324E"/>
    <w:pPr>
      <w:spacing w:before="240" w:after="60"/>
    </w:pPr>
    <w:rPr>
      <w:sz w:val="20"/>
    </w:rPr>
  </w:style>
  <w:style w:type="paragraph" w:customStyle="1" w:styleId="SubHeading1">
    <w:name w:val="SubHeading1"/>
    <w:basedOn w:val="HeadingBase"/>
    <w:rsid w:val="002D324E"/>
    <w:pPr>
      <w:spacing w:before="240" w:after="60"/>
    </w:pPr>
    <w:rPr>
      <w:color w:val="918585"/>
      <w:sz w:val="22"/>
    </w:rPr>
  </w:style>
  <w:style w:type="paragraph" w:customStyle="1" w:styleId="SideHeading">
    <w:name w:val="Side Heading"/>
    <w:basedOn w:val="HeadingBase"/>
    <w:rsid w:val="002D32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24E"/>
    <w:pPr>
      <w:tabs>
        <w:tab w:val="num" w:pos="360"/>
      </w:tabs>
    </w:pPr>
  </w:style>
  <w:style w:type="paragraph" w:styleId="PlainText">
    <w:name w:val="Plain Text"/>
    <w:basedOn w:val="Normal"/>
    <w:link w:val="PlainTextChar"/>
    <w:rsid w:val="002D324E"/>
    <w:rPr>
      <w:sz w:val="20"/>
    </w:rPr>
  </w:style>
  <w:style w:type="character" w:customStyle="1" w:styleId="PlainTextChar">
    <w:name w:val="Plain Text Char"/>
    <w:basedOn w:val="DefaultParagraphFont"/>
    <w:link w:val="PlainText"/>
    <w:rsid w:val="002D32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324E"/>
    <w:rPr>
      <w:b/>
      <w:smallCaps/>
    </w:rPr>
  </w:style>
  <w:style w:type="paragraph" w:customStyle="1" w:styleId="TableListNumber">
    <w:name w:val="Table List Number"/>
    <w:basedOn w:val="ListNumber"/>
    <w:rsid w:val="002D324E"/>
    <w:pPr>
      <w:numPr>
        <w:numId w:val="0"/>
      </w:numPr>
    </w:pPr>
  </w:style>
  <w:style w:type="paragraph" w:styleId="TOC4">
    <w:name w:val="toc 4"/>
    <w:basedOn w:val="TOCBase"/>
    <w:next w:val="Normal"/>
    <w:semiHidden/>
    <w:rsid w:val="002D324E"/>
    <w:pPr>
      <w:tabs>
        <w:tab w:val="right" w:leader="dot" w:pos="9071"/>
      </w:tabs>
      <w:ind w:left="1701"/>
    </w:pPr>
  </w:style>
  <w:style w:type="paragraph" w:customStyle="1" w:styleId="ListAlpha">
    <w:name w:val="List Alpha"/>
    <w:basedOn w:val="List"/>
    <w:rsid w:val="002D324E"/>
    <w:pPr>
      <w:numPr>
        <w:numId w:val="8"/>
      </w:numPr>
    </w:pPr>
  </w:style>
  <w:style w:type="paragraph" w:customStyle="1" w:styleId="ListAlpha2">
    <w:name w:val="List Alpha 2"/>
    <w:basedOn w:val="List2"/>
    <w:rsid w:val="002D324E"/>
    <w:pPr>
      <w:numPr>
        <w:numId w:val="7"/>
      </w:numPr>
    </w:pPr>
  </w:style>
  <w:style w:type="paragraph" w:styleId="List3">
    <w:name w:val="List 3"/>
    <w:basedOn w:val="BodyText"/>
    <w:rsid w:val="002D324E"/>
    <w:pPr>
      <w:tabs>
        <w:tab w:val="left" w:pos="1021"/>
      </w:tabs>
      <w:spacing w:before="60" w:after="60"/>
      <w:ind w:left="1020" w:hanging="340"/>
    </w:pPr>
  </w:style>
  <w:style w:type="paragraph" w:styleId="List4">
    <w:name w:val="List 4"/>
    <w:basedOn w:val="BodyText"/>
    <w:rsid w:val="002D324E"/>
    <w:pPr>
      <w:tabs>
        <w:tab w:val="left" w:pos="1361"/>
      </w:tabs>
      <w:spacing w:before="60" w:after="60"/>
      <w:ind w:left="1361" w:hanging="340"/>
    </w:pPr>
  </w:style>
  <w:style w:type="paragraph" w:styleId="List5">
    <w:name w:val="List 5"/>
    <w:basedOn w:val="BodyText"/>
    <w:rsid w:val="002D324E"/>
    <w:pPr>
      <w:tabs>
        <w:tab w:val="left" w:pos="1701"/>
      </w:tabs>
      <w:spacing w:before="60" w:after="60"/>
      <w:ind w:left="1701" w:hanging="340"/>
    </w:pPr>
  </w:style>
  <w:style w:type="paragraph" w:styleId="ListBullet3">
    <w:name w:val="List Bullet 3"/>
    <w:basedOn w:val="List3"/>
    <w:rsid w:val="002D324E"/>
    <w:pPr>
      <w:numPr>
        <w:numId w:val="14"/>
      </w:numPr>
      <w:tabs>
        <w:tab w:val="clear" w:pos="1021"/>
      </w:tabs>
      <w:ind w:left="1037" w:hanging="357"/>
    </w:pPr>
  </w:style>
  <w:style w:type="paragraph" w:styleId="ListBullet4">
    <w:name w:val="List Bullet 4"/>
    <w:basedOn w:val="List4"/>
    <w:rsid w:val="002D324E"/>
    <w:pPr>
      <w:numPr>
        <w:numId w:val="2"/>
      </w:numPr>
    </w:pPr>
  </w:style>
  <w:style w:type="paragraph" w:styleId="ListBullet5">
    <w:name w:val="List Bullet 5"/>
    <w:basedOn w:val="List5"/>
    <w:rsid w:val="002D324E"/>
    <w:pPr>
      <w:numPr>
        <w:numId w:val="3"/>
      </w:numPr>
    </w:pPr>
  </w:style>
  <w:style w:type="paragraph" w:styleId="ListContinue2">
    <w:name w:val="List Continue 2"/>
    <w:basedOn w:val="List2"/>
    <w:rsid w:val="002D324E"/>
    <w:pPr>
      <w:ind w:firstLine="0"/>
    </w:pPr>
  </w:style>
  <w:style w:type="paragraph" w:styleId="ListContinue3">
    <w:name w:val="List Continue 3"/>
    <w:basedOn w:val="List3"/>
    <w:rsid w:val="002D324E"/>
    <w:pPr>
      <w:ind w:left="1021" w:firstLine="0"/>
    </w:pPr>
  </w:style>
  <w:style w:type="paragraph" w:styleId="ListContinue4">
    <w:name w:val="List Continue 4"/>
    <w:basedOn w:val="List4"/>
    <w:rsid w:val="002D324E"/>
    <w:pPr>
      <w:ind w:firstLine="0"/>
    </w:pPr>
  </w:style>
  <w:style w:type="paragraph" w:styleId="ListContinue5">
    <w:name w:val="List Continue 5"/>
    <w:basedOn w:val="List5"/>
    <w:rsid w:val="002D324E"/>
    <w:pPr>
      <w:ind w:firstLine="0"/>
    </w:pPr>
  </w:style>
  <w:style w:type="paragraph" w:styleId="ListNumber3">
    <w:name w:val="List Number 3"/>
    <w:basedOn w:val="List3"/>
    <w:rsid w:val="002D324E"/>
    <w:pPr>
      <w:numPr>
        <w:numId w:val="4"/>
      </w:numPr>
    </w:pPr>
  </w:style>
  <w:style w:type="paragraph" w:styleId="ListNumber4">
    <w:name w:val="List Number 4"/>
    <w:basedOn w:val="List4"/>
    <w:rsid w:val="002D324E"/>
    <w:pPr>
      <w:numPr>
        <w:numId w:val="5"/>
      </w:numPr>
    </w:pPr>
  </w:style>
  <w:style w:type="paragraph" w:styleId="ListNumber5">
    <w:name w:val="List Number 5"/>
    <w:basedOn w:val="List5"/>
    <w:rsid w:val="002D324E"/>
    <w:pPr>
      <w:numPr>
        <w:numId w:val="6"/>
      </w:numPr>
    </w:pPr>
  </w:style>
  <w:style w:type="paragraph" w:styleId="BlockText">
    <w:name w:val="Block Text"/>
    <w:basedOn w:val="Normal"/>
    <w:rsid w:val="002D324E"/>
    <w:pPr>
      <w:spacing w:after="120"/>
      <w:ind w:left="1440" w:right="1440"/>
    </w:pPr>
  </w:style>
  <w:style w:type="character" w:customStyle="1" w:styleId="Subscript">
    <w:name w:val="Subscript"/>
    <w:basedOn w:val="DefaultParagraphFont"/>
    <w:rsid w:val="002D324E"/>
    <w:rPr>
      <w:sz w:val="16"/>
      <w:vertAlign w:val="subscript"/>
    </w:rPr>
  </w:style>
  <w:style w:type="character" w:customStyle="1" w:styleId="Superscript">
    <w:name w:val="Superscript"/>
    <w:basedOn w:val="DefaultParagraphFont"/>
    <w:rsid w:val="002D324E"/>
    <w:rPr>
      <w:sz w:val="16"/>
      <w:vertAlign w:val="superscript"/>
    </w:rPr>
  </w:style>
  <w:style w:type="character" w:customStyle="1" w:styleId="Symbols">
    <w:name w:val="Symbols"/>
    <w:basedOn w:val="DefaultParagraphFont"/>
    <w:rsid w:val="002D324E"/>
    <w:rPr>
      <w:rFonts w:ascii="Symbol" w:hAnsi="Symbol"/>
    </w:rPr>
  </w:style>
  <w:style w:type="character" w:customStyle="1" w:styleId="MenuOptions">
    <w:name w:val="Menu Options"/>
    <w:basedOn w:val="DefaultParagraphFont"/>
    <w:rsid w:val="002D324E"/>
    <w:rPr>
      <w:rFonts w:ascii="Arial Narrow" w:hAnsi="Arial Narrow"/>
      <w:smallCaps/>
    </w:rPr>
  </w:style>
  <w:style w:type="character" w:customStyle="1" w:styleId="Buttons">
    <w:name w:val="Buttons"/>
    <w:basedOn w:val="DefaultParagraphFont"/>
    <w:rsid w:val="002D324E"/>
    <w:rPr>
      <w:b/>
    </w:rPr>
  </w:style>
  <w:style w:type="character" w:customStyle="1" w:styleId="Underlined">
    <w:name w:val="Underlined"/>
    <w:basedOn w:val="DefaultParagraphFont"/>
    <w:rsid w:val="002D324E"/>
    <w:rPr>
      <w:u w:val="single"/>
    </w:rPr>
  </w:style>
  <w:style w:type="paragraph" w:customStyle="1" w:styleId="TableBodyTextRight">
    <w:name w:val="Table Body Text Right"/>
    <w:basedOn w:val="TableBodyText"/>
    <w:rsid w:val="002D324E"/>
    <w:pPr>
      <w:widowControl w:val="0"/>
      <w:autoSpaceDE w:val="0"/>
      <w:autoSpaceDN w:val="0"/>
      <w:adjustRightInd w:val="0"/>
      <w:jc w:val="right"/>
    </w:pPr>
    <w:rPr>
      <w:rFonts w:cs="Arial"/>
      <w:szCs w:val="18"/>
    </w:rPr>
  </w:style>
  <w:style w:type="paragraph" w:customStyle="1" w:styleId="CopyrightText">
    <w:name w:val="Copyright Text"/>
    <w:basedOn w:val="BodyText"/>
    <w:rsid w:val="002D324E"/>
    <w:rPr>
      <w:sz w:val="18"/>
    </w:rPr>
  </w:style>
  <w:style w:type="paragraph" w:customStyle="1" w:styleId="BodySmallRight">
    <w:name w:val="Body Small Right"/>
    <w:basedOn w:val="BodyTextRight"/>
    <w:rsid w:val="002D324E"/>
    <w:rPr>
      <w:sz w:val="18"/>
      <w:szCs w:val="18"/>
    </w:rPr>
  </w:style>
  <w:style w:type="paragraph" w:customStyle="1" w:styleId="MarginEdition">
    <w:name w:val="Margin Edition"/>
    <w:basedOn w:val="MarginNote"/>
    <w:rsid w:val="002D324E"/>
    <w:pPr>
      <w:spacing w:before="0" w:after="0"/>
    </w:pPr>
    <w:rPr>
      <w:rFonts w:ascii="Times New Roman" w:hAnsi="Times New Roman"/>
      <w:color w:val="999999"/>
    </w:rPr>
  </w:style>
  <w:style w:type="paragraph" w:customStyle="1" w:styleId="Spacer">
    <w:name w:val="Spacer"/>
    <w:basedOn w:val="Normal"/>
    <w:rsid w:val="002D324E"/>
    <w:rPr>
      <w:sz w:val="2"/>
      <w:szCs w:val="2"/>
    </w:rPr>
  </w:style>
  <w:style w:type="character" w:customStyle="1" w:styleId="Small">
    <w:name w:val="Small"/>
    <w:basedOn w:val="DefaultParagraphFont"/>
    <w:rsid w:val="002D324E"/>
    <w:rPr>
      <w:sz w:val="16"/>
    </w:rPr>
  </w:style>
  <w:style w:type="paragraph" w:customStyle="1" w:styleId="WideTable">
    <w:name w:val="Wide Table"/>
    <w:basedOn w:val="Normal"/>
    <w:rsid w:val="002D324E"/>
    <w:pPr>
      <w:ind w:left="-1418"/>
    </w:pPr>
    <w:rPr>
      <w:sz w:val="2"/>
      <w:szCs w:val="2"/>
    </w:rPr>
  </w:style>
  <w:style w:type="character" w:styleId="PageNumber">
    <w:name w:val="page number"/>
    <w:basedOn w:val="DefaultParagraphFont"/>
    <w:rsid w:val="002D324E"/>
  </w:style>
  <w:style w:type="paragraph" w:styleId="Quote">
    <w:name w:val="Quote"/>
    <w:basedOn w:val="Heading1"/>
    <w:link w:val="QuoteChar"/>
    <w:qFormat/>
    <w:rsid w:val="002D324E"/>
    <w:rPr>
      <w:b w:val="0"/>
      <w:sz w:val="72"/>
      <w:szCs w:val="72"/>
      <w:lang w:val="en-NZ"/>
    </w:rPr>
  </w:style>
  <w:style w:type="character" w:customStyle="1" w:styleId="QuoteChar">
    <w:name w:val="Quote Char"/>
    <w:basedOn w:val="DefaultParagraphFont"/>
    <w:link w:val="Quote"/>
    <w:rsid w:val="002D32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24E"/>
    <w:pPr>
      <w:pageBreakBefore/>
    </w:pPr>
  </w:style>
  <w:style w:type="paragraph" w:customStyle="1" w:styleId="Border">
    <w:name w:val="Border"/>
    <w:basedOn w:val="Normal"/>
    <w:qFormat/>
    <w:rsid w:val="002D32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24E"/>
    <w:rPr>
      <w:b/>
      <w:bCs/>
      <w:i/>
      <w:iCs/>
      <w:color w:val="auto"/>
    </w:rPr>
  </w:style>
  <w:style w:type="paragraph" w:styleId="IntenseQuote">
    <w:name w:val="Intense Quote"/>
    <w:basedOn w:val="Normal"/>
    <w:next w:val="Normal"/>
    <w:link w:val="IntenseQuoteChar"/>
    <w:uiPriority w:val="30"/>
    <w:qFormat/>
    <w:rsid w:val="002D32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2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324E"/>
    <w:rPr>
      <w:smallCaps/>
      <w:color w:val="auto"/>
      <w:u w:val="single"/>
    </w:rPr>
  </w:style>
  <w:style w:type="character" w:styleId="IntenseReference">
    <w:name w:val="Intense Reference"/>
    <w:basedOn w:val="DefaultParagraphFont"/>
    <w:uiPriority w:val="32"/>
    <w:qFormat/>
    <w:rsid w:val="002D324E"/>
    <w:rPr>
      <w:b/>
      <w:bCs/>
      <w:smallCaps/>
      <w:color w:val="auto"/>
      <w:spacing w:val="5"/>
      <w:u w:val="single"/>
    </w:rPr>
  </w:style>
  <w:style w:type="paragraph" w:customStyle="1" w:styleId="2ColumnHeading">
    <w:name w:val="2Column Heading"/>
    <w:basedOn w:val="BodyText"/>
    <w:qFormat/>
    <w:rsid w:val="002D324E"/>
    <w:pPr>
      <w:spacing w:after="60"/>
      <w:ind w:left="-2268"/>
    </w:pPr>
    <w:rPr>
      <w:b/>
    </w:rPr>
  </w:style>
  <w:style w:type="paragraph" w:customStyle="1" w:styleId="Heading1TOC">
    <w:name w:val="Heading1 TOC"/>
    <w:basedOn w:val="Normal"/>
    <w:qFormat/>
    <w:rsid w:val="002D324E"/>
    <w:pPr>
      <w:spacing w:before="240" w:after="120"/>
    </w:pPr>
    <w:rPr>
      <w:rFonts w:ascii="Times New Roman" w:hAnsi="Times New Roman"/>
      <w:b/>
      <w:sz w:val="32"/>
    </w:rPr>
  </w:style>
  <w:style w:type="paragraph" w:customStyle="1" w:styleId="Heading2TOC">
    <w:name w:val="Heading2 TOC"/>
    <w:basedOn w:val="Normal"/>
    <w:qFormat/>
    <w:rsid w:val="002D324E"/>
    <w:pPr>
      <w:spacing w:before="240" w:after="60"/>
    </w:pPr>
    <w:rPr>
      <w:rFonts w:ascii="Times New Roman" w:hAnsi="Times New Roman"/>
      <w:b/>
      <w:sz w:val="28"/>
    </w:rPr>
  </w:style>
  <w:style w:type="character" w:customStyle="1" w:styleId="Underline">
    <w:name w:val="Underline"/>
    <w:basedOn w:val="DefaultParagraphFont"/>
    <w:qFormat/>
    <w:rsid w:val="002D324E"/>
    <w:rPr>
      <w:u w:val="single"/>
    </w:rPr>
  </w:style>
  <w:style w:type="character" w:customStyle="1" w:styleId="BoldandItalics">
    <w:name w:val="Bold and Italics"/>
    <w:qFormat/>
    <w:rsid w:val="002D324E"/>
    <w:rPr>
      <w:b/>
      <w:i/>
      <w:u w:val="none"/>
    </w:rPr>
  </w:style>
  <w:style w:type="paragraph" w:styleId="BalloonText">
    <w:name w:val="Balloon Text"/>
    <w:basedOn w:val="Normal"/>
    <w:link w:val="BalloonTextChar"/>
    <w:rsid w:val="002D324E"/>
    <w:rPr>
      <w:rFonts w:ascii="Tahoma" w:hAnsi="Tahoma" w:cs="Tahoma"/>
      <w:sz w:val="16"/>
      <w:szCs w:val="16"/>
    </w:rPr>
  </w:style>
  <w:style w:type="character" w:customStyle="1" w:styleId="BalloonTextChar">
    <w:name w:val="Balloon Text Char"/>
    <w:basedOn w:val="DefaultParagraphFont"/>
    <w:link w:val="BalloonText"/>
    <w:rsid w:val="002D32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32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32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1178</Words>
  <Characters>7230</Characters>
  <Application>Microsoft Office Word</Application>
  <DocSecurity>0</DocSecurity>
  <Lines>267</Lines>
  <Paragraphs>124</Paragraphs>
  <ScaleCrop>false</ScaleCrop>
  <Company>Author-it Software Corporation Ltd.</Company>
  <LinksUpToDate>false</LinksUpToDate>
  <CharactersWithSpaces>8317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MEM05022C Perform advanced welding using oxy acetylene welding process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2012-05-27T01:30:00Z</dcterms:created>
  <dcterms:modified xsi:type="dcterms:W3CDTF">2012-05-27T01:30:00Z</dcterms:modified>
</cp:coreProperties>
</file>