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0E8D" w:rsidP="00DC0E8D">
      <w:pPr>
        <w:pStyle w:val="Title"/>
      </w:pPr>
      <w:r>
        <w:fldChar w:fldCharType="begin"/>
      </w:r>
      <w:r>
        <w:instrText xml:space="preserve"> TITLE   \* MERGEFORMAT </w:instrText>
      </w:r>
      <w:r>
        <w:fldChar w:fldCharType="separate"/>
      </w:r>
      <w:r>
        <w:t>MEM05018C Perform advanced welding using gas metal arc welding process</w:t>
      </w:r>
      <w:r>
        <w:fldChar w:fldCharType="end"/>
      </w:r>
    </w:p>
    <w:p w:rsidR="00DC0E8D" w:rsidP="00DC0E8D">
      <w:pPr>
        <w:pStyle w:val="Version"/>
        <w:sectPr w:rsidSect="00FC15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5E0" w:rsidP="00FC15E0">
      <w:pPr>
        <w:pStyle w:val="SuperHeading"/>
      </w:pPr>
      <w:r w:rsidRPr="00FC15E0">
        <w:t>MEM05018C Perform advanced welding using gas metal arc welding process</w:t>
      </w:r>
    </w:p>
    <w:p w:rsidR="00000000" w:rsidRPr="00FC15E0" w:rsidP="00FC15E0">
      <w:pPr>
        <w:pStyle w:val="Heading1"/>
      </w:pPr>
      <w:bookmarkStart w:id="1" w:name="O_272012"/>
      <w:bookmarkEnd w:id="1"/>
      <w:r w:rsidRPr="00FC15E0">
        <w:t>Modification History</w:t>
      </w:r>
    </w:p>
    <w:p w:rsidR="00000000" w:rsidRPr="00FC15E0" w:rsidP="00FC15E0">
      <w:pPr>
        <w:pStyle w:val="BodyText"/>
      </w:pPr>
      <w:r w:rsidRPr="00FC15E0">
        <w:t>Not Applicable</w:t>
      </w:r>
    </w:p>
    <w:p w:rsidR="00000000" w:rsidRPr="00FC15E0" w:rsidP="00FC15E0">
      <w:pPr>
        <w:pStyle w:val="AllowPageBreak"/>
      </w:pPr>
    </w:p>
    <w:p w:rsidR="00000000" w:rsidRPr="00FC15E0" w:rsidP="00FC15E0">
      <w:pPr>
        <w:pStyle w:val="Heading1"/>
      </w:pPr>
      <w:bookmarkStart w:id="2" w:name="O_210522"/>
      <w:bookmarkEnd w:id="2"/>
      <w:r w:rsidRPr="00FC15E0">
        <w:t>Unit Descriptor</w:t>
      </w:r>
    </w:p>
    <w:tbl>
      <w:tblPr>
        <w:tblW w:w="0" w:type="auto"/>
        <w:tblLayout w:type="fixed"/>
        <w:tblCellMar>
          <w:left w:w="62" w:type="dxa"/>
          <w:right w:w="62" w:type="dxa"/>
        </w:tblCellMar>
        <w:tblLook w:val="0000"/>
      </w:tblPr>
      <w:tblGrid>
        <w:gridCol w:w="2673"/>
        <w:gridCol w:w="5849"/>
      </w:tblGrid>
      <w:tr w:rsidTr="00DC0E8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This unit covers preparing materials, selecting and setting up the welding equip</w:t>
            </w:r>
            <w:r w:rsidRPr="00FC15E0">
              <w:t>ment, carrying out advanced gas metal arc welding (GMAW), inspecting for and correcting defects, and maintaining the weld records.</w:t>
            </w:r>
          </w:p>
        </w:tc>
      </w:tr>
    </w:tbl>
    <w:p w:rsidR="00DC0E8D" w:rsidP="00FC15E0">
      <w:pPr>
        <w:pStyle w:val="BodyText"/>
      </w:pPr>
    </w:p>
    <w:p w:rsidR="00DC0E8D" w:rsidP="00FC15E0">
      <w:pPr>
        <w:pStyle w:val="BodyText"/>
      </w:pPr>
    </w:p>
    <w:p w:rsidR="00000000" w:rsidRPr="00FC15E0" w:rsidP="00FC15E0">
      <w:pPr>
        <w:pStyle w:val="Heading1"/>
      </w:pPr>
      <w:bookmarkStart w:id="3" w:name="O_210526"/>
      <w:bookmarkEnd w:id="3"/>
      <w:r w:rsidRPr="00FC15E0">
        <w:t>Application of the Unit</w:t>
      </w:r>
    </w:p>
    <w:tbl>
      <w:tblPr>
        <w:tblW w:w="0" w:type="auto"/>
        <w:tblLayout w:type="fixed"/>
        <w:tblCellMar>
          <w:left w:w="62" w:type="dxa"/>
          <w:right w:w="62" w:type="dxa"/>
        </w:tblCellMar>
        <w:tblLook w:val="0000"/>
      </w:tblPr>
      <w:tblGrid>
        <w:gridCol w:w="2745"/>
        <w:gridCol w:w="5777"/>
      </w:tblGrid>
      <w:tr w:rsidTr="00DC0E8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This unit applies to welds associated with a range of structural sections and/or plate and/or pipe for general fabrication using ferrous and non-ferrous materials.</w:t>
            </w:r>
          </w:p>
          <w:p w:rsidR="00000000" w:rsidRPr="00FC15E0" w:rsidP="00FC15E0">
            <w:pPr>
              <w:pStyle w:val="BodyText"/>
            </w:pPr>
            <w:r w:rsidRPr="00FC15E0">
              <w:t xml:space="preserve">Weld quality would typically conform to Australian Standard 1554 Structural Purpose, Bureau </w:t>
            </w:r>
            <w:r w:rsidRPr="00FC15E0">
              <w:t>Det Norse Verticas or equivalent.</w:t>
            </w:r>
          </w:p>
          <w:p w:rsidR="00000000" w:rsidRPr="00FC15E0" w:rsidP="00FC15E0">
            <w:pPr>
              <w:pStyle w:val="BodyText"/>
            </w:pPr>
            <w:r w:rsidRPr="00FC15E0">
              <w:t>Where advanced manual thermal cutting, gouging and shaping is carried out, Unit MEM05008C (Perform advanced manual thermal cutting, gouging and shaping) should also be selected.</w:t>
            </w:r>
          </w:p>
          <w:p w:rsidR="00000000" w:rsidRPr="00FC15E0" w:rsidP="00FC15E0">
            <w:pPr>
              <w:pStyle w:val="BodyText"/>
            </w:pPr>
          </w:p>
          <w:p w:rsidR="00000000" w:rsidRPr="00FC15E0" w:rsidP="00FC15E0">
            <w:pPr>
              <w:pStyle w:val="BodyText"/>
            </w:pPr>
            <w:r w:rsidRPr="00FC15E0">
              <w:rPr>
                <w:rStyle w:val="SpecialBold"/>
              </w:rPr>
              <w:t>Band</w:t>
            </w:r>
            <w:r w:rsidRPr="00FC15E0">
              <w:t>:</w:t>
            </w:r>
            <w:r w:rsidRPr="00FC15E0">
              <w:tab/>
            </w:r>
            <w:r w:rsidRPr="00FC15E0">
              <w:rPr>
                <w:rStyle w:val="SpecialBold"/>
              </w:rPr>
              <w:t>A</w:t>
            </w:r>
          </w:p>
          <w:p w:rsidR="00000000" w:rsidRPr="00FC15E0" w:rsidP="00FC15E0">
            <w:pPr>
              <w:pStyle w:val="BodyText"/>
            </w:pPr>
            <w:r w:rsidRPr="00FC15E0">
              <w:rPr>
                <w:rStyle w:val="SpecialBold"/>
              </w:rPr>
              <w:t>Unit Weight</w:t>
            </w:r>
            <w:r w:rsidRPr="00FC15E0">
              <w:t>:</w:t>
            </w:r>
            <w:r w:rsidRPr="00FC15E0">
              <w:tab/>
            </w:r>
            <w:r w:rsidRPr="00FC15E0">
              <w:rPr>
                <w:rStyle w:val="SpecialBold"/>
              </w:rPr>
              <w:t>4</w:t>
            </w:r>
          </w:p>
        </w:tc>
      </w:tr>
    </w:tbl>
    <w:p w:rsidR="00DC0E8D" w:rsidP="00FC15E0">
      <w:pPr>
        <w:pStyle w:val="BodyText"/>
      </w:pPr>
    </w:p>
    <w:p w:rsidR="00DC0E8D" w:rsidP="00FC15E0">
      <w:pPr>
        <w:pStyle w:val="BodyText"/>
      </w:pPr>
    </w:p>
    <w:p w:rsidR="00000000" w:rsidRPr="00FC15E0" w:rsidP="00FC15E0">
      <w:pPr>
        <w:pStyle w:val="Heading1"/>
      </w:pPr>
      <w:bookmarkStart w:id="4" w:name="O_280272"/>
      <w:bookmarkEnd w:id="4"/>
      <w:r w:rsidRPr="00FC15E0">
        <w:t>Licensing/Regulatory Information</w:t>
      </w:r>
    </w:p>
    <w:p w:rsidR="00000000" w:rsidRPr="00FC15E0" w:rsidP="00FC15E0">
      <w:pPr>
        <w:pStyle w:val="BodyText"/>
      </w:pPr>
      <w:r w:rsidRPr="00FC15E0">
        <w:t>Not Applicable</w:t>
      </w:r>
    </w:p>
    <w:p w:rsidR="00000000" w:rsidRPr="00FC15E0" w:rsidP="00FC15E0">
      <w:pPr>
        <w:pStyle w:val="AllowPageBreak"/>
      </w:pPr>
    </w:p>
    <w:p w:rsidR="00000000" w:rsidRPr="00FC15E0" w:rsidP="00FC15E0">
      <w:pPr>
        <w:pStyle w:val="Heading1"/>
      </w:pPr>
      <w:bookmarkStart w:id="5" w:name="O_210524"/>
      <w:bookmarkEnd w:id="5"/>
      <w:r w:rsidRPr="00FC15E0">
        <w:t>Pre-Requisites</w:t>
      </w:r>
    </w:p>
    <w:tbl>
      <w:tblPr>
        <w:tblW w:w="0" w:type="auto"/>
        <w:tblLayout w:type="fixed"/>
        <w:tblCellMar>
          <w:left w:w="62" w:type="dxa"/>
          <w:right w:w="62" w:type="dxa"/>
        </w:tblCellMar>
        <w:tblLook w:val="0000"/>
      </w:tblPr>
      <w:tblGrid>
        <w:gridCol w:w="2712"/>
        <w:gridCol w:w="2207"/>
        <w:gridCol w:w="3603"/>
      </w:tblGrid>
      <w:tr w:rsidTr="00DC0E8D">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Perform manual heating and thermal cutting</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MEM05017D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Weld using gas metal arc welding process</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MEM05050B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Perform routine gas metal arc welding</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Select welding processes</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Apply safe welding practices</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Interpret technical drawing</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Perform engineering measurements</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Use hand tools</w:t>
            </w:r>
          </w:p>
        </w:tc>
      </w:tr>
      <w:tr w:rsidTr="00DC0E8D">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Use power tools/hand held operations</w:t>
            </w:r>
          </w:p>
        </w:tc>
      </w:tr>
    </w:tbl>
    <w:p w:rsidR="00DC0E8D" w:rsidP="00FC15E0">
      <w:pPr>
        <w:pStyle w:val="BodyText"/>
      </w:pPr>
    </w:p>
    <w:p w:rsidR="00DC0E8D" w:rsidP="00FC15E0">
      <w:pPr>
        <w:pStyle w:val="BodyText"/>
      </w:pPr>
    </w:p>
    <w:p w:rsidR="00000000" w:rsidRPr="00FC15E0" w:rsidP="00FC15E0">
      <w:pPr>
        <w:pStyle w:val="Heading1"/>
      </w:pPr>
      <w:bookmarkStart w:id="6" w:name="O_210523"/>
      <w:bookmarkEnd w:id="6"/>
      <w:r w:rsidRPr="00FC15E0">
        <w:t>Employability Skills Information</w:t>
      </w:r>
    </w:p>
    <w:tbl>
      <w:tblPr>
        <w:tblW w:w="0" w:type="auto"/>
        <w:tblLayout w:type="fixed"/>
        <w:tblCellMar>
          <w:left w:w="62" w:type="dxa"/>
          <w:right w:w="62" w:type="dxa"/>
        </w:tblCellMar>
        <w:tblLook w:val="0000"/>
      </w:tblPr>
      <w:tblGrid>
        <w:gridCol w:w="2802"/>
        <w:gridCol w:w="5720"/>
      </w:tblGrid>
      <w:tr w:rsidTr="00DC0E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This unit contains employability skills.</w:t>
            </w:r>
          </w:p>
        </w:tc>
      </w:tr>
    </w:tbl>
    <w:p w:rsidR="00DC0E8D" w:rsidP="00FC15E0">
      <w:pPr>
        <w:pStyle w:val="BodyText"/>
      </w:pPr>
    </w:p>
    <w:p w:rsidR="00DC0E8D" w:rsidP="00FC15E0">
      <w:pPr>
        <w:pStyle w:val="BodyText"/>
      </w:pPr>
    </w:p>
    <w:p w:rsidR="00000000" w:rsidRPr="00FC15E0" w:rsidP="00FC15E0">
      <w:pPr>
        <w:pStyle w:val="Heading1"/>
      </w:pPr>
      <w:bookmarkStart w:id="7" w:name="O_290058"/>
      <w:bookmarkEnd w:id="7"/>
      <w:r w:rsidRPr="00FC15E0">
        <w:t>Elements and Performance Criteria Pre-Content</w:t>
      </w:r>
    </w:p>
    <w:tbl>
      <w:tblPr>
        <w:tblW w:w="0" w:type="auto"/>
        <w:tblLayout w:type="fixed"/>
        <w:tblCellMar>
          <w:left w:w="62" w:type="dxa"/>
          <w:right w:w="62" w:type="dxa"/>
        </w:tblCellMar>
        <w:tblLook w:val="0000"/>
      </w:tblPr>
      <w:tblGrid>
        <w:gridCol w:w="2562"/>
        <w:gridCol w:w="5960"/>
      </w:tblGrid>
      <w:tr w:rsidTr="00DC0E8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Performance criteria describe the performance needed to demonstrate achievement of the element. Where bold italicised text is used, further information is detailed in the required skills and</w:t>
            </w:r>
            <w:r w:rsidRPr="00FC15E0">
              <w:t xml:space="preserve"> knowledge section and the range statement. Assessment of performance is to be consistent with the evidence guide.</w:t>
            </w:r>
          </w:p>
        </w:tc>
      </w:tr>
    </w:tbl>
    <w:p w:rsidR="00000000" w:rsidRPr="00FC15E0" w:rsidP="00FC15E0">
      <w:pPr>
        <w:pStyle w:val="BodyText"/>
      </w:pPr>
    </w:p>
    <w:p w:rsidR="00000000" w:rsidRPr="00FC15E0" w:rsidP="00FC15E0">
      <w:pPr>
        <w:pStyle w:val="AllowPageBreak"/>
      </w:pPr>
    </w:p>
    <w:p w:rsidR="00000000" w:rsidRPr="00FC15E0" w:rsidP="00FC15E0">
      <w:pPr>
        <w:pStyle w:val="Heading1"/>
      </w:pPr>
      <w:bookmarkStart w:id="8" w:name="O_236725"/>
      <w:bookmarkEnd w:id="8"/>
      <w:r w:rsidRPr="00FC15E0">
        <w:t>Elements and Performance Criteria</w:t>
      </w:r>
    </w:p>
    <w:tbl>
      <w:tblPr>
        <w:tblW w:w="0" w:type="auto"/>
        <w:tblLayout w:type="fixed"/>
        <w:tblCellMar>
          <w:left w:w="62" w:type="dxa"/>
          <w:right w:w="62" w:type="dxa"/>
        </w:tblCellMar>
        <w:tblLook w:val="0000"/>
      </w:tblPr>
      <w:tblGrid>
        <w:gridCol w:w="2562"/>
        <w:gridCol w:w="5960"/>
      </w:tblGrid>
      <w:tr w:rsidTr="00DC0E8D">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PERFORMANCE CRITERIA</w:t>
            </w:r>
          </w:p>
        </w:tc>
      </w:tr>
      <w:tr w:rsidTr="00DC0E8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List"/>
              <w:rPr>
                <w:lang w:val="en-NZ"/>
              </w:rPr>
            </w:pPr>
            <w:r w:rsidRPr="00FC15E0">
              <w:t>1.</w:t>
            </w:r>
            <w:r w:rsidRPr="00FC15E0">
              <w:tab/>
              <w:t xml:space="preserve">Prepare welding materials and equipment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List2"/>
            </w:pPr>
            <w:r w:rsidRPr="00FC15E0">
              <w:t>1.1.</w:t>
            </w:r>
            <w:r w:rsidRPr="00FC15E0">
              <w:tab/>
            </w:r>
            <w:r w:rsidRPr="00FC15E0">
              <w:t>Welding equipment is prepared.</w:t>
            </w:r>
          </w:p>
          <w:p w:rsidR="00000000" w:rsidRPr="00FC15E0" w:rsidP="00FC15E0">
            <w:pPr>
              <w:pStyle w:val="List2"/>
            </w:pPr>
            <w:r w:rsidRPr="00FC15E0">
              <w:t>1.2.</w:t>
            </w:r>
            <w:r w:rsidRPr="00FC15E0">
              <w:tab/>
              <w:t>Welding equipment is assembled and adjusted correctly and safely.</w:t>
            </w:r>
          </w:p>
          <w:p w:rsidR="00000000" w:rsidP="00FC15E0">
            <w:pPr>
              <w:pStyle w:val="List2"/>
              <w:rPr>
                <w:lang w:val="en-NZ"/>
              </w:rPr>
            </w:pPr>
            <w:r w:rsidRPr="00FC15E0">
              <w:t>1.3.</w:t>
            </w:r>
            <w:r w:rsidRPr="00FC15E0">
              <w:tab/>
              <w:t>Materials are prepared to achieve required weld specification.</w:t>
            </w:r>
          </w:p>
        </w:tc>
      </w:tr>
      <w:tr w:rsidTr="00DC0E8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List"/>
              <w:rPr>
                <w:lang w:val="en-NZ"/>
              </w:rPr>
            </w:pPr>
            <w:r w:rsidRPr="00FC15E0">
              <w:t>2.</w:t>
            </w:r>
            <w:r w:rsidRPr="00FC15E0">
              <w:tab/>
              <w:t>Weld joints to code requirements using advanced GMAW</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List2"/>
            </w:pPr>
            <w:r w:rsidRPr="00FC15E0">
              <w:t>2.1.</w:t>
            </w:r>
            <w:r w:rsidRPr="00FC15E0">
              <w:tab/>
              <w:t>Weld requirements are in</w:t>
            </w:r>
            <w:r w:rsidRPr="00FC15E0">
              <w:t>terpreted correctly.</w:t>
            </w:r>
          </w:p>
          <w:p w:rsidR="00000000" w:rsidRPr="00FC15E0" w:rsidP="00FC15E0">
            <w:pPr>
              <w:pStyle w:val="List2"/>
            </w:pPr>
            <w:r w:rsidRPr="00FC15E0">
              <w:t>2.2.</w:t>
            </w:r>
            <w:r w:rsidRPr="00FC15E0">
              <w:tab/>
              <w:t>Welds are deposited correctly to specifications.</w:t>
            </w:r>
          </w:p>
          <w:p w:rsidR="00000000" w:rsidP="00FC15E0">
            <w:pPr>
              <w:pStyle w:val="List2"/>
              <w:rPr>
                <w:lang w:val="en-NZ"/>
              </w:rPr>
            </w:pPr>
            <w:r w:rsidRPr="00FC15E0">
              <w:t>2.3.</w:t>
            </w:r>
            <w:r w:rsidRPr="00FC15E0">
              <w:tab/>
              <w:t>Appropriate distortion prevention measures are selected and distortions are rectified as required.</w:t>
            </w:r>
          </w:p>
        </w:tc>
      </w:tr>
      <w:tr w:rsidTr="00DC0E8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List"/>
              <w:rPr>
                <w:lang w:val="en-NZ"/>
              </w:rPr>
            </w:pPr>
            <w:r w:rsidRPr="00FC15E0">
              <w:t>3.</w:t>
            </w:r>
            <w:r w:rsidRPr="00FC15E0">
              <w:tab/>
              <w:t xml:space="preserve">Assess weld quality and rectify faults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List2"/>
            </w:pPr>
            <w:r w:rsidRPr="00FC15E0">
              <w:t>3.1.</w:t>
            </w:r>
            <w:r w:rsidRPr="00FC15E0">
              <w:tab/>
              <w:t>Weld joints are visually ins</w:t>
            </w:r>
            <w:r w:rsidRPr="00FC15E0">
              <w:t>pected against specifications.</w:t>
            </w:r>
          </w:p>
          <w:p w:rsidR="00000000" w:rsidRPr="00FC15E0" w:rsidP="00FC15E0">
            <w:pPr>
              <w:pStyle w:val="List2"/>
            </w:pPr>
            <w:r w:rsidRPr="00FC15E0">
              <w:t>3.2.</w:t>
            </w:r>
            <w:r w:rsidRPr="00FC15E0">
              <w:tab/>
              <w:t>Defects are removed using appropriate methods for the given task..</w:t>
            </w:r>
          </w:p>
          <w:p w:rsidR="00000000" w:rsidRPr="00FC15E0" w:rsidP="00FC15E0">
            <w:pPr>
              <w:pStyle w:val="List2"/>
            </w:pPr>
            <w:r w:rsidRPr="00FC15E0">
              <w:t>3.3.</w:t>
            </w:r>
            <w:r w:rsidRPr="00FC15E0">
              <w:tab/>
              <w:t>Weld records are correctly completed and maintained.</w:t>
            </w:r>
          </w:p>
        </w:tc>
      </w:tr>
    </w:tbl>
    <w:p w:rsidR="00DC0E8D" w:rsidP="00FC15E0">
      <w:pPr>
        <w:pStyle w:val="BodyText"/>
      </w:pPr>
    </w:p>
    <w:p w:rsidR="00DC0E8D" w:rsidP="00FC15E0">
      <w:pPr>
        <w:pStyle w:val="BodyText"/>
      </w:pPr>
    </w:p>
    <w:p w:rsidR="00000000" w:rsidRPr="00FC15E0" w:rsidP="00FC15E0">
      <w:pPr>
        <w:pStyle w:val="Heading1"/>
      </w:pPr>
      <w:bookmarkStart w:id="9" w:name="O_260675"/>
      <w:bookmarkEnd w:id="9"/>
      <w:r w:rsidRPr="00FC15E0">
        <w:t>Required Skills and Knowledge</w:t>
      </w:r>
    </w:p>
    <w:tbl>
      <w:tblPr>
        <w:tblW w:w="0" w:type="auto"/>
        <w:tblLayout w:type="fixed"/>
        <w:tblCellMar>
          <w:left w:w="62" w:type="dxa"/>
          <w:right w:w="62" w:type="dxa"/>
        </w:tblCellMar>
        <w:tblLook w:val="0000"/>
      </w:tblPr>
      <w:tblGrid>
        <w:gridCol w:w="8522"/>
      </w:tblGrid>
      <w:tr w:rsidTr="00DC0E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REQUIRED SKILLS AND KNOWLEDGE</w:t>
            </w:r>
          </w:p>
        </w:tc>
      </w:tr>
      <w:tr w:rsidTr="00DC0E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This section describes the skills and knowledge required for this unit.</w:t>
            </w:r>
          </w:p>
        </w:tc>
      </w:tr>
      <w:tr w:rsidTr="00DC0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Required skills</w:t>
            </w:r>
          </w:p>
        </w:tc>
      </w:tr>
      <w:tr w:rsidTr="00DC0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Look for evidence that confirms skills in:</w:t>
            </w:r>
          </w:p>
          <w:p w:rsidR="00000000" w:rsidRPr="00FC15E0" w:rsidP="00FC15E0">
            <w:pPr>
              <w:pStyle w:val="ListBullet"/>
            </w:pPr>
            <w:r w:rsidRPr="00FC15E0">
              <w:t>welding to conform to Australian Standard 1554 Structural Purpose, Bureau Det Norse Verticas or equivalent</w:t>
            </w:r>
          </w:p>
          <w:p w:rsidR="00000000" w:rsidRPr="00FC15E0" w:rsidP="00FC15E0">
            <w:pPr>
              <w:pStyle w:val="ListBullet"/>
            </w:pPr>
            <w:r w:rsidRPr="00FC15E0">
              <w:t>performing safe welding practices</w:t>
            </w:r>
          </w:p>
          <w:p w:rsidR="00000000" w:rsidRPr="00FC15E0" w:rsidP="00FC15E0">
            <w:pPr>
              <w:pStyle w:val="ListBullet"/>
            </w:pPr>
            <w:r w:rsidRPr="00FC15E0">
              <w:t>using and applying personal protective equipment for GMAW</w:t>
            </w:r>
          </w:p>
          <w:p w:rsidR="00000000" w:rsidRPr="00FC15E0" w:rsidP="00FC15E0">
            <w:pPr>
              <w:pStyle w:val="ListBullet"/>
            </w:pPr>
            <w:r w:rsidRPr="00FC15E0">
              <w:t>interpreting weld requirements and specifications</w:t>
            </w:r>
          </w:p>
          <w:p w:rsidR="00000000" w:rsidRPr="00FC15E0" w:rsidP="00FC15E0">
            <w:pPr>
              <w:pStyle w:val="ListBullet"/>
            </w:pPr>
            <w:r w:rsidRPr="00FC15E0">
              <w:t>entering information onto proformas and standard workplace forms</w:t>
            </w:r>
          </w:p>
          <w:p w:rsidR="00000000" w:rsidRPr="00FC15E0" w:rsidP="00FC15E0">
            <w:pPr>
              <w:pStyle w:val="ListBullet"/>
            </w:pPr>
            <w:r w:rsidRPr="00FC15E0">
              <w:t>interpreting technical drawings and weld specific</w:t>
            </w:r>
            <w:r w:rsidRPr="00FC15E0">
              <w:t>ations relating to advanced GMAW</w:t>
            </w:r>
          </w:p>
          <w:p w:rsidR="00000000" w:rsidRPr="00FC15E0" w:rsidP="00FC15E0">
            <w:pPr>
              <w:pStyle w:val="ListBullet"/>
            </w:pPr>
            <w:r w:rsidRPr="00FC15E0">
              <w:t>using hand and power tools to prepare and weld material using GMAW</w:t>
            </w:r>
          </w:p>
          <w:p w:rsidR="00000000" w:rsidRPr="00FC15E0" w:rsidP="00FC15E0">
            <w:pPr>
              <w:pStyle w:val="ListBullet"/>
            </w:pPr>
            <w:r w:rsidRPr="00FC15E0">
              <w:t>using measurement and numeracy skills relating to advanced GMAW and preparation</w:t>
            </w:r>
          </w:p>
          <w:p w:rsidR="00000000" w:rsidRPr="00FC15E0" w:rsidP="00FC15E0">
            <w:pPr>
              <w:pStyle w:val="ListBullet"/>
            </w:pPr>
            <w:r w:rsidRPr="00FC15E0">
              <w:t>selecting equipment and consumables appropriate to the task</w:t>
            </w:r>
          </w:p>
          <w:p w:rsidR="00000000" w:rsidP="00FC15E0">
            <w:pPr>
              <w:pStyle w:val="ListBullet"/>
              <w:rPr>
                <w:lang w:val="en-NZ"/>
              </w:rPr>
            </w:pPr>
            <w:r w:rsidRPr="00FC15E0">
              <w:t>using visual ide</w:t>
            </w:r>
            <w:r w:rsidRPr="00FC15E0">
              <w:t>ntification of faults/defects</w:t>
            </w:r>
          </w:p>
        </w:tc>
      </w:tr>
      <w:tr w:rsidTr="00DC0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Required knowledge</w:t>
            </w:r>
          </w:p>
        </w:tc>
      </w:tr>
      <w:tr w:rsidTr="00DC0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Look for evidence that confirms knowledge of:</w:t>
            </w:r>
          </w:p>
          <w:p w:rsidR="00000000" w:rsidRPr="00FC15E0" w:rsidP="00FC15E0">
            <w:pPr>
              <w:pStyle w:val="ListBullet"/>
            </w:pPr>
            <w:r w:rsidRPr="00FC15E0">
              <w:t>in-depth knowledge of the properties and characteristics of a wide range of materials</w:t>
            </w:r>
          </w:p>
          <w:p w:rsidR="00000000" w:rsidRPr="00FC15E0" w:rsidP="00FC15E0">
            <w:pPr>
              <w:pStyle w:val="ListBullet"/>
            </w:pPr>
            <w:r w:rsidRPr="00FC15E0">
              <w:t xml:space="preserve">requirements to conform to Australian Standard 1554 Structural Purpose, </w:t>
            </w:r>
            <w:r w:rsidRPr="00FC15E0">
              <w:t>Bureau Det Norse Verticas or equivalent</w:t>
            </w:r>
          </w:p>
          <w:p w:rsidR="00000000" w:rsidRPr="00FC15E0" w:rsidP="00FC15E0">
            <w:pPr>
              <w:pStyle w:val="ListBullet"/>
            </w:pPr>
            <w:r w:rsidRPr="00FC15E0">
              <w:t>weld procedures and requirements</w:t>
            </w:r>
          </w:p>
          <w:p w:rsidR="00000000" w:rsidRPr="00FC15E0" w:rsidP="00FC15E0">
            <w:pPr>
              <w:pStyle w:val="ListBullet"/>
            </w:pPr>
            <w:r w:rsidRPr="00FC15E0">
              <w:t>different welder identification systems such as numbering, bar coding, paint coding, letter stamps</w:t>
            </w:r>
          </w:p>
          <w:p w:rsidR="00000000" w:rsidRPr="00FC15E0" w:rsidP="00FC15E0">
            <w:pPr>
              <w:pStyle w:val="ListBullet"/>
            </w:pPr>
            <w:r w:rsidRPr="00FC15E0">
              <w:t>safe welding practices</w:t>
            </w:r>
          </w:p>
          <w:p w:rsidR="00000000" w:rsidRPr="00FC15E0" w:rsidP="00FC15E0">
            <w:pPr>
              <w:pStyle w:val="ListBullet"/>
            </w:pPr>
            <w:r w:rsidRPr="00FC15E0">
              <w:t>use and application of personal protective equipment for GMAW</w:t>
            </w:r>
          </w:p>
        </w:tc>
      </w:tr>
    </w:tbl>
    <w:p w:rsidR="00DC0E8D" w:rsidP="00FC15E0">
      <w:pPr>
        <w:pStyle w:val="BodyText"/>
      </w:pPr>
    </w:p>
    <w:p w:rsidR="00DC0E8D" w:rsidP="00FC15E0">
      <w:pPr>
        <w:pStyle w:val="BodyText"/>
      </w:pPr>
    </w:p>
    <w:p w:rsidR="00000000" w:rsidRPr="00FC15E0" w:rsidP="00FC15E0">
      <w:pPr>
        <w:pStyle w:val="AllowPageBreak"/>
      </w:pPr>
    </w:p>
    <w:p w:rsidR="00000000" w:rsidRPr="00FC15E0" w:rsidP="00FC15E0">
      <w:pPr>
        <w:pStyle w:val="Heading1"/>
      </w:pPr>
      <w:bookmarkStart w:id="10" w:name="O_244709"/>
      <w:bookmarkEnd w:id="10"/>
      <w:r w:rsidRPr="00FC15E0">
        <w:t>Evidence Guide</w:t>
      </w:r>
    </w:p>
    <w:tbl>
      <w:tblPr>
        <w:tblW w:w="9570" w:type="dxa"/>
        <w:tblLayout w:type="fixed"/>
        <w:tblCellMar>
          <w:left w:w="62" w:type="dxa"/>
          <w:right w:w="62" w:type="dxa"/>
        </w:tblCellMar>
        <w:tblLook w:val="0000"/>
      </w:tblPr>
      <w:tblGrid>
        <w:gridCol w:w="3908"/>
        <w:gridCol w:w="5662"/>
      </w:tblGrid>
      <w:tr w:rsidTr="00DC0E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EVIDENCE GUIDE</w:t>
            </w:r>
          </w:p>
        </w:tc>
      </w:tr>
      <w:tr w:rsidTr="00DC0E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The evidence guide provides advice on assessment and must be read in conjunction with the performance criteria, required skills and knowledge, </w:t>
            </w:r>
            <w:r w:rsidRPr="00FC15E0">
              <w:t>range statement and the Assessment Guidelines for the Training Package.</w:t>
            </w:r>
          </w:p>
        </w:tc>
      </w:tr>
      <w:tr w:rsidTr="00DC0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A person who demonstrates competency in this unit must be able to prepare materials, select and set up the welding equipment, carry out advanced </w:t>
            </w:r>
            <w:r w:rsidRPr="00FC15E0">
              <w:t>GMAW, inspect for and correct defects, and maintain the weld records. Competency in this unit cannot be claimed until all prerequisites have been satisfied.</w:t>
            </w:r>
          </w:p>
        </w:tc>
      </w:tr>
      <w:tr w:rsidTr="00DC0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Asses</w:t>
            </w:r>
            <w:r w:rsidRPr="00FC15E0">
              <w:t>sors must be satisfied that the candidate can competently and consistently perform all elements of the unit as specified by the criteria, including required knowledge, and be capable of applying the competency in new and different situations and contexts.</w:t>
            </w:r>
          </w:p>
        </w:tc>
      </w:tr>
      <w:tr w:rsidTr="00DC0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This unit may be assessed on the job, off the job or a combination of both on and off the job. Where assessment occurs off the job, that is the candidate is not in productive work, then an appropriate simul</w:t>
            </w:r>
            <w:r w:rsidRPr="00FC15E0">
              <w:t>ation must be used where the range of conditions reflects realistic workplace situations. The competencies covered by this unit would be demonstrated by an individual working alone or as part of a team. The assessment environment should not disadvantage th</w:t>
            </w:r>
            <w:r w:rsidRPr="00FC15E0">
              <w:t>e candidate.</w:t>
            </w:r>
          </w:p>
          <w:p w:rsidR="00000000" w:rsidP="00FC15E0">
            <w:pPr>
              <w:pStyle w:val="BodyText"/>
              <w:rPr>
                <w:lang w:val="en-NZ"/>
              </w:rPr>
            </w:pPr>
            <w:r w:rsidRPr="00FC15E0">
              <w:t>This unit could be assessed in conjunction with any other units addressing the safety, quality, communication, materials handling, recording and reporting associated with performing advanced welding using gas metal arc welding process or other</w:t>
            </w:r>
            <w:r w:rsidRPr="00FC15E0">
              <w:t xml:space="preserve"> units requiring the exercise of the skills and knowledge covered by this unit.</w:t>
            </w:r>
          </w:p>
        </w:tc>
      </w:tr>
      <w:tr w:rsidTr="00DC0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Assessors should gather a range of evidence that is valid, sufficient, current and authentic. Evidence can be gathered through a variety of ways including</w:t>
            </w:r>
            <w:r w:rsidRPr="00FC15E0">
              <w:t xml:space="preserve"> direct observation, supervisor's reports, project work, samples and questioning. Questioning techniques should not require language, literacy and numeracy skills beyond those required in this unit of competency. The candidate must have access to all tools</w:t>
            </w:r>
            <w:r w:rsidRPr="00FC15E0">
              <w:t>, equipment, materials and documentation required. The candidate must be permitted to refer to any relevant workplace procedures, product and manufacturing specifications, codes, standards, manuals and reference materials.</w:t>
            </w:r>
          </w:p>
        </w:tc>
      </w:tr>
      <w:tr w:rsidTr="00DC0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Guidance information for assessm</w:t>
            </w:r>
            <w:r w:rsidRPr="00FC15E0">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p>
        </w:tc>
      </w:tr>
    </w:tbl>
    <w:p w:rsidR="00DC0E8D" w:rsidP="00FC15E0">
      <w:pPr>
        <w:pStyle w:val="BodyText"/>
      </w:pPr>
    </w:p>
    <w:p w:rsidR="00DC0E8D" w:rsidP="00FC15E0">
      <w:pPr>
        <w:pStyle w:val="BodyText"/>
      </w:pPr>
    </w:p>
    <w:p w:rsidR="00000000" w:rsidRPr="00FC15E0" w:rsidP="00FC15E0">
      <w:pPr>
        <w:pStyle w:val="Heading1"/>
      </w:pPr>
      <w:bookmarkStart w:id="11" w:name="O_252692"/>
      <w:bookmarkEnd w:id="11"/>
      <w:r w:rsidRPr="00FC15E0">
        <w:t>Range Statement</w:t>
      </w:r>
    </w:p>
    <w:tbl>
      <w:tblPr>
        <w:tblW w:w="0" w:type="auto"/>
        <w:tblLayout w:type="fixed"/>
        <w:tblCellMar>
          <w:left w:w="62" w:type="dxa"/>
          <w:right w:w="62" w:type="dxa"/>
        </w:tblCellMar>
        <w:tblLook w:val="0000"/>
      </w:tblPr>
      <w:tblGrid>
        <w:gridCol w:w="3511"/>
        <w:gridCol w:w="5011"/>
      </w:tblGrid>
      <w:tr w:rsidTr="00DC0E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RANGE STATEMENT</w:t>
            </w:r>
          </w:p>
        </w:tc>
      </w:tr>
      <w:tr w:rsidTr="00DC0E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 xml:space="preserve">The range statement relates to the unit of competency as a whole. It allows for different work environments and situations that may affect </w:t>
            </w:r>
            <w:r w:rsidRPr="00FC15E0">
              <w:t>performance. Bold italicised wording, if used in the performance criteria, is detailed below. Essential operating conditions that may be present with training and assessment (depending on the work situation, needs of the candidate, accessibility of the ite</w:t>
            </w:r>
            <w:r w:rsidRPr="00FC15E0">
              <w:t>m, and local industry and regional contexts) may also be included.</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Welding equipment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AC or DC welding machines, settings, electrodes and related equipment</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Preparing materials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Preheating, setting up of jigs, fixtures, clamps, etc., joint preparation e.g. bevelling</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Materials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Low carbon, cast iron, stainless and low alloy steel, aluminium and aluminium alloys</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Welds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Fillet and butt in all positions</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Distortion prevention measures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Preheating, setting up of jigs, fixtures, clamps, etc.</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Defects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Porosity, slag inclusions, discontinuities, lack of penetration, undercut</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Appropriate methods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t>Oxy acetylene arc equipment, grinding devices</w:t>
            </w:r>
          </w:p>
        </w:tc>
      </w:tr>
      <w:tr w:rsidTr="00DC0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Weld records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Proformas and other standard workpla</w:t>
            </w:r>
            <w:r w:rsidRPr="00FC15E0">
              <w:t>ce forms</w:t>
            </w:r>
          </w:p>
        </w:tc>
      </w:tr>
    </w:tbl>
    <w:p w:rsidR="00DC0E8D" w:rsidP="00FC15E0">
      <w:pPr>
        <w:pStyle w:val="BodyText"/>
      </w:pPr>
    </w:p>
    <w:p w:rsidR="00DC0E8D" w:rsidP="00FC15E0">
      <w:pPr>
        <w:pStyle w:val="BodyText"/>
      </w:pPr>
    </w:p>
    <w:p w:rsidR="00000000" w:rsidRPr="00FC15E0" w:rsidP="00FC15E0">
      <w:pPr>
        <w:pStyle w:val="Heading1"/>
      </w:pPr>
      <w:bookmarkStart w:id="12" w:name="O_210528"/>
      <w:bookmarkEnd w:id="12"/>
      <w:r w:rsidRPr="00FC15E0">
        <w:t>Unit Sector(s)</w:t>
      </w:r>
    </w:p>
    <w:tbl>
      <w:tblPr>
        <w:tblW w:w="0" w:type="auto"/>
        <w:tblLayout w:type="fixed"/>
        <w:tblCellMar>
          <w:left w:w="62" w:type="dxa"/>
          <w:right w:w="62" w:type="dxa"/>
        </w:tblCellMar>
        <w:tblLook w:val="0000"/>
      </w:tblPr>
      <w:tblGrid>
        <w:gridCol w:w="2654"/>
        <w:gridCol w:w="5868"/>
      </w:tblGrid>
      <w:tr w:rsidTr="00DC0E8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p>
        </w:tc>
      </w:tr>
    </w:tbl>
    <w:p w:rsidR="00DC0E8D" w:rsidP="00FC15E0">
      <w:pPr>
        <w:pStyle w:val="BodyText"/>
      </w:pPr>
    </w:p>
    <w:p w:rsidR="00DC0E8D" w:rsidP="00FC15E0">
      <w:pPr>
        <w:pStyle w:val="BodyText"/>
      </w:pPr>
    </w:p>
    <w:p w:rsidR="00000000" w:rsidRPr="00FC15E0" w:rsidP="00FC15E0">
      <w:pPr>
        <w:pStyle w:val="Heading1"/>
      </w:pPr>
      <w:bookmarkStart w:id="13" w:name="O_210525"/>
      <w:bookmarkEnd w:id="13"/>
      <w:r w:rsidRPr="00FC15E0">
        <w:t>Co-requisite units</w:t>
      </w:r>
    </w:p>
    <w:tbl>
      <w:tblPr>
        <w:tblW w:w="0" w:type="auto"/>
        <w:tblLayout w:type="fixed"/>
        <w:tblCellMar>
          <w:left w:w="62" w:type="dxa"/>
          <w:right w:w="62" w:type="dxa"/>
        </w:tblCellMar>
        <w:tblLook w:val="0000"/>
      </w:tblPr>
      <w:tblGrid>
        <w:gridCol w:w="2641"/>
        <w:gridCol w:w="1322"/>
        <w:gridCol w:w="4559"/>
      </w:tblGrid>
      <w:tr w:rsidTr="00DC0E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p>
        </w:tc>
      </w:tr>
      <w:tr w:rsidTr="00DC0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p>
        </w:tc>
      </w:tr>
      <w:tr w:rsidTr="00DC0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p>
        </w:tc>
      </w:tr>
    </w:tbl>
    <w:p w:rsidR="00DC0E8D" w:rsidP="00FC15E0">
      <w:pPr>
        <w:pStyle w:val="BodyText"/>
      </w:pPr>
    </w:p>
    <w:p w:rsidR="00DC0E8D" w:rsidP="00FC15E0">
      <w:pPr>
        <w:pStyle w:val="BodyText"/>
      </w:pPr>
    </w:p>
    <w:p w:rsidR="00000000" w:rsidRPr="00FC15E0" w:rsidP="00FC15E0">
      <w:pPr>
        <w:pStyle w:val="Heading1"/>
      </w:pPr>
      <w:bookmarkStart w:id="14" w:name="O_210527"/>
      <w:bookmarkEnd w:id="14"/>
      <w:r w:rsidRPr="00FC15E0">
        <w:t>Competency field</w:t>
      </w:r>
    </w:p>
    <w:tbl>
      <w:tblPr>
        <w:tblW w:w="0" w:type="auto"/>
        <w:tblLayout w:type="fixed"/>
        <w:tblCellMar>
          <w:left w:w="62" w:type="dxa"/>
          <w:right w:w="62" w:type="dxa"/>
        </w:tblCellMar>
        <w:tblLook w:val="0000"/>
      </w:tblPr>
      <w:tblGrid>
        <w:gridCol w:w="2776"/>
        <w:gridCol w:w="5746"/>
      </w:tblGrid>
      <w:tr w:rsidTr="00DC0E8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5E0">
            <w:pPr>
              <w:pStyle w:val="BodyText"/>
              <w:rPr>
                <w:lang w:val="en-NZ"/>
              </w:rPr>
            </w:pPr>
            <w:r w:rsidRPr="00FC15E0">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5E0" w:rsidP="00FC15E0">
            <w:pPr>
              <w:pStyle w:val="BodyText"/>
            </w:pPr>
            <w:r w:rsidRPr="00FC15E0">
              <w:t>Fabrication</w:t>
            </w:r>
          </w:p>
        </w:tc>
      </w:tr>
    </w:tbl>
    <w:p w:rsidR="00DC0E8D" w:rsidP="00FC15E0">
      <w:pPr>
        <w:pStyle w:val="BodyText"/>
      </w:pPr>
    </w:p>
    <w:p w:rsidR="00DC0E8D" w:rsidP="00FC15E0">
      <w:pPr>
        <w:pStyle w:val="BodyText"/>
      </w:pPr>
    </w:p>
    <w:p w:rsidR="00000000" w:rsidRPr="00FC15E0" w:rsidP="00FC15E0"/>
    <w:sectPr w:rsidSect="00FC15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E8D" w:rsidP="00DC0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8D" w:rsidP="00FC1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C0E8D" w:rsidP="00FC15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0E8D" w:rsidP="00FC15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0E8D" w:rsidP="00DC0E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8D" w:rsidP="00FC15E0">
    <w:pPr>
      <w:pStyle w:val="Header"/>
      <w:framePr w:wrap="around"/>
    </w:pPr>
    <w:r>
      <w:fldChar w:fldCharType="begin"/>
    </w:r>
    <w:r>
      <w:instrText xml:space="preserve"> TITLE   \* MERGEFORMAT </w:instrText>
    </w:r>
    <w:r>
      <w:fldChar w:fldCharType="separate"/>
    </w:r>
    <w:r>
      <w:t>MEM05018C Perform advanced welding using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0E8D" w:rsidP="00FC15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2E84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E21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5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15E0"/>
    <w:pPr>
      <w:spacing w:before="360" w:after="60"/>
      <w:outlineLvl w:val="0"/>
    </w:pPr>
    <w:rPr>
      <w:sz w:val="32"/>
    </w:rPr>
  </w:style>
  <w:style w:type="paragraph" w:styleId="Heading2">
    <w:name w:val="heading 2"/>
    <w:basedOn w:val="HeadingBase"/>
    <w:next w:val="BodyText"/>
    <w:link w:val="Heading2Char"/>
    <w:qFormat/>
    <w:rsid w:val="00FC15E0"/>
    <w:pPr>
      <w:keepLines/>
      <w:spacing w:before="240" w:after="120"/>
      <w:outlineLvl w:val="1"/>
    </w:pPr>
    <w:rPr>
      <w:sz w:val="28"/>
      <w:szCs w:val="40"/>
    </w:rPr>
  </w:style>
  <w:style w:type="paragraph" w:styleId="Heading3">
    <w:name w:val="heading 3"/>
    <w:basedOn w:val="HeadingBase"/>
    <w:next w:val="BodyText"/>
    <w:link w:val="Heading3Char"/>
    <w:qFormat/>
    <w:rsid w:val="00FC15E0"/>
    <w:pPr>
      <w:spacing w:before="180" w:after="120"/>
      <w:outlineLvl w:val="2"/>
    </w:pPr>
    <w:rPr>
      <w:spacing w:val="-10"/>
      <w:kern w:val="32"/>
    </w:rPr>
  </w:style>
  <w:style w:type="paragraph" w:styleId="Heading4">
    <w:name w:val="heading 4"/>
    <w:basedOn w:val="HeadingBase"/>
    <w:next w:val="BodyText"/>
    <w:link w:val="Heading4Char"/>
    <w:qFormat/>
    <w:rsid w:val="00FC15E0"/>
    <w:pPr>
      <w:spacing w:before="160" w:after="120"/>
      <w:outlineLvl w:val="3"/>
    </w:pPr>
    <w:rPr>
      <w:sz w:val="22"/>
    </w:rPr>
  </w:style>
  <w:style w:type="paragraph" w:styleId="Heading5">
    <w:name w:val="heading 5"/>
    <w:basedOn w:val="HeadingBase"/>
    <w:next w:val="Normal"/>
    <w:link w:val="Heading5Char"/>
    <w:qFormat/>
    <w:rsid w:val="00FC15E0"/>
    <w:pPr>
      <w:spacing w:before="80"/>
      <w:outlineLvl w:val="4"/>
    </w:pPr>
    <w:rPr>
      <w:color w:val="918585"/>
      <w:sz w:val="20"/>
    </w:rPr>
  </w:style>
  <w:style w:type="paragraph" w:styleId="Heading6">
    <w:name w:val="heading 6"/>
    <w:basedOn w:val="HeadingBase"/>
    <w:next w:val="Normal"/>
    <w:link w:val="Heading6Char"/>
    <w:qFormat/>
    <w:rsid w:val="00FC15E0"/>
    <w:pPr>
      <w:spacing w:before="60"/>
      <w:outlineLvl w:val="5"/>
    </w:pPr>
    <w:rPr>
      <w:color w:val="918585"/>
      <w:sz w:val="20"/>
    </w:rPr>
  </w:style>
  <w:style w:type="paragraph" w:styleId="Heading7">
    <w:name w:val="heading 7"/>
    <w:basedOn w:val="Normal"/>
    <w:next w:val="Normal"/>
    <w:link w:val="Heading7Char"/>
    <w:qFormat/>
    <w:rsid w:val="00FC15E0"/>
    <w:pPr>
      <w:ind w:left="720"/>
      <w:outlineLvl w:val="6"/>
    </w:pPr>
    <w:rPr>
      <w:i/>
    </w:rPr>
  </w:style>
  <w:style w:type="paragraph" w:styleId="Heading8">
    <w:name w:val="heading 8"/>
    <w:basedOn w:val="Normal"/>
    <w:next w:val="Normal"/>
    <w:link w:val="Heading8Char"/>
    <w:qFormat/>
    <w:rsid w:val="00FC15E0"/>
    <w:pPr>
      <w:ind w:left="720"/>
      <w:outlineLvl w:val="7"/>
    </w:pPr>
    <w:rPr>
      <w:i/>
    </w:rPr>
  </w:style>
  <w:style w:type="paragraph" w:styleId="Heading9">
    <w:name w:val="heading 9"/>
    <w:basedOn w:val="Normal"/>
    <w:next w:val="Normal"/>
    <w:link w:val="Heading9Char"/>
    <w:qFormat/>
    <w:rsid w:val="00FC15E0"/>
    <w:pPr>
      <w:ind w:left="720"/>
      <w:outlineLvl w:val="8"/>
    </w:pPr>
    <w:rPr>
      <w:i/>
    </w:rPr>
  </w:style>
  <w:style w:type="character" w:default="1" w:styleId="DefaultParagraphFont">
    <w:name w:val="Default Paragraph Font"/>
    <w:uiPriority w:val="1"/>
    <w:unhideWhenUsed/>
    <w:rsid w:val="00FC1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5E0"/>
  </w:style>
  <w:style w:type="character" w:customStyle="1" w:styleId="Heading1Char">
    <w:name w:val="Heading 1 Char"/>
    <w:basedOn w:val="DefaultParagraphFont"/>
    <w:link w:val="Heading1"/>
    <w:rsid w:val="00FC15E0"/>
    <w:rPr>
      <w:rFonts w:ascii="Times New Roman" w:eastAsia="Times New Roman" w:hAnsi="Times New Roman" w:cs="Times New Roman"/>
      <w:b/>
      <w:sz w:val="32"/>
      <w:szCs w:val="20"/>
      <w:lang w:eastAsia="en-US"/>
    </w:rPr>
  </w:style>
  <w:style w:type="paragraph" w:styleId="BodyText">
    <w:name w:val="Body Text"/>
    <w:basedOn w:val="Normal"/>
    <w:link w:val="BodyTextChar"/>
    <w:rsid w:val="00FC15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15E0"/>
    <w:rPr>
      <w:rFonts w:ascii="Times New Roman" w:eastAsia="Times New Roman" w:hAnsi="Times New Roman" w:cs="Times New Roman"/>
      <w:sz w:val="24"/>
      <w:lang w:val="en-US" w:eastAsia="en-US"/>
    </w:rPr>
  </w:style>
  <w:style w:type="paragraph" w:styleId="Footer">
    <w:name w:val="footer"/>
    <w:basedOn w:val="Normal"/>
    <w:link w:val="FooterChar"/>
    <w:rsid w:val="00FC1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5E0"/>
    <w:rPr>
      <w:rFonts w:ascii="Times New Roman" w:eastAsia="Times New Roman" w:hAnsi="Times New Roman" w:cs="Times New Roman"/>
      <w:sz w:val="16"/>
      <w:lang w:val="en-US" w:eastAsia="en-US"/>
    </w:rPr>
  </w:style>
  <w:style w:type="paragraph" w:styleId="List">
    <w:name w:val="List"/>
    <w:basedOn w:val="BodyText"/>
    <w:next w:val="BodyText"/>
    <w:rsid w:val="00FC15E0"/>
    <w:pPr>
      <w:tabs>
        <w:tab w:val="left" w:pos="340"/>
      </w:tabs>
      <w:spacing w:before="60" w:after="60"/>
      <w:ind w:left="340" w:hanging="340"/>
    </w:pPr>
  </w:style>
  <w:style w:type="paragraph" w:styleId="ListBullet">
    <w:name w:val="List Bullet"/>
    <w:basedOn w:val="List"/>
    <w:rsid w:val="00FC15E0"/>
    <w:pPr>
      <w:numPr>
        <w:numId w:val="12"/>
      </w:numPr>
      <w:tabs>
        <w:tab w:val="clear" w:pos="340"/>
      </w:tabs>
      <w:spacing w:before="40" w:after="40"/>
    </w:pPr>
  </w:style>
  <w:style w:type="character" w:customStyle="1" w:styleId="SpecialBold">
    <w:name w:val="Special Bold"/>
    <w:basedOn w:val="DefaultParagraphFont"/>
    <w:rsid w:val="00FC15E0"/>
    <w:rPr>
      <w:b/>
      <w:spacing w:val="0"/>
    </w:rPr>
  </w:style>
  <w:style w:type="paragraph" w:styleId="Header">
    <w:name w:val="header"/>
    <w:basedOn w:val="Normal"/>
    <w:link w:val="HeaderChar"/>
    <w:rsid w:val="00FC1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5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15E0"/>
    <w:pPr>
      <w:spacing w:before="240" w:after="120"/>
      <w:outlineLvl w:val="0"/>
    </w:pPr>
    <w:rPr>
      <w:rFonts w:ascii="Times New Roman" w:hAnsi="Times New Roman"/>
      <w:b/>
      <w:sz w:val="28"/>
    </w:rPr>
  </w:style>
  <w:style w:type="paragraph" w:customStyle="1" w:styleId="AllowPageBreak">
    <w:name w:val="AllowPageBreak"/>
    <w:rsid w:val="00FC15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C15E0"/>
    <w:pPr>
      <w:tabs>
        <w:tab w:val="left" w:pos="680"/>
      </w:tabs>
      <w:spacing w:before="60" w:after="60"/>
      <w:ind w:left="680" w:hanging="340"/>
    </w:pPr>
  </w:style>
  <w:style w:type="character" w:customStyle="1" w:styleId="Heading2Char">
    <w:name w:val="Heading 2 Char"/>
    <w:basedOn w:val="DefaultParagraphFont"/>
    <w:link w:val="Heading2"/>
    <w:rsid w:val="00FC1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5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15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15E0"/>
    <w:rPr>
      <w:rFonts w:ascii="Courier New" w:eastAsia="Times New Roman" w:hAnsi="Courier New" w:cs="Times New Roman"/>
      <w:i/>
      <w:szCs w:val="20"/>
      <w:lang w:val="en-US" w:eastAsia="en-US"/>
    </w:rPr>
  </w:style>
  <w:style w:type="paragraph" w:customStyle="1" w:styleId="HeadingBase">
    <w:name w:val="Heading Base"/>
    <w:rsid w:val="00FC1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5E0"/>
    <w:pPr>
      <w:tabs>
        <w:tab w:val="right" w:leader="dot" w:pos="9072"/>
      </w:tabs>
      <w:ind w:left="567"/>
    </w:pPr>
    <w:rPr>
      <w:szCs w:val="22"/>
    </w:rPr>
  </w:style>
  <w:style w:type="paragraph" w:customStyle="1" w:styleId="TOCBase">
    <w:name w:val="TOC Base"/>
    <w:rsid w:val="00FC1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5E0"/>
    <w:pPr>
      <w:tabs>
        <w:tab w:val="right" w:leader="dot" w:pos="9072"/>
      </w:tabs>
      <w:spacing w:before="40" w:after="40"/>
      <w:ind w:left="284"/>
    </w:pPr>
    <w:rPr>
      <w:rFonts w:ascii="Times New Roman" w:hAnsi="Times New Roman"/>
    </w:rPr>
  </w:style>
  <w:style w:type="paragraph" w:styleId="TOC1">
    <w:name w:val="toc 1"/>
    <w:basedOn w:val="TOCBase"/>
    <w:next w:val="Normal"/>
    <w:rsid w:val="00FC15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15E0"/>
    <w:pPr>
      <w:spacing w:before="5040"/>
      <w:jc w:val="center"/>
    </w:pPr>
    <w:rPr>
      <w:sz w:val="48"/>
      <w:szCs w:val="72"/>
      <w:lang w:val="en-US"/>
    </w:rPr>
  </w:style>
  <w:style w:type="character" w:customStyle="1" w:styleId="TitleChar">
    <w:name w:val="Title Char"/>
    <w:basedOn w:val="DefaultParagraphFont"/>
    <w:link w:val="Title"/>
    <w:rsid w:val="00FC1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5E0"/>
    <w:pPr>
      <w:tabs>
        <w:tab w:val="left" w:pos="3600"/>
        <w:tab w:val="left" w:pos="3958"/>
      </w:tabs>
    </w:pPr>
  </w:style>
  <w:style w:type="paragraph" w:customStyle="1" w:styleId="Note">
    <w:name w:val="Note"/>
    <w:basedOn w:val="BodyText"/>
    <w:rsid w:val="00FC15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5E0"/>
    <w:pPr>
      <w:framePr w:wrap="auto" w:hAnchor="text" w:y="6049"/>
    </w:pPr>
    <w:rPr>
      <w:color w:val="000000"/>
      <w:sz w:val="40"/>
    </w:rPr>
  </w:style>
  <w:style w:type="paragraph" w:customStyle="1" w:styleId="TOCTitle">
    <w:name w:val="TOCTitle"/>
    <w:basedOn w:val="Heading1"/>
    <w:rsid w:val="00FC15E0"/>
    <w:pPr>
      <w:spacing w:after="240"/>
      <w:jc w:val="center"/>
      <w:outlineLvl w:val="9"/>
    </w:pPr>
    <w:rPr>
      <w:caps/>
    </w:rPr>
  </w:style>
  <w:style w:type="paragraph" w:customStyle="1" w:styleId="Version">
    <w:name w:val="Version"/>
    <w:rsid w:val="00FC15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5E0"/>
    <w:pPr>
      <w:numPr>
        <w:numId w:val="13"/>
      </w:numPr>
      <w:tabs>
        <w:tab w:val="clear" w:pos="680"/>
      </w:tabs>
    </w:pPr>
  </w:style>
  <w:style w:type="paragraph" w:styleId="Index1">
    <w:name w:val="index 1"/>
    <w:basedOn w:val="Normal"/>
    <w:next w:val="Normal"/>
    <w:semiHidden/>
    <w:rsid w:val="00FC15E0"/>
    <w:pPr>
      <w:keepNext w:val="0"/>
      <w:tabs>
        <w:tab w:val="right" w:pos="4176"/>
      </w:tabs>
      <w:ind w:left="198" w:hanging="198"/>
    </w:pPr>
    <w:rPr>
      <w:rFonts w:ascii="Garamond" w:hAnsi="Garamond"/>
    </w:rPr>
  </w:style>
  <w:style w:type="paragraph" w:styleId="IndexHeading">
    <w:name w:val="index heading"/>
    <w:basedOn w:val="Normal"/>
    <w:next w:val="Index1"/>
    <w:semiHidden/>
    <w:rsid w:val="00FC15E0"/>
    <w:pPr>
      <w:spacing w:before="120" w:after="120"/>
    </w:pPr>
    <w:rPr>
      <w:rFonts w:ascii="Arial" w:hAnsi="Arial"/>
      <w:b/>
      <w:color w:val="918585"/>
      <w:sz w:val="24"/>
    </w:rPr>
  </w:style>
  <w:style w:type="paragraph" w:customStyle="1" w:styleId="Chapter">
    <w:name w:val="Chapter"/>
    <w:basedOn w:val="Normal"/>
    <w:rsid w:val="00FC15E0"/>
    <w:pPr>
      <w:spacing w:before="240"/>
    </w:pPr>
    <w:rPr>
      <w:rFonts w:ascii="Times New Roman" w:hAnsi="Times New Roman"/>
      <w:smallCaps/>
      <w:spacing w:val="80"/>
      <w:sz w:val="28"/>
    </w:rPr>
  </w:style>
  <w:style w:type="paragraph" w:customStyle="1" w:styleId="InChapter">
    <w:name w:val="InChapter"/>
    <w:basedOn w:val="Heading3"/>
    <w:rsid w:val="00FC15E0"/>
    <w:pPr>
      <w:spacing w:after="240"/>
      <w:outlineLvl w:val="9"/>
    </w:pPr>
    <w:rPr>
      <w:noProof/>
    </w:rPr>
  </w:style>
  <w:style w:type="paragraph" w:styleId="Index2">
    <w:name w:val="index 2"/>
    <w:basedOn w:val="Normal"/>
    <w:next w:val="Normal"/>
    <w:semiHidden/>
    <w:rsid w:val="00FC15E0"/>
    <w:pPr>
      <w:tabs>
        <w:tab w:val="right" w:pos="4176"/>
      </w:tabs>
      <w:ind w:left="568" w:hanging="284"/>
    </w:pPr>
    <w:rPr>
      <w:rFonts w:ascii="Garamond" w:hAnsi="Garamond"/>
    </w:rPr>
  </w:style>
  <w:style w:type="paragraph" w:customStyle="1" w:styleId="Byline">
    <w:name w:val="Byline"/>
    <w:rsid w:val="00FC1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5E0"/>
    <w:pPr>
      <w:tabs>
        <w:tab w:val="clear" w:pos="3600"/>
        <w:tab w:val="clear" w:pos="3958"/>
      </w:tabs>
      <w:jc w:val="right"/>
    </w:pPr>
  </w:style>
  <w:style w:type="character" w:styleId="Emphasis">
    <w:name w:val="Emphasis"/>
    <w:basedOn w:val="DefaultParagraphFont"/>
    <w:qFormat/>
    <w:rsid w:val="00FC15E0"/>
    <w:rPr>
      <w:i/>
    </w:rPr>
  </w:style>
  <w:style w:type="paragraph" w:styleId="Caption">
    <w:name w:val="caption"/>
    <w:basedOn w:val="BodyText"/>
    <w:next w:val="Normal"/>
    <w:qFormat/>
    <w:rsid w:val="00FC15E0"/>
    <w:pPr>
      <w:framePr w:w="2268" w:hSpace="181" w:vSpace="181" w:wrap="around" w:vAnchor="text" w:hAnchor="page" w:x="1135" w:y="285" w:anchorLock="1"/>
    </w:pPr>
    <w:rPr>
      <w:i/>
    </w:rPr>
  </w:style>
  <w:style w:type="paragraph" w:customStyle="1" w:styleId="MiniTOCTitle">
    <w:name w:val="MiniTOCTitle"/>
    <w:basedOn w:val="Heading4"/>
    <w:rsid w:val="00FC15E0"/>
    <w:pPr>
      <w:spacing w:before="240"/>
      <w:outlineLvl w:val="9"/>
    </w:pPr>
    <w:rPr>
      <w:noProof/>
      <w:sz w:val="24"/>
    </w:rPr>
  </w:style>
  <w:style w:type="paragraph" w:customStyle="1" w:styleId="MiniTOCItem">
    <w:name w:val="MiniTOCItem"/>
    <w:basedOn w:val="ListBullet"/>
    <w:rsid w:val="00FC15E0"/>
    <w:pPr>
      <w:numPr>
        <w:numId w:val="0"/>
      </w:numPr>
      <w:tabs>
        <w:tab w:val="right" w:leader="dot" w:pos="6521"/>
      </w:tabs>
      <w:spacing w:before="0" w:after="0"/>
    </w:pPr>
  </w:style>
  <w:style w:type="paragraph" w:customStyle="1" w:styleId="TOFTitle">
    <w:name w:val="TOFTitle"/>
    <w:basedOn w:val="TOCTitle"/>
    <w:rsid w:val="00FC15E0"/>
  </w:style>
  <w:style w:type="paragraph" w:styleId="TableofFigures">
    <w:name w:val="table of figures"/>
    <w:basedOn w:val="Normal"/>
    <w:next w:val="Normal"/>
    <w:semiHidden/>
    <w:rsid w:val="00FC15E0"/>
    <w:pPr>
      <w:tabs>
        <w:tab w:val="right" w:leader="dot" w:pos="9072"/>
      </w:tabs>
      <w:ind w:left="970" w:hanging="403"/>
    </w:pPr>
    <w:rPr>
      <w:rFonts w:ascii="Times New Roman" w:hAnsi="Times New Roman"/>
      <w:b/>
    </w:rPr>
  </w:style>
  <w:style w:type="paragraph" w:styleId="ListNumber">
    <w:name w:val="List Number"/>
    <w:basedOn w:val="List"/>
    <w:rsid w:val="00FC15E0"/>
    <w:pPr>
      <w:numPr>
        <w:numId w:val="10"/>
      </w:numPr>
    </w:pPr>
  </w:style>
  <w:style w:type="character" w:customStyle="1" w:styleId="WingdingSymbols">
    <w:name w:val="Wingding Symbols"/>
    <w:rsid w:val="00FC15E0"/>
    <w:rPr>
      <w:rFonts w:ascii="Wingdings" w:hAnsi="Wingdings"/>
    </w:rPr>
  </w:style>
  <w:style w:type="paragraph" w:customStyle="1" w:styleId="TableHeading">
    <w:name w:val="Table Heading"/>
    <w:basedOn w:val="HeadingBase"/>
    <w:rsid w:val="00FC15E0"/>
    <w:pPr>
      <w:keepLines/>
      <w:pBdr>
        <w:bottom w:val="single" w:sz="6" w:space="1" w:color="918585"/>
      </w:pBdr>
      <w:spacing w:before="240"/>
    </w:pPr>
  </w:style>
  <w:style w:type="character" w:customStyle="1" w:styleId="HotSpot">
    <w:name w:val="HotSpot"/>
    <w:rsid w:val="00FC15E0"/>
    <w:rPr>
      <w:color w:val="0033CC"/>
      <w:u w:val="none"/>
    </w:rPr>
  </w:style>
  <w:style w:type="paragraph" w:customStyle="1" w:styleId="BodyTextRight">
    <w:name w:val="Body Text Right"/>
    <w:basedOn w:val="BodyText"/>
    <w:rsid w:val="00FC15E0"/>
    <w:pPr>
      <w:spacing w:before="0" w:after="0"/>
      <w:jc w:val="right"/>
    </w:pPr>
  </w:style>
  <w:style w:type="paragraph" w:styleId="Index3">
    <w:name w:val="index 3"/>
    <w:basedOn w:val="ListNumber2"/>
    <w:next w:val="Normal"/>
    <w:semiHidden/>
    <w:rsid w:val="00FC15E0"/>
    <w:pPr>
      <w:numPr>
        <w:numId w:val="0"/>
      </w:numPr>
      <w:tabs>
        <w:tab w:val="right" w:leader="dot" w:pos="4176"/>
      </w:tabs>
    </w:pPr>
  </w:style>
  <w:style w:type="paragraph" w:styleId="ListNumber2">
    <w:name w:val="List Number 2"/>
    <w:basedOn w:val="List2"/>
    <w:rsid w:val="00FC15E0"/>
    <w:pPr>
      <w:numPr>
        <w:numId w:val="9"/>
      </w:numPr>
      <w:tabs>
        <w:tab w:val="clear" w:pos="1060"/>
      </w:tabs>
    </w:pPr>
  </w:style>
  <w:style w:type="paragraph" w:customStyle="1" w:styleId="MarginNote">
    <w:name w:val="Margin Note"/>
    <w:basedOn w:val="BodyText"/>
    <w:rsid w:val="00FC1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5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15E0"/>
    <w:rPr>
      <w:sz w:val="32"/>
    </w:rPr>
  </w:style>
  <w:style w:type="paragraph" w:customStyle="1" w:styleId="HeadingProcedure">
    <w:name w:val="Heading Procedure"/>
    <w:basedOn w:val="HeadingBase"/>
    <w:next w:val="Normal"/>
    <w:rsid w:val="00FC15E0"/>
    <w:pPr>
      <w:tabs>
        <w:tab w:val="left" w:pos="0"/>
      </w:tabs>
      <w:spacing w:before="120" w:after="60"/>
    </w:pPr>
    <w:rPr>
      <w:i/>
      <w:color w:val="918585"/>
      <w:sz w:val="22"/>
    </w:rPr>
  </w:style>
  <w:style w:type="paragraph" w:customStyle="1" w:styleId="TableBodyText">
    <w:name w:val="Table Body Text"/>
    <w:basedOn w:val="BodyText"/>
    <w:rsid w:val="00FC15E0"/>
    <w:pPr>
      <w:spacing w:before="60" w:after="60"/>
    </w:pPr>
  </w:style>
  <w:style w:type="paragraph" w:styleId="ListContinue">
    <w:name w:val="List Continue"/>
    <w:basedOn w:val="List"/>
    <w:rsid w:val="00FC15E0"/>
    <w:pPr>
      <w:ind w:firstLine="0"/>
    </w:pPr>
  </w:style>
  <w:style w:type="paragraph" w:customStyle="1" w:styleId="ListNote">
    <w:name w:val="List Note"/>
    <w:basedOn w:val="List"/>
    <w:rsid w:val="00FC15E0"/>
    <w:pPr>
      <w:pBdr>
        <w:top w:val="single" w:sz="6" w:space="2" w:color="918585"/>
        <w:bottom w:val="single" w:sz="6" w:space="2" w:color="918585"/>
      </w:pBdr>
      <w:tabs>
        <w:tab w:val="left" w:pos="1021"/>
      </w:tabs>
      <w:ind w:firstLine="0"/>
    </w:pPr>
  </w:style>
  <w:style w:type="paragraph" w:customStyle="1" w:styleId="Warning">
    <w:name w:val="Warning"/>
    <w:basedOn w:val="BodyText"/>
    <w:rsid w:val="00FC15E0"/>
    <w:pPr>
      <w:shd w:val="clear" w:color="auto" w:fill="D9D9D9"/>
      <w:tabs>
        <w:tab w:val="left" w:pos="992"/>
      </w:tabs>
      <w:ind w:left="119" w:right="119"/>
    </w:pPr>
    <w:rPr>
      <w:sz w:val="20"/>
    </w:rPr>
  </w:style>
  <w:style w:type="paragraph" w:customStyle="1" w:styleId="MarginIcons">
    <w:name w:val="Margin Icons"/>
    <w:basedOn w:val="BodyText"/>
    <w:rsid w:val="00FC1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5E0"/>
    <w:rPr>
      <w:rFonts w:ascii="Courier New" w:hAnsi="Courier New"/>
    </w:rPr>
  </w:style>
  <w:style w:type="paragraph" w:customStyle="1" w:styleId="NoteBullet">
    <w:name w:val="Note Bullet"/>
    <w:basedOn w:val="Note"/>
    <w:rsid w:val="00FC15E0"/>
    <w:pPr>
      <w:tabs>
        <w:tab w:val="clear" w:pos="680"/>
      </w:tabs>
      <w:spacing w:before="60" w:after="60"/>
    </w:pPr>
  </w:style>
  <w:style w:type="paragraph" w:customStyle="1" w:styleId="SubHeading2">
    <w:name w:val="SubHeading2"/>
    <w:basedOn w:val="HeadingBase"/>
    <w:rsid w:val="00FC15E0"/>
    <w:pPr>
      <w:spacing w:before="240" w:after="60"/>
    </w:pPr>
    <w:rPr>
      <w:sz w:val="20"/>
    </w:rPr>
  </w:style>
  <w:style w:type="paragraph" w:customStyle="1" w:styleId="SubHeading1">
    <w:name w:val="SubHeading1"/>
    <w:basedOn w:val="HeadingBase"/>
    <w:rsid w:val="00FC15E0"/>
    <w:pPr>
      <w:spacing w:before="240" w:after="60"/>
    </w:pPr>
    <w:rPr>
      <w:color w:val="918585"/>
      <w:sz w:val="22"/>
    </w:rPr>
  </w:style>
  <w:style w:type="paragraph" w:customStyle="1" w:styleId="SideHeading">
    <w:name w:val="Side Heading"/>
    <w:basedOn w:val="HeadingBase"/>
    <w:rsid w:val="00FC1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5E0"/>
    <w:pPr>
      <w:tabs>
        <w:tab w:val="num" w:pos="360"/>
      </w:tabs>
    </w:pPr>
  </w:style>
  <w:style w:type="paragraph" w:styleId="PlainText">
    <w:name w:val="Plain Text"/>
    <w:basedOn w:val="Normal"/>
    <w:link w:val="PlainTextChar"/>
    <w:rsid w:val="00FC15E0"/>
    <w:rPr>
      <w:sz w:val="20"/>
    </w:rPr>
  </w:style>
  <w:style w:type="character" w:customStyle="1" w:styleId="PlainTextChar">
    <w:name w:val="Plain Text Char"/>
    <w:basedOn w:val="DefaultParagraphFont"/>
    <w:link w:val="PlainText"/>
    <w:rsid w:val="00FC15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15E0"/>
    <w:rPr>
      <w:b/>
      <w:smallCaps/>
    </w:rPr>
  </w:style>
  <w:style w:type="paragraph" w:customStyle="1" w:styleId="TableListNumber">
    <w:name w:val="Table List Number"/>
    <w:basedOn w:val="ListNumber"/>
    <w:rsid w:val="00FC15E0"/>
    <w:pPr>
      <w:numPr>
        <w:numId w:val="0"/>
      </w:numPr>
    </w:pPr>
  </w:style>
  <w:style w:type="paragraph" w:styleId="TOC4">
    <w:name w:val="toc 4"/>
    <w:basedOn w:val="TOCBase"/>
    <w:next w:val="Normal"/>
    <w:semiHidden/>
    <w:rsid w:val="00FC15E0"/>
    <w:pPr>
      <w:tabs>
        <w:tab w:val="right" w:leader="dot" w:pos="9071"/>
      </w:tabs>
      <w:ind w:left="1701"/>
    </w:pPr>
  </w:style>
  <w:style w:type="paragraph" w:customStyle="1" w:styleId="ListAlpha">
    <w:name w:val="List Alpha"/>
    <w:basedOn w:val="List"/>
    <w:rsid w:val="00FC15E0"/>
    <w:pPr>
      <w:numPr>
        <w:numId w:val="8"/>
      </w:numPr>
    </w:pPr>
  </w:style>
  <w:style w:type="paragraph" w:customStyle="1" w:styleId="ListAlpha2">
    <w:name w:val="List Alpha 2"/>
    <w:basedOn w:val="List2"/>
    <w:rsid w:val="00FC15E0"/>
    <w:pPr>
      <w:numPr>
        <w:numId w:val="7"/>
      </w:numPr>
    </w:pPr>
  </w:style>
  <w:style w:type="paragraph" w:styleId="List3">
    <w:name w:val="List 3"/>
    <w:basedOn w:val="BodyText"/>
    <w:rsid w:val="00FC15E0"/>
    <w:pPr>
      <w:tabs>
        <w:tab w:val="left" w:pos="1021"/>
      </w:tabs>
      <w:spacing w:before="60" w:after="60"/>
      <w:ind w:left="1020" w:hanging="340"/>
    </w:pPr>
  </w:style>
  <w:style w:type="paragraph" w:styleId="List4">
    <w:name w:val="List 4"/>
    <w:basedOn w:val="BodyText"/>
    <w:rsid w:val="00FC15E0"/>
    <w:pPr>
      <w:tabs>
        <w:tab w:val="left" w:pos="1361"/>
      </w:tabs>
      <w:spacing w:before="60" w:after="60"/>
      <w:ind w:left="1361" w:hanging="340"/>
    </w:pPr>
  </w:style>
  <w:style w:type="paragraph" w:styleId="List5">
    <w:name w:val="List 5"/>
    <w:basedOn w:val="BodyText"/>
    <w:rsid w:val="00FC15E0"/>
    <w:pPr>
      <w:tabs>
        <w:tab w:val="left" w:pos="1701"/>
      </w:tabs>
      <w:spacing w:before="60" w:after="60"/>
      <w:ind w:left="1701" w:hanging="340"/>
    </w:pPr>
  </w:style>
  <w:style w:type="paragraph" w:styleId="ListBullet3">
    <w:name w:val="List Bullet 3"/>
    <w:basedOn w:val="List3"/>
    <w:rsid w:val="00FC15E0"/>
    <w:pPr>
      <w:numPr>
        <w:numId w:val="14"/>
      </w:numPr>
      <w:tabs>
        <w:tab w:val="clear" w:pos="1021"/>
      </w:tabs>
      <w:ind w:left="1037" w:hanging="357"/>
    </w:pPr>
  </w:style>
  <w:style w:type="paragraph" w:styleId="ListBullet4">
    <w:name w:val="List Bullet 4"/>
    <w:basedOn w:val="List4"/>
    <w:rsid w:val="00FC15E0"/>
    <w:pPr>
      <w:numPr>
        <w:numId w:val="2"/>
      </w:numPr>
    </w:pPr>
  </w:style>
  <w:style w:type="paragraph" w:styleId="ListBullet5">
    <w:name w:val="List Bullet 5"/>
    <w:basedOn w:val="List5"/>
    <w:rsid w:val="00FC15E0"/>
    <w:pPr>
      <w:numPr>
        <w:numId w:val="3"/>
      </w:numPr>
    </w:pPr>
  </w:style>
  <w:style w:type="paragraph" w:styleId="ListContinue2">
    <w:name w:val="List Continue 2"/>
    <w:basedOn w:val="List2"/>
    <w:rsid w:val="00FC15E0"/>
    <w:pPr>
      <w:ind w:firstLine="0"/>
    </w:pPr>
  </w:style>
  <w:style w:type="paragraph" w:styleId="ListContinue3">
    <w:name w:val="List Continue 3"/>
    <w:basedOn w:val="List3"/>
    <w:rsid w:val="00FC15E0"/>
    <w:pPr>
      <w:ind w:left="1021" w:firstLine="0"/>
    </w:pPr>
  </w:style>
  <w:style w:type="paragraph" w:styleId="ListContinue4">
    <w:name w:val="List Continue 4"/>
    <w:basedOn w:val="List4"/>
    <w:rsid w:val="00FC15E0"/>
    <w:pPr>
      <w:ind w:firstLine="0"/>
    </w:pPr>
  </w:style>
  <w:style w:type="paragraph" w:styleId="ListContinue5">
    <w:name w:val="List Continue 5"/>
    <w:basedOn w:val="List5"/>
    <w:rsid w:val="00FC15E0"/>
    <w:pPr>
      <w:ind w:firstLine="0"/>
    </w:pPr>
  </w:style>
  <w:style w:type="paragraph" w:styleId="ListNumber3">
    <w:name w:val="List Number 3"/>
    <w:basedOn w:val="List3"/>
    <w:rsid w:val="00FC15E0"/>
    <w:pPr>
      <w:numPr>
        <w:numId w:val="4"/>
      </w:numPr>
    </w:pPr>
  </w:style>
  <w:style w:type="paragraph" w:styleId="ListNumber4">
    <w:name w:val="List Number 4"/>
    <w:basedOn w:val="List4"/>
    <w:rsid w:val="00FC15E0"/>
    <w:pPr>
      <w:numPr>
        <w:numId w:val="5"/>
      </w:numPr>
    </w:pPr>
  </w:style>
  <w:style w:type="paragraph" w:styleId="ListNumber5">
    <w:name w:val="List Number 5"/>
    <w:basedOn w:val="List5"/>
    <w:rsid w:val="00FC15E0"/>
    <w:pPr>
      <w:numPr>
        <w:numId w:val="6"/>
      </w:numPr>
    </w:pPr>
  </w:style>
  <w:style w:type="paragraph" w:styleId="BlockText">
    <w:name w:val="Block Text"/>
    <w:basedOn w:val="Normal"/>
    <w:rsid w:val="00FC15E0"/>
    <w:pPr>
      <w:spacing w:after="120"/>
      <w:ind w:left="1440" w:right="1440"/>
    </w:pPr>
  </w:style>
  <w:style w:type="character" w:customStyle="1" w:styleId="Subscript">
    <w:name w:val="Subscript"/>
    <w:basedOn w:val="DefaultParagraphFont"/>
    <w:rsid w:val="00FC15E0"/>
    <w:rPr>
      <w:sz w:val="16"/>
      <w:vertAlign w:val="subscript"/>
    </w:rPr>
  </w:style>
  <w:style w:type="character" w:customStyle="1" w:styleId="Superscript">
    <w:name w:val="Superscript"/>
    <w:basedOn w:val="DefaultParagraphFont"/>
    <w:rsid w:val="00FC15E0"/>
    <w:rPr>
      <w:sz w:val="16"/>
      <w:vertAlign w:val="superscript"/>
    </w:rPr>
  </w:style>
  <w:style w:type="character" w:customStyle="1" w:styleId="Symbols">
    <w:name w:val="Symbols"/>
    <w:basedOn w:val="DefaultParagraphFont"/>
    <w:rsid w:val="00FC15E0"/>
    <w:rPr>
      <w:rFonts w:ascii="Symbol" w:hAnsi="Symbol"/>
    </w:rPr>
  </w:style>
  <w:style w:type="character" w:customStyle="1" w:styleId="MenuOptions">
    <w:name w:val="Menu Options"/>
    <w:basedOn w:val="DefaultParagraphFont"/>
    <w:rsid w:val="00FC15E0"/>
    <w:rPr>
      <w:rFonts w:ascii="Arial Narrow" w:hAnsi="Arial Narrow"/>
      <w:smallCaps/>
    </w:rPr>
  </w:style>
  <w:style w:type="character" w:customStyle="1" w:styleId="Buttons">
    <w:name w:val="Buttons"/>
    <w:basedOn w:val="DefaultParagraphFont"/>
    <w:rsid w:val="00FC15E0"/>
    <w:rPr>
      <w:b/>
    </w:rPr>
  </w:style>
  <w:style w:type="character" w:customStyle="1" w:styleId="Underlined">
    <w:name w:val="Underlined"/>
    <w:basedOn w:val="DefaultParagraphFont"/>
    <w:rsid w:val="00FC15E0"/>
    <w:rPr>
      <w:u w:val="single"/>
    </w:rPr>
  </w:style>
  <w:style w:type="paragraph" w:customStyle="1" w:styleId="TableBodyTextRight">
    <w:name w:val="Table Body Text Right"/>
    <w:basedOn w:val="TableBodyText"/>
    <w:rsid w:val="00FC15E0"/>
    <w:pPr>
      <w:widowControl w:val="0"/>
      <w:autoSpaceDE w:val="0"/>
      <w:autoSpaceDN w:val="0"/>
      <w:adjustRightInd w:val="0"/>
      <w:jc w:val="right"/>
    </w:pPr>
    <w:rPr>
      <w:rFonts w:cs="Arial"/>
      <w:szCs w:val="18"/>
    </w:rPr>
  </w:style>
  <w:style w:type="paragraph" w:customStyle="1" w:styleId="CopyrightText">
    <w:name w:val="Copyright Text"/>
    <w:basedOn w:val="BodyText"/>
    <w:rsid w:val="00FC15E0"/>
    <w:rPr>
      <w:sz w:val="18"/>
    </w:rPr>
  </w:style>
  <w:style w:type="paragraph" w:customStyle="1" w:styleId="BodySmallRight">
    <w:name w:val="Body Small Right"/>
    <w:basedOn w:val="BodyTextRight"/>
    <w:rsid w:val="00FC15E0"/>
    <w:rPr>
      <w:sz w:val="18"/>
      <w:szCs w:val="18"/>
    </w:rPr>
  </w:style>
  <w:style w:type="paragraph" w:customStyle="1" w:styleId="MarginEdition">
    <w:name w:val="Margin Edition"/>
    <w:basedOn w:val="MarginNote"/>
    <w:rsid w:val="00FC15E0"/>
    <w:pPr>
      <w:spacing w:before="0" w:after="0"/>
    </w:pPr>
    <w:rPr>
      <w:rFonts w:ascii="Times New Roman" w:hAnsi="Times New Roman"/>
      <w:color w:val="999999"/>
    </w:rPr>
  </w:style>
  <w:style w:type="paragraph" w:customStyle="1" w:styleId="Spacer">
    <w:name w:val="Spacer"/>
    <w:basedOn w:val="Normal"/>
    <w:rsid w:val="00FC15E0"/>
    <w:rPr>
      <w:sz w:val="2"/>
      <w:szCs w:val="2"/>
    </w:rPr>
  </w:style>
  <w:style w:type="character" w:customStyle="1" w:styleId="Small">
    <w:name w:val="Small"/>
    <w:basedOn w:val="DefaultParagraphFont"/>
    <w:rsid w:val="00FC15E0"/>
    <w:rPr>
      <w:sz w:val="16"/>
    </w:rPr>
  </w:style>
  <w:style w:type="paragraph" w:customStyle="1" w:styleId="WideTable">
    <w:name w:val="Wide Table"/>
    <w:basedOn w:val="Normal"/>
    <w:rsid w:val="00FC15E0"/>
    <w:pPr>
      <w:ind w:left="-1418"/>
    </w:pPr>
    <w:rPr>
      <w:sz w:val="2"/>
      <w:szCs w:val="2"/>
    </w:rPr>
  </w:style>
  <w:style w:type="character" w:styleId="PageNumber">
    <w:name w:val="page number"/>
    <w:basedOn w:val="DefaultParagraphFont"/>
    <w:rsid w:val="00FC15E0"/>
  </w:style>
  <w:style w:type="paragraph" w:styleId="Quote">
    <w:name w:val="Quote"/>
    <w:basedOn w:val="Heading1"/>
    <w:link w:val="QuoteChar"/>
    <w:qFormat/>
    <w:rsid w:val="00FC15E0"/>
    <w:rPr>
      <w:b w:val="0"/>
      <w:sz w:val="72"/>
      <w:szCs w:val="72"/>
      <w:lang w:val="en-NZ"/>
    </w:rPr>
  </w:style>
  <w:style w:type="character" w:customStyle="1" w:styleId="QuoteChar">
    <w:name w:val="Quote Char"/>
    <w:basedOn w:val="DefaultParagraphFont"/>
    <w:link w:val="Quote"/>
    <w:rsid w:val="00FC1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5E0"/>
    <w:pPr>
      <w:pageBreakBefore/>
    </w:pPr>
  </w:style>
  <w:style w:type="paragraph" w:customStyle="1" w:styleId="Border">
    <w:name w:val="Border"/>
    <w:basedOn w:val="Normal"/>
    <w:qFormat/>
    <w:rsid w:val="00FC1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5E0"/>
    <w:rPr>
      <w:b/>
      <w:bCs/>
      <w:i/>
      <w:iCs/>
      <w:color w:val="auto"/>
    </w:rPr>
  </w:style>
  <w:style w:type="paragraph" w:styleId="IntenseQuote">
    <w:name w:val="Intense Quote"/>
    <w:basedOn w:val="Normal"/>
    <w:next w:val="Normal"/>
    <w:link w:val="IntenseQuoteChar"/>
    <w:uiPriority w:val="30"/>
    <w:qFormat/>
    <w:rsid w:val="00FC1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5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15E0"/>
    <w:rPr>
      <w:smallCaps/>
      <w:color w:val="auto"/>
      <w:u w:val="single"/>
    </w:rPr>
  </w:style>
  <w:style w:type="character" w:styleId="IntenseReference">
    <w:name w:val="Intense Reference"/>
    <w:basedOn w:val="DefaultParagraphFont"/>
    <w:uiPriority w:val="32"/>
    <w:qFormat/>
    <w:rsid w:val="00FC15E0"/>
    <w:rPr>
      <w:b/>
      <w:bCs/>
      <w:smallCaps/>
      <w:color w:val="auto"/>
      <w:spacing w:val="5"/>
      <w:u w:val="single"/>
    </w:rPr>
  </w:style>
  <w:style w:type="paragraph" w:customStyle="1" w:styleId="2ColumnHeading">
    <w:name w:val="2Column Heading"/>
    <w:basedOn w:val="BodyText"/>
    <w:qFormat/>
    <w:rsid w:val="00FC15E0"/>
    <w:pPr>
      <w:spacing w:after="60"/>
      <w:ind w:left="-2268"/>
    </w:pPr>
    <w:rPr>
      <w:b/>
    </w:rPr>
  </w:style>
  <w:style w:type="paragraph" w:customStyle="1" w:styleId="Heading1TOC">
    <w:name w:val="Heading1 TOC"/>
    <w:basedOn w:val="Normal"/>
    <w:qFormat/>
    <w:rsid w:val="00FC15E0"/>
    <w:pPr>
      <w:spacing w:before="240" w:after="120"/>
    </w:pPr>
    <w:rPr>
      <w:rFonts w:ascii="Times New Roman" w:hAnsi="Times New Roman"/>
      <w:b/>
      <w:sz w:val="32"/>
    </w:rPr>
  </w:style>
  <w:style w:type="paragraph" w:customStyle="1" w:styleId="Heading2TOC">
    <w:name w:val="Heading2 TOC"/>
    <w:basedOn w:val="Normal"/>
    <w:qFormat/>
    <w:rsid w:val="00FC15E0"/>
    <w:pPr>
      <w:spacing w:before="240" w:after="60"/>
    </w:pPr>
    <w:rPr>
      <w:rFonts w:ascii="Times New Roman" w:hAnsi="Times New Roman"/>
      <w:b/>
      <w:sz w:val="28"/>
    </w:rPr>
  </w:style>
  <w:style w:type="character" w:customStyle="1" w:styleId="Underline">
    <w:name w:val="Underline"/>
    <w:basedOn w:val="DefaultParagraphFont"/>
    <w:qFormat/>
    <w:rsid w:val="00FC15E0"/>
    <w:rPr>
      <w:u w:val="single"/>
    </w:rPr>
  </w:style>
  <w:style w:type="character" w:customStyle="1" w:styleId="BoldandItalics">
    <w:name w:val="Bold and Italics"/>
    <w:qFormat/>
    <w:rsid w:val="00FC15E0"/>
    <w:rPr>
      <w:b/>
      <w:i/>
      <w:u w:val="none"/>
    </w:rPr>
  </w:style>
  <w:style w:type="paragraph" w:styleId="BalloonText">
    <w:name w:val="Balloon Text"/>
    <w:basedOn w:val="Normal"/>
    <w:link w:val="BalloonTextChar"/>
    <w:rsid w:val="00FC15E0"/>
    <w:rPr>
      <w:rFonts w:ascii="Tahoma" w:hAnsi="Tahoma" w:cs="Tahoma"/>
      <w:sz w:val="16"/>
      <w:szCs w:val="16"/>
    </w:rPr>
  </w:style>
  <w:style w:type="character" w:customStyle="1" w:styleId="BalloonTextChar">
    <w:name w:val="Balloon Text Char"/>
    <w:basedOn w:val="DefaultParagraphFont"/>
    <w:link w:val="BalloonText"/>
    <w:rsid w:val="00FC15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15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15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1087</Words>
  <Characters>6670</Characters>
  <Application>Microsoft Office Word</Application>
  <DocSecurity>0</DocSecurity>
  <Lines>256</Lines>
  <Paragraphs>121</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MEM05018C Perform advanced welding using gas metal arc welding process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2012-05-27T01:29:00Z</dcterms:created>
  <dcterms:modified xsi:type="dcterms:W3CDTF">2012-05-27T01:29:00Z</dcterms:modified>
</cp:coreProperties>
</file>