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FE8" w:rsidP="00EC2FE8">
      <w:pPr>
        <w:pStyle w:val="Title"/>
      </w:pPr>
      <w:r>
        <w:fldChar w:fldCharType="begin"/>
      </w:r>
      <w:r>
        <w:instrText xml:space="preserve"> TITLE   \* MERGEFORMAT </w:instrText>
      </w:r>
      <w:r>
        <w:fldChar w:fldCharType="separate"/>
      </w:r>
      <w:r>
        <w:t>MEM05013C Perform manual production welding</w:t>
      </w:r>
      <w:r>
        <w:fldChar w:fldCharType="end"/>
      </w:r>
    </w:p>
    <w:p w:rsidR="00EC2FE8" w:rsidP="00EC2FE8">
      <w:pPr>
        <w:pStyle w:val="Version"/>
        <w:sectPr w:rsidSect="00ED2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AA4" w:rsidP="00ED2AA4">
      <w:pPr>
        <w:pStyle w:val="SuperHeading"/>
      </w:pPr>
      <w:r w:rsidRPr="00ED2AA4">
        <w:t>MEM05013C Perform manual production welding</w:t>
      </w:r>
    </w:p>
    <w:p w:rsidR="00000000" w:rsidRPr="00ED2AA4" w:rsidP="00ED2AA4">
      <w:pPr>
        <w:pStyle w:val="Heading1"/>
      </w:pPr>
      <w:bookmarkStart w:id="1" w:name="O_272007"/>
      <w:bookmarkEnd w:id="1"/>
      <w:r w:rsidRPr="00ED2AA4">
        <w:t>Modification History</w:t>
      </w:r>
    </w:p>
    <w:p w:rsidR="00000000" w:rsidRPr="00ED2AA4" w:rsidP="00ED2AA4">
      <w:pPr>
        <w:pStyle w:val="BodyText"/>
      </w:pPr>
      <w:r w:rsidRPr="00ED2AA4">
        <w:t>Not Applicable</w:t>
      </w:r>
    </w:p>
    <w:p w:rsidR="00000000" w:rsidRPr="00ED2AA4" w:rsidP="00ED2AA4">
      <w:pPr>
        <w:pStyle w:val="AllowPageBreak"/>
      </w:pPr>
    </w:p>
    <w:p w:rsidR="00000000" w:rsidRPr="00ED2AA4" w:rsidP="00ED2AA4">
      <w:pPr>
        <w:pStyle w:val="Heading1"/>
      </w:pPr>
      <w:bookmarkStart w:id="2" w:name="O_210487"/>
      <w:bookmarkEnd w:id="2"/>
      <w:r w:rsidRPr="00ED2AA4">
        <w:t>Unit Descriptor</w:t>
      </w:r>
    </w:p>
    <w:tbl>
      <w:tblPr>
        <w:tblW w:w="0" w:type="auto"/>
        <w:tblLayout w:type="fixed"/>
        <w:tblCellMar>
          <w:left w:w="62" w:type="dxa"/>
          <w:right w:w="62" w:type="dxa"/>
        </w:tblCellMar>
        <w:tblLook w:val="0000"/>
      </w:tblPr>
      <w:tblGrid>
        <w:gridCol w:w="2669"/>
        <w:gridCol w:w="5853"/>
      </w:tblGrid>
      <w:tr w:rsidTr="00EC2FE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r w:rsidRPr="00ED2AA4">
              <w:t>This unit covers perf</w:t>
            </w:r>
            <w:r w:rsidRPr="00ED2AA4">
              <w:t>orming tacking or production welding, including spot welding using a range of methods and metallic and non-metallic materials in a production environment.</w:t>
            </w:r>
          </w:p>
        </w:tc>
      </w:tr>
    </w:tbl>
    <w:p w:rsidR="00EC2FE8" w:rsidP="00ED2AA4">
      <w:pPr>
        <w:pStyle w:val="BodyText"/>
      </w:pPr>
    </w:p>
    <w:p w:rsidR="00EC2FE8" w:rsidP="00ED2AA4">
      <w:pPr>
        <w:pStyle w:val="BodyText"/>
      </w:pPr>
    </w:p>
    <w:p w:rsidR="00000000" w:rsidRPr="00ED2AA4" w:rsidP="00ED2AA4">
      <w:pPr>
        <w:pStyle w:val="Heading1"/>
      </w:pPr>
      <w:bookmarkStart w:id="3" w:name="O_210491"/>
      <w:bookmarkEnd w:id="3"/>
      <w:r w:rsidRPr="00ED2AA4">
        <w:t>Application of the Unit</w:t>
      </w:r>
    </w:p>
    <w:tbl>
      <w:tblPr>
        <w:tblW w:w="0" w:type="auto"/>
        <w:tblLayout w:type="fixed"/>
        <w:tblCellMar>
          <w:left w:w="62" w:type="dxa"/>
          <w:right w:w="62" w:type="dxa"/>
        </w:tblCellMar>
        <w:tblLook w:val="0000"/>
      </w:tblPr>
      <w:tblGrid>
        <w:gridCol w:w="2745"/>
        <w:gridCol w:w="5777"/>
      </w:tblGrid>
      <w:tr w:rsidTr="00EC2FE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r w:rsidRPr="00ED2AA4">
              <w:t>This unit applies to welding undertaken in the production environment. Guidance may be required with respect to equipment settings, choice of consumables, gas mixture and pressures.</w:t>
            </w:r>
          </w:p>
          <w:p w:rsidR="00000000" w:rsidRPr="00ED2AA4" w:rsidP="00ED2AA4">
            <w:pPr>
              <w:pStyle w:val="BodyText"/>
            </w:pPr>
            <w:r w:rsidRPr="00ED2AA4">
              <w:t>For performing automated/production welding, Unit MEM07024B (Operate and m</w:t>
            </w:r>
            <w:r w:rsidRPr="00ED2AA4">
              <w:t>onitor machine/process) or Unit MEM07025B (Perform advanced machine/process operation) should be considered.</w:t>
            </w:r>
          </w:p>
          <w:p w:rsidR="00000000" w:rsidRPr="00ED2AA4" w:rsidP="00ED2AA4">
            <w:pPr>
              <w:pStyle w:val="BodyText"/>
            </w:pPr>
          </w:p>
          <w:p w:rsidR="00000000" w:rsidRPr="00ED2AA4" w:rsidP="00ED2AA4">
            <w:pPr>
              <w:pStyle w:val="BodyText"/>
            </w:pPr>
            <w:r w:rsidRPr="00ED2AA4">
              <w:rPr>
                <w:rStyle w:val="SpecialBold"/>
              </w:rPr>
              <w:t>Band</w:t>
            </w:r>
            <w:r w:rsidRPr="00ED2AA4">
              <w:t>:</w:t>
            </w:r>
            <w:r w:rsidRPr="00ED2AA4">
              <w:tab/>
            </w:r>
            <w:r w:rsidRPr="00ED2AA4">
              <w:rPr>
                <w:rStyle w:val="SpecialBold"/>
              </w:rPr>
              <w:t>A</w:t>
            </w:r>
          </w:p>
          <w:p w:rsidR="00000000" w:rsidRPr="00ED2AA4" w:rsidP="00ED2AA4">
            <w:pPr>
              <w:pStyle w:val="BodyText"/>
            </w:pPr>
            <w:r w:rsidRPr="00ED2AA4">
              <w:rPr>
                <w:rStyle w:val="SpecialBold"/>
              </w:rPr>
              <w:t>Unit Weight</w:t>
            </w:r>
            <w:r w:rsidRPr="00ED2AA4">
              <w:t>:</w:t>
            </w:r>
            <w:r w:rsidRPr="00ED2AA4">
              <w:tab/>
            </w:r>
            <w:r w:rsidRPr="00ED2AA4">
              <w:rPr>
                <w:rStyle w:val="SpecialBold"/>
              </w:rPr>
              <w:t>2</w:t>
            </w:r>
          </w:p>
        </w:tc>
      </w:tr>
    </w:tbl>
    <w:p w:rsidR="00EC2FE8" w:rsidP="00ED2AA4">
      <w:pPr>
        <w:pStyle w:val="BodyText"/>
      </w:pPr>
    </w:p>
    <w:p w:rsidR="00EC2FE8" w:rsidP="00ED2AA4">
      <w:pPr>
        <w:pStyle w:val="BodyText"/>
      </w:pPr>
    </w:p>
    <w:p w:rsidR="00000000" w:rsidRPr="00ED2AA4" w:rsidP="00ED2AA4">
      <w:pPr>
        <w:pStyle w:val="Heading1"/>
      </w:pPr>
      <w:bookmarkStart w:id="4" w:name="O_280267"/>
      <w:bookmarkEnd w:id="4"/>
      <w:r w:rsidRPr="00ED2AA4">
        <w:t>Licensing/Regulatory Information</w:t>
      </w:r>
    </w:p>
    <w:p w:rsidR="00000000" w:rsidRPr="00ED2AA4" w:rsidP="00ED2AA4">
      <w:pPr>
        <w:pStyle w:val="BodyText"/>
      </w:pPr>
      <w:r w:rsidRPr="00ED2AA4">
        <w:t>Not Applicable</w:t>
      </w:r>
    </w:p>
    <w:p w:rsidR="00000000" w:rsidRPr="00ED2AA4" w:rsidP="00ED2AA4">
      <w:pPr>
        <w:pStyle w:val="AllowPageBreak"/>
      </w:pPr>
    </w:p>
    <w:p w:rsidR="00000000" w:rsidRPr="00ED2AA4" w:rsidP="00ED2AA4">
      <w:pPr>
        <w:pStyle w:val="Heading1"/>
      </w:pPr>
      <w:bookmarkStart w:id="5" w:name="O_210489"/>
      <w:bookmarkEnd w:id="5"/>
      <w:r w:rsidRPr="00ED2AA4">
        <w:t>Pre-Requisites</w:t>
      </w:r>
    </w:p>
    <w:tbl>
      <w:tblPr>
        <w:tblW w:w="0" w:type="auto"/>
        <w:tblLayout w:type="fixed"/>
        <w:tblCellMar>
          <w:left w:w="62" w:type="dxa"/>
          <w:right w:w="62" w:type="dxa"/>
        </w:tblCellMar>
        <w:tblLook w:val="0000"/>
      </w:tblPr>
      <w:tblGrid>
        <w:gridCol w:w="2775"/>
        <w:gridCol w:w="1295"/>
        <w:gridCol w:w="4452"/>
      </w:tblGrid>
      <w:tr w:rsidTr="00EC2FE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p>
        </w:tc>
      </w:tr>
      <w:tr w:rsidTr="00EC2F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p>
        </w:tc>
      </w:tr>
      <w:tr w:rsidTr="00EC2F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p>
        </w:tc>
      </w:tr>
    </w:tbl>
    <w:p w:rsidR="00EC2FE8" w:rsidP="00ED2AA4">
      <w:pPr>
        <w:pStyle w:val="BodyText"/>
      </w:pPr>
    </w:p>
    <w:p w:rsidR="00EC2FE8" w:rsidP="00ED2AA4">
      <w:pPr>
        <w:pStyle w:val="BodyText"/>
      </w:pPr>
    </w:p>
    <w:p w:rsidR="00000000" w:rsidRPr="00ED2AA4" w:rsidP="00ED2AA4">
      <w:pPr>
        <w:pStyle w:val="Heading1"/>
      </w:pPr>
      <w:bookmarkStart w:id="6" w:name="O_210488"/>
      <w:bookmarkEnd w:id="6"/>
      <w:r w:rsidRPr="00ED2AA4">
        <w:t>Employability Skills Information</w:t>
      </w:r>
    </w:p>
    <w:tbl>
      <w:tblPr>
        <w:tblW w:w="0" w:type="auto"/>
        <w:tblLayout w:type="fixed"/>
        <w:tblCellMar>
          <w:left w:w="62" w:type="dxa"/>
          <w:right w:w="62" w:type="dxa"/>
        </w:tblCellMar>
        <w:tblLook w:val="0000"/>
      </w:tblPr>
      <w:tblGrid>
        <w:gridCol w:w="2802"/>
        <w:gridCol w:w="5720"/>
      </w:tblGrid>
      <w:tr w:rsidTr="00EC2FE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r w:rsidRPr="00ED2AA4">
              <w:t>This unit contains employability skills.</w:t>
            </w:r>
          </w:p>
        </w:tc>
      </w:tr>
    </w:tbl>
    <w:p w:rsidR="00EC2FE8" w:rsidP="00ED2AA4">
      <w:pPr>
        <w:pStyle w:val="BodyText"/>
      </w:pPr>
    </w:p>
    <w:p w:rsidR="00EC2FE8" w:rsidP="00ED2AA4">
      <w:pPr>
        <w:pStyle w:val="BodyText"/>
      </w:pPr>
    </w:p>
    <w:p w:rsidR="00000000" w:rsidRPr="00ED2AA4" w:rsidP="00ED2AA4">
      <w:pPr>
        <w:pStyle w:val="Heading1"/>
      </w:pPr>
      <w:bookmarkStart w:id="7" w:name="O_290053"/>
      <w:bookmarkEnd w:id="7"/>
      <w:r w:rsidRPr="00ED2AA4">
        <w:t>Elements and Performance Criteria Pre-Content</w:t>
      </w:r>
    </w:p>
    <w:tbl>
      <w:tblPr>
        <w:tblW w:w="0" w:type="auto"/>
        <w:tblLayout w:type="fixed"/>
        <w:tblCellMar>
          <w:left w:w="62" w:type="dxa"/>
          <w:right w:w="62" w:type="dxa"/>
        </w:tblCellMar>
        <w:tblLook w:val="0000"/>
      </w:tblPr>
      <w:tblGrid>
        <w:gridCol w:w="2557"/>
        <w:gridCol w:w="5965"/>
      </w:tblGrid>
      <w:tr w:rsidTr="00EC2FE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r w:rsidRPr="00ED2AA4">
              <w:t>Performance criteria describe the performance needed to demonstrate achievement of the element. Where bold italicised text is used, further information is detailed in the required skills and knowledge section and the range statement. Assessment of performa</w:t>
            </w:r>
            <w:r w:rsidRPr="00ED2AA4">
              <w:t>nce is to be consistent with the evidence guide.</w:t>
            </w:r>
          </w:p>
        </w:tc>
      </w:tr>
    </w:tbl>
    <w:p w:rsidR="00000000" w:rsidRPr="00ED2AA4" w:rsidP="00ED2AA4">
      <w:pPr>
        <w:pStyle w:val="BodyText"/>
      </w:pPr>
    </w:p>
    <w:p w:rsidR="00000000" w:rsidRPr="00ED2AA4" w:rsidP="00ED2AA4">
      <w:pPr>
        <w:pStyle w:val="AllowPageBreak"/>
      </w:pPr>
    </w:p>
    <w:p w:rsidR="00000000" w:rsidRPr="00ED2AA4" w:rsidP="00ED2AA4">
      <w:pPr>
        <w:pStyle w:val="Heading1"/>
      </w:pPr>
      <w:bookmarkStart w:id="8" w:name="O_236720"/>
      <w:bookmarkEnd w:id="8"/>
      <w:r w:rsidRPr="00ED2AA4">
        <w:t>Elements and Performance Criteria</w:t>
      </w:r>
    </w:p>
    <w:tbl>
      <w:tblPr>
        <w:tblW w:w="0" w:type="auto"/>
        <w:tblLayout w:type="fixed"/>
        <w:tblCellMar>
          <w:left w:w="62" w:type="dxa"/>
          <w:right w:w="62" w:type="dxa"/>
        </w:tblCellMar>
        <w:tblLook w:val="0000"/>
      </w:tblPr>
      <w:tblGrid>
        <w:gridCol w:w="2557"/>
        <w:gridCol w:w="5965"/>
      </w:tblGrid>
      <w:tr w:rsidTr="00EC2FE8">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r w:rsidRPr="00ED2AA4">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PERFORMANCE CRITERIA</w:t>
            </w:r>
          </w:p>
        </w:tc>
      </w:tr>
      <w:tr w:rsidTr="00EC2FE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List"/>
              <w:rPr>
                <w:lang w:val="en-NZ"/>
              </w:rPr>
            </w:pPr>
            <w:r w:rsidRPr="00ED2AA4">
              <w:t>1.</w:t>
            </w:r>
            <w:r w:rsidRPr="00ED2AA4">
              <w:tab/>
              <w:t xml:space="preserve">Tack and/or weld material using appropriate welding process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List2"/>
            </w:pPr>
            <w:r w:rsidRPr="00ED2AA4">
              <w:t>1.1.</w:t>
            </w:r>
            <w:r w:rsidRPr="00ED2AA4">
              <w:tab/>
            </w:r>
            <w:r w:rsidRPr="00ED2AA4">
              <w:t>Material is prepared for the process to be used following standard operating procedures.</w:t>
            </w:r>
          </w:p>
          <w:p w:rsidR="00000000" w:rsidRPr="00ED2AA4" w:rsidP="00ED2AA4">
            <w:pPr>
              <w:pStyle w:val="List2"/>
            </w:pPr>
            <w:r w:rsidRPr="00ED2AA4">
              <w:t>1.2.</w:t>
            </w:r>
            <w:r w:rsidRPr="00ED2AA4">
              <w:tab/>
              <w:t>Material is aligned (if required) using dedicated jigs and fixtures.</w:t>
            </w:r>
          </w:p>
          <w:p w:rsidR="00000000" w:rsidRPr="00ED2AA4" w:rsidP="00ED2AA4">
            <w:pPr>
              <w:pStyle w:val="List2"/>
            </w:pPr>
            <w:r w:rsidRPr="00ED2AA4">
              <w:t>1.3.</w:t>
            </w:r>
            <w:r w:rsidRPr="00ED2AA4">
              <w:tab/>
              <w:t>Welding is carried out to accepted workplace standards.</w:t>
            </w:r>
          </w:p>
        </w:tc>
      </w:tr>
    </w:tbl>
    <w:p w:rsidR="00EC2FE8" w:rsidP="00ED2AA4">
      <w:pPr>
        <w:pStyle w:val="BodyText"/>
      </w:pPr>
    </w:p>
    <w:p w:rsidR="00EC2FE8" w:rsidP="00ED2AA4">
      <w:pPr>
        <w:pStyle w:val="BodyText"/>
      </w:pPr>
    </w:p>
    <w:p w:rsidR="00000000" w:rsidRPr="00ED2AA4" w:rsidP="00ED2AA4">
      <w:pPr>
        <w:pStyle w:val="Heading1"/>
      </w:pPr>
      <w:bookmarkStart w:id="9" w:name="O_260670"/>
      <w:bookmarkEnd w:id="9"/>
      <w:r w:rsidRPr="00ED2AA4">
        <w:t>Required Skills and Knowledge</w:t>
      </w:r>
    </w:p>
    <w:tbl>
      <w:tblPr>
        <w:tblW w:w="0" w:type="auto"/>
        <w:tblLayout w:type="fixed"/>
        <w:tblCellMar>
          <w:left w:w="62" w:type="dxa"/>
          <w:right w:w="62" w:type="dxa"/>
        </w:tblCellMar>
        <w:tblLook w:val="0000"/>
      </w:tblPr>
      <w:tblGrid>
        <w:gridCol w:w="8522"/>
      </w:tblGrid>
      <w:tr w:rsidTr="00EC2F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REQUIRED SKILLS AND KNOWLEDGE</w:t>
            </w:r>
          </w:p>
        </w:tc>
      </w:tr>
      <w:tr w:rsidTr="00EC2F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t>This section describes the skills and knowledge required for this unit.</w:t>
            </w:r>
          </w:p>
        </w:tc>
      </w:tr>
      <w:tr w:rsidTr="00EC2F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Required skills</w:t>
            </w:r>
          </w:p>
        </w:tc>
      </w:tr>
      <w:tr w:rsidTr="00EC2F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r w:rsidRPr="00ED2AA4">
              <w:t>Look for evidence that confirms skills in:</w:t>
            </w:r>
          </w:p>
          <w:p w:rsidR="00000000" w:rsidRPr="00ED2AA4" w:rsidP="00ED2AA4">
            <w:pPr>
              <w:pStyle w:val="ListBullet"/>
            </w:pPr>
            <w:r w:rsidRPr="00ED2AA4">
              <w:t>aligning to jigs and fixtures</w:t>
            </w:r>
          </w:p>
          <w:p w:rsidR="00000000" w:rsidRPr="00ED2AA4" w:rsidP="00ED2AA4">
            <w:pPr>
              <w:pStyle w:val="ListBullet"/>
            </w:pPr>
            <w:r w:rsidRPr="00ED2AA4">
              <w:t>welding within the scope of this unit</w:t>
            </w:r>
          </w:p>
          <w:p w:rsidR="00000000" w:rsidP="00ED2AA4">
            <w:pPr>
              <w:pStyle w:val="ListBullet"/>
              <w:rPr>
                <w:lang w:val="en-NZ"/>
              </w:rPr>
            </w:pPr>
            <w:r w:rsidRPr="00ED2AA4">
              <w:t>following standard operating procedures</w:t>
            </w:r>
          </w:p>
        </w:tc>
      </w:tr>
      <w:tr w:rsidTr="00EC2F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Required knowledge</w:t>
            </w:r>
          </w:p>
        </w:tc>
      </w:tr>
      <w:tr w:rsidTr="00EC2F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r w:rsidRPr="00ED2AA4">
              <w:t>Look for evidence that confirms knowledge of:</w:t>
            </w:r>
          </w:p>
          <w:p w:rsidR="00000000" w:rsidRPr="00ED2AA4" w:rsidP="00ED2AA4">
            <w:pPr>
              <w:pStyle w:val="ListBullet"/>
            </w:pPr>
            <w:r w:rsidRPr="00ED2AA4">
              <w:t>function and use of jigs and fixtures in production welding</w:t>
            </w:r>
          </w:p>
          <w:p w:rsidR="00000000" w:rsidRPr="00ED2AA4" w:rsidP="00ED2AA4">
            <w:pPr>
              <w:pStyle w:val="ListBullet"/>
            </w:pPr>
            <w:r w:rsidRPr="00ED2AA4">
              <w:t>hazards associated with the welding process used</w:t>
            </w:r>
          </w:p>
          <w:p w:rsidR="00000000" w:rsidRPr="00ED2AA4" w:rsidP="00ED2AA4">
            <w:pPr>
              <w:pStyle w:val="ListBullet"/>
            </w:pPr>
            <w:r w:rsidRPr="00ED2AA4">
              <w:t>f</w:t>
            </w:r>
            <w:r w:rsidRPr="00ED2AA4">
              <w:t>unction, application and operation of welding equipment within the scope of this unit</w:t>
            </w:r>
          </w:p>
          <w:p w:rsidR="00000000" w:rsidRPr="00ED2AA4" w:rsidP="00ED2AA4">
            <w:pPr>
              <w:pStyle w:val="ListBullet"/>
            </w:pPr>
            <w:r w:rsidRPr="00ED2AA4">
              <w:t>material preparation</w:t>
            </w:r>
          </w:p>
          <w:p w:rsidR="00000000" w:rsidRPr="00ED2AA4" w:rsidP="00ED2AA4">
            <w:pPr>
              <w:pStyle w:val="ListBullet"/>
            </w:pPr>
            <w:r w:rsidRPr="00ED2AA4">
              <w:t>acceptable workplace standards</w:t>
            </w:r>
          </w:p>
        </w:tc>
      </w:tr>
    </w:tbl>
    <w:p w:rsidR="00EC2FE8" w:rsidP="00ED2AA4">
      <w:pPr>
        <w:pStyle w:val="BodyText"/>
      </w:pPr>
    </w:p>
    <w:p w:rsidR="00EC2FE8" w:rsidP="00ED2AA4">
      <w:pPr>
        <w:pStyle w:val="BodyText"/>
      </w:pPr>
    </w:p>
    <w:p w:rsidR="00000000" w:rsidRPr="00ED2AA4" w:rsidP="00ED2AA4">
      <w:pPr>
        <w:pStyle w:val="AllowPageBreak"/>
      </w:pPr>
    </w:p>
    <w:p w:rsidR="00000000" w:rsidRPr="00ED2AA4" w:rsidP="00ED2AA4">
      <w:pPr>
        <w:pStyle w:val="Heading1"/>
      </w:pPr>
      <w:bookmarkStart w:id="10" w:name="O_244704"/>
      <w:bookmarkEnd w:id="10"/>
      <w:r w:rsidRPr="00ED2AA4">
        <w:t>Evidence Guide</w:t>
      </w:r>
    </w:p>
    <w:tbl>
      <w:tblPr>
        <w:tblW w:w="9570" w:type="dxa"/>
        <w:tblLayout w:type="fixed"/>
        <w:tblCellMar>
          <w:left w:w="62" w:type="dxa"/>
          <w:right w:w="62" w:type="dxa"/>
        </w:tblCellMar>
        <w:tblLook w:val="0000"/>
      </w:tblPr>
      <w:tblGrid>
        <w:gridCol w:w="3908"/>
        <w:gridCol w:w="5662"/>
      </w:tblGrid>
      <w:tr w:rsidTr="00EC2F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EVIDENCE GUIDE</w:t>
            </w:r>
          </w:p>
        </w:tc>
      </w:tr>
      <w:tr w:rsidTr="00EC2F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t>The evidence guide provides advice on assessment and must be read in conjunction with the performance criteria, required skills and knowledge, range statement and the Assessment Guidelines for the Training Package.</w:t>
            </w:r>
          </w:p>
        </w:tc>
      </w:tr>
      <w:tr w:rsidTr="00EC2F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t>A person who dem</w:t>
            </w:r>
            <w:r w:rsidRPr="00ED2AA4">
              <w:t xml:space="preserve">onstrates competency in this unit must be able to perform tacking or production welding, including spot welding using a range of methods and metallic and non-metallic materials in a production environment. </w:t>
            </w:r>
          </w:p>
        </w:tc>
      </w:tr>
      <w:tr w:rsidTr="00EC2F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Critical aspects for assessment and evidence req</w:t>
            </w:r>
            <w:r w:rsidRPr="00ED2AA4">
              <w:rPr>
                <w:rStyle w:val="SpecialBold"/>
              </w:rPr>
              <w:t>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t>Assessors must be satisfied that the candidate can competently and consistently perform all elements of the unit as specified by the criteria, including required knowledge, and to be capable of applying the comp</w:t>
            </w:r>
            <w:r w:rsidRPr="00ED2AA4">
              <w:t xml:space="preserve">etency in new and different situations and contexts. </w:t>
            </w:r>
          </w:p>
        </w:tc>
      </w:tr>
      <w:tr w:rsidTr="00EC2F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r w:rsidRPr="00ED2AA4">
              <w:t>This unit may be assessed on the job, off the job or a combination of both on and off the job. Where assessment occurs off the job, that is the candidat</w:t>
            </w:r>
            <w:r w:rsidRPr="00ED2AA4">
              <w:t>e is not in productive work, then an appropriate simulation must be used where the range of conditions reflects realistic workplace situations. The competencies covered by this unit would be demonstrated by an individual working alone or as part of a team.</w:t>
            </w:r>
            <w:r w:rsidRPr="00ED2AA4">
              <w:t xml:space="preserve"> The assessment environment should not disadvantage the candidate.</w:t>
            </w:r>
          </w:p>
          <w:p w:rsidR="00000000" w:rsidP="00ED2AA4">
            <w:pPr>
              <w:pStyle w:val="BodyText"/>
              <w:rPr>
                <w:lang w:val="en-NZ"/>
              </w:rPr>
            </w:pPr>
            <w:r w:rsidRPr="00ED2AA4">
              <w:t xml:space="preserve">This unit could be assessed in conjunction with any other units addressing the safety, </w:t>
            </w:r>
            <w:r w:rsidRPr="00ED2AA4">
              <w:t>quality, communication, materials handling, recording and reporting associated with performing manual production welding or other units requiring the exercise of the skills and knowledge covered by this unit.</w:t>
            </w:r>
          </w:p>
        </w:tc>
      </w:tr>
      <w:tr w:rsidTr="00EC2F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t>Assessors should gather a</w:t>
            </w:r>
            <w:r w:rsidRPr="00ED2AA4">
              <w:t xml:space="preserve"> range of evidence that is valid, sufficient, current and authentic. Evidence can be gathered through a variety of ways including direct observation, supervisor's reports, project work, samples and questioning. Questioning techniques should not require lan</w:t>
            </w:r>
            <w:r w:rsidRPr="00ED2AA4">
              <w:t>guage, literacy and numeracy skills beyond those required in this unit of competency. The candidate must have access to all tools, equipment, materials and documentation required. The candidate must be permitted to refer to any relevant workplace procedure</w:t>
            </w:r>
            <w:r w:rsidRPr="00ED2AA4">
              <w:t>s, product and manufacturing specifications, codes, standards, manuals and reference materials.</w:t>
            </w:r>
          </w:p>
        </w:tc>
      </w:tr>
      <w:tr w:rsidTr="00EC2F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p>
        </w:tc>
      </w:tr>
    </w:tbl>
    <w:p w:rsidR="00EC2FE8" w:rsidP="00ED2AA4">
      <w:pPr>
        <w:pStyle w:val="BodyText"/>
      </w:pPr>
    </w:p>
    <w:p w:rsidR="00EC2FE8" w:rsidP="00ED2AA4">
      <w:pPr>
        <w:pStyle w:val="BodyText"/>
      </w:pPr>
    </w:p>
    <w:p w:rsidR="00000000" w:rsidRPr="00ED2AA4" w:rsidP="00ED2AA4">
      <w:pPr>
        <w:pStyle w:val="Heading1"/>
      </w:pPr>
      <w:bookmarkStart w:id="11" w:name="O_252687"/>
      <w:bookmarkEnd w:id="11"/>
      <w:r w:rsidRPr="00ED2AA4">
        <w:t>Range Statement</w:t>
      </w:r>
    </w:p>
    <w:tbl>
      <w:tblPr>
        <w:tblW w:w="0" w:type="auto"/>
        <w:tblLayout w:type="fixed"/>
        <w:tblCellMar>
          <w:left w:w="62" w:type="dxa"/>
          <w:right w:w="62" w:type="dxa"/>
        </w:tblCellMar>
        <w:tblLook w:val="0000"/>
      </w:tblPr>
      <w:tblGrid>
        <w:gridCol w:w="3496"/>
        <w:gridCol w:w="5026"/>
      </w:tblGrid>
      <w:tr w:rsidTr="00EC2F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RANGE STATEMENT</w:t>
            </w:r>
          </w:p>
        </w:tc>
      </w:tr>
      <w:tr w:rsidTr="00EC2F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t>The range statement relates to the unit of competency as a whole. It allows for different work environments and situations that may affect performance. Bold italicised wording, if used in the performance criteria, is detailed below. Essential operating con</w:t>
            </w:r>
            <w:r w:rsidRPr="00ED2AA4">
              <w:t>ditions that may be present with training and assessment (depending on the work situation, needs of the candidate, accessibility of the item, and local industry and regional contexts) may also be included.</w:t>
            </w:r>
          </w:p>
        </w:tc>
      </w:tr>
      <w:tr w:rsidTr="00EC2FE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Material</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t>Metallic and non-metallic materials, in</w:t>
            </w:r>
            <w:r w:rsidRPr="00ED2AA4">
              <w:t>cluding low carbon steels</w:t>
            </w:r>
          </w:p>
        </w:tc>
      </w:tr>
      <w:tr w:rsidTr="00EC2FE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Welding</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r w:rsidRPr="00ED2AA4">
              <w:t>Spot, resistance, hot air, ultrasonic</w:t>
            </w:r>
          </w:p>
        </w:tc>
      </w:tr>
    </w:tbl>
    <w:p w:rsidR="00EC2FE8" w:rsidP="00ED2AA4">
      <w:pPr>
        <w:pStyle w:val="BodyText"/>
      </w:pPr>
    </w:p>
    <w:p w:rsidR="00EC2FE8" w:rsidP="00ED2AA4">
      <w:pPr>
        <w:pStyle w:val="BodyText"/>
      </w:pPr>
    </w:p>
    <w:p w:rsidR="00000000" w:rsidRPr="00ED2AA4" w:rsidP="00ED2AA4">
      <w:pPr>
        <w:pStyle w:val="Heading1"/>
      </w:pPr>
      <w:bookmarkStart w:id="12" w:name="O_210493"/>
      <w:bookmarkEnd w:id="12"/>
      <w:r w:rsidRPr="00ED2AA4">
        <w:t>Unit Sector(s)</w:t>
      </w:r>
    </w:p>
    <w:tbl>
      <w:tblPr>
        <w:tblW w:w="0" w:type="auto"/>
        <w:tblLayout w:type="fixed"/>
        <w:tblCellMar>
          <w:left w:w="62" w:type="dxa"/>
          <w:right w:w="62" w:type="dxa"/>
        </w:tblCellMar>
        <w:tblLook w:val="0000"/>
      </w:tblPr>
      <w:tblGrid>
        <w:gridCol w:w="2654"/>
        <w:gridCol w:w="5868"/>
      </w:tblGrid>
      <w:tr w:rsidTr="00EC2FE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p>
        </w:tc>
      </w:tr>
    </w:tbl>
    <w:p w:rsidR="00EC2FE8" w:rsidP="00ED2AA4">
      <w:pPr>
        <w:pStyle w:val="BodyText"/>
      </w:pPr>
    </w:p>
    <w:p w:rsidR="00EC2FE8" w:rsidP="00ED2AA4">
      <w:pPr>
        <w:pStyle w:val="BodyText"/>
      </w:pPr>
    </w:p>
    <w:p w:rsidR="00000000" w:rsidRPr="00ED2AA4" w:rsidP="00ED2AA4">
      <w:pPr>
        <w:pStyle w:val="Heading1"/>
      </w:pPr>
      <w:bookmarkStart w:id="13" w:name="O_210490"/>
      <w:bookmarkEnd w:id="13"/>
      <w:r w:rsidRPr="00ED2AA4">
        <w:t>Co-requisite units</w:t>
      </w:r>
    </w:p>
    <w:tbl>
      <w:tblPr>
        <w:tblW w:w="0" w:type="auto"/>
        <w:tblLayout w:type="fixed"/>
        <w:tblCellMar>
          <w:left w:w="62" w:type="dxa"/>
          <w:right w:w="62" w:type="dxa"/>
        </w:tblCellMar>
        <w:tblLook w:val="0000"/>
      </w:tblPr>
      <w:tblGrid>
        <w:gridCol w:w="2641"/>
        <w:gridCol w:w="1322"/>
        <w:gridCol w:w="4559"/>
      </w:tblGrid>
      <w:tr w:rsidTr="00EC2FE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p>
        </w:tc>
      </w:tr>
      <w:tr w:rsidTr="00EC2F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p>
        </w:tc>
      </w:tr>
      <w:tr w:rsidTr="00EC2F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p>
        </w:tc>
      </w:tr>
    </w:tbl>
    <w:p w:rsidR="00EC2FE8" w:rsidP="00ED2AA4">
      <w:pPr>
        <w:pStyle w:val="BodyText"/>
      </w:pPr>
    </w:p>
    <w:p w:rsidR="00EC2FE8" w:rsidP="00ED2AA4">
      <w:pPr>
        <w:pStyle w:val="BodyText"/>
      </w:pPr>
    </w:p>
    <w:p w:rsidR="00000000" w:rsidRPr="00ED2AA4" w:rsidP="00ED2AA4">
      <w:pPr>
        <w:pStyle w:val="Heading1"/>
      </w:pPr>
      <w:bookmarkStart w:id="14" w:name="O_210492"/>
      <w:bookmarkEnd w:id="14"/>
      <w:r w:rsidRPr="00ED2AA4">
        <w:t>Competency field</w:t>
      </w:r>
    </w:p>
    <w:tbl>
      <w:tblPr>
        <w:tblW w:w="0" w:type="auto"/>
        <w:tblLayout w:type="fixed"/>
        <w:tblCellMar>
          <w:left w:w="62" w:type="dxa"/>
          <w:right w:w="62" w:type="dxa"/>
        </w:tblCellMar>
        <w:tblLook w:val="0000"/>
      </w:tblPr>
      <w:tblGrid>
        <w:gridCol w:w="2776"/>
        <w:gridCol w:w="5746"/>
      </w:tblGrid>
      <w:tr w:rsidTr="00EC2FE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AA4">
            <w:pPr>
              <w:pStyle w:val="BodyText"/>
              <w:rPr>
                <w:lang w:val="en-NZ"/>
              </w:rPr>
            </w:pPr>
            <w:r w:rsidRPr="00ED2AA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AA4" w:rsidP="00ED2AA4">
            <w:pPr>
              <w:pStyle w:val="BodyText"/>
            </w:pPr>
            <w:r w:rsidRPr="00ED2AA4">
              <w:t>Fabrication</w:t>
            </w:r>
          </w:p>
        </w:tc>
      </w:tr>
    </w:tbl>
    <w:p w:rsidR="00EC2FE8" w:rsidP="00ED2AA4">
      <w:pPr>
        <w:pStyle w:val="BodyText"/>
      </w:pPr>
    </w:p>
    <w:p w:rsidR="00EC2FE8" w:rsidP="00ED2AA4">
      <w:pPr>
        <w:pStyle w:val="BodyText"/>
      </w:pPr>
    </w:p>
    <w:p w:rsidR="00000000" w:rsidRPr="00ED2AA4" w:rsidP="00ED2AA4"/>
    <w:sectPr w:rsidSect="00ED2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FE8" w:rsidP="00EC2F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E8" w:rsidP="00ED2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2FE8" w:rsidP="00ED2A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2FE8" w:rsidP="00ED2A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AA4" w:rsidRPr="00EC2FE8" w:rsidP="00EC2F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E8" w:rsidP="00ED2AA4">
    <w:pPr>
      <w:pStyle w:val="Header"/>
      <w:framePr w:wrap="around"/>
    </w:pPr>
    <w:r>
      <w:fldChar w:fldCharType="begin"/>
    </w:r>
    <w:r>
      <w:instrText xml:space="preserve"> TITLE   \* MERGEFORMAT </w:instrText>
    </w:r>
    <w:r>
      <w:fldChar w:fldCharType="separate"/>
    </w:r>
    <w:r>
      <w:t>MEM05013C Perform manual production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2FE8" w:rsidP="00ED2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32EA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E2D4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A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2AA4"/>
    <w:pPr>
      <w:spacing w:before="360" w:after="60"/>
      <w:outlineLvl w:val="0"/>
    </w:pPr>
    <w:rPr>
      <w:sz w:val="32"/>
    </w:rPr>
  </w:style>
  <w:style w:type="paragraph" w:styleId="Heading2">
    <w:name w:val="heading 2"/>
    <w:basedOn w:val="HeadingBase"/>
    <w:next w:val="BodyText"/>
    <w:link w:val="Heading2Char"/>
    <w:qFormat/>
    <w:rsid w:val="00ED2AA4"/>
    <w:pPr>
      <w:keepLines/>
      <w:spacing w:before="240" w:after="120"/>
      <w:outlineLvl w:val="1"/>
    </w:pPr>
    <w:rPr>
      <w:sz w:val="28"/>
      <w:szCs w:val="40"/>
    </w:rPr>
  </w:style>
  <w:style w:type="paragraph" w:styleId="Heading3">
    <w:name w:val="heading 3"/>
    <w:basedOn w:val="HeadingBase"/>
    <w:next w:val="BodyText"/>
    <w:link w:val="Heading3Char"/>
    <w:qFormat/>
    <w:rsid w:val="00ED2AA4"/>
    <w:pPr>
      <w:spacing w:before="180" w:after="120"/>
      <w:outlineLvl w:val="2"/>
    </w:pPr>
    <w:rPr>
      <w:spacing w:val="-10"/>
      <w:kern w:val="32"/>
    </w:rPr>
  </w:style>
  <w:style w:type="paragraph" w:styleId="Heading4">
    <w:name w:val="heading 4"/>
    <w:basedOn w:val="HeadingBase"/>
    <w:next w:val="BodyText"/>
    <w:link w:val="Heading4Char"/>
    <w:qFormat/>
    <w:rsid w:val="00ED2AA4"/>
    <w:pPr>
      <w:spacing w:before="160" w:after="120"/>
      <w:outlineLvl w:val="3"/>
    </w:pPr>
    <w:rPr>
      <w:sz w:val="22"/>
    </w:rPr>
  </w:style>
  <w:style w:type="paragraph" w:styleId="Heading5">
    <w:name w:val="heading 5"/>
    <w:basedOn w:val="HeadingBase"/>
    <w:next w:val="Normal"/>
    <w:link w:val="Heading5Char"/>
    <w:qFormat/>
    <w:rsid w:val="00ED2AA4"/>
    <w:pPr>
      <w:spacing w:before="80"/>
      <w:outlineLvl w:val="4"/>
    </w:pPr>
    <w:rPr>
      <w:color w:val="918585"/>
      <w:sz w:val="20"/>
    </w:rPr>
  </w:style>
  <w:style w:type="paragraph" w:styleId="Heading6">
    <w:name w:val="heading 6"/>
    <w:basedOn w:val="HeadingBase"/>
    <w:next w:val="Normal"/>
    <w:link w:val="Heading6Char"/>
    <w:qFormat/>
    <w:rsid w:val="00ED2AA4"/>
    <w:pPr>
      <w:spacing w:before="60"/>
      <w:outlineLvl w:val="5"/>
    </w:pPr>
    <w:rPr>
      <w:color w:val="918585"/>
      <w:sz w:val="20"/>
    </w:rPr>
  </w:style>
  <w:style w:type="paragraph" w:styleId="Heading7">
    <w:name w:val="heading 7"/>
    <w:basedOn w:val="Normal"/>
    <w:next w:val="Normal"/>
    <w:link w:val="Heading7Char"/>
    <w:qFormat/>
    <w:rsid w:val="00ED2AA4"/>
    <w:pPr>
      <w:ind w:left="720"/>
      <w:outlineLvl w:val="6"/>
    </w:pPr>
    <w:rPr>
      <w:i/>
    </w:rPr>
  </w:style>
  <w:style w:type="paragraph" w:styleId="Heading8">
    <w:name w:val="heading 8"/>
    <w:basedOn w:val="Normal"/>
    <w:next w:val="Normal"/>
    <w:link w:val="Heading8Char"/>
    <w:qFormat/>
    <w:rsid w:val="00ED2AA4"/>
    <w:pPr>
      <w:ind w:left="720"/>
      <w:outlineLvl w:val="7"/>
    </w:pPr>
    <w:rPr>
      <w:i/>
    </w:rPr>
  </w:style>
  <w:style w:type="paragraph" w:styleId="Heading9">
    <w:name w:val="heading 9"/>
    <w:basedOn w:val="Normal"/>
    <w:next w:val="Normal"/>
    <w:link w:val="Heading9Char"/>
    <w:qFormat/>
    <w:rsid w:val="00ED2AA4"/>
    <w:pPr>
      <w:ind w:left="720"/>
      <w:outlineLvl w:val="8"/>
    </w:pPr>
    <w:rPr>
      <w:i/>
    </w:rPr>
  </w:style>
  <w:style w:type="character" w:default="1" w:styleId="DefaultParagraphFont">
    <w:name w:val="Default Paragraph Font"/>
    <w:uiPriority w:val="1"/>
    <w:unhideWhenUsed/>
    <w:rsid w:val="00ED2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AA4"/>
  </w:style>
  <w:style w:type="character" w:customStyle="1" w:styleId="Heading1Char">
    <w:name w:val="Heading 1 Char"/>
    <w:link w:val="Heading1"/>
    <w:rsid w:val="00ED2AA4"/>
    <w:rPr>
      <w:rFonts w:ascii="Times New Roman" w:eastAsia="Times New Roman" w:hAnsi="Times New Roman" w:cs="Times New Roman"/>
      <w:b/>
      <w:sz w:val="32"/>
      <w:szCs w:val="20"/>
      <w:lang w:eastAsia="en-US"/>
    </w:rPr>
  </w:style>
  <w:style w:type="paragraph" w:styleId="BodyText">
    <w:name w:val="Body Text"/>
    <w:basedOn w:val="Normal"/>
    <w:link w:val="BodyTextChar"/>
    <w:rsid w:val="00ED2AA4"/>
    <w:pPr>
      <w:spacing w:before="120" w:after="120"/>
      <w:contextualSpacing/>
    </w:pPr>
    <w:rPr>
      <w:rFonts w:ascii="Times New Roman" w:hAnsi="Times New Roman"/>
      <w:sz w:val="24"/>
      <w:szCs w:val="22"/>
    </w:rPr>
  </w:style>
  <w:style w:type="character" w:customStyle="1" w:styleId="BodyTextChar">
    <w:name w:val="Body Text Char"/>
    <w:link w:val="BodyText"/>
    <w:rsid w:val="00ED2AA4"/>
    <w:rPr>
      <w:rFonts w:ascii="Times New Roman" w:eastAsia="Times New Roman" w:hAnsi="Times New Roman" w:cs="Times New Roman"/>
      <w:sz w:val="24"/>
      <w:lang w:val="en-US" w:eastAsia="en-US"/>
    </w:rPr>
  </w:style>
  <w:style w:type="paragraph" w:styleId="Footer">
    <w:name w:val="footer"/>
    <w:basedOn w:val="Normal"/>
    <w:link w:val="FooterChar"/>
    <w:rsid w:val="00ED2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D2AA4"/>
    <w:rPr>
      <w:rFonts w:ascii="Times New Roman" w:eastAsia="Times New Roman" w:hAnsi="Times New Roman" w:cs="Times New Roman"/>
      <w:sz w:val="16"/>
      <w:lang w:val="en-US" w:eastAsia="en-US"/>
    </w:rPr>
  </w:style>
  <w:style w:type="paragraph" w:styleId="List">
    <w:name w:val="List"/>
    <w:basedOn w:val="BodyText"/>
    <w:next w:val="BodyText"/>
    <w:rsid w:val="00ED2AA4"/>
    <w:pPr>
      <w:tabs>
        <w:tab w:val="left" w:pos="340"/>
      </w:tabs>
      <w:spacing w:before="60" w:after="60"/>
      <w:ind w:left="340" w:hanging="340"/>
    </w:pPr>
  </w:style>
  <w:style w:type="paragraph" w:styleId="ListBullet">
    <w:name w:val="List Bullet"/>
    <w:basedOn w:val="List"/>
    <w:rsid w:val="00ED2AA4"/>
    <w:pPr>
      <w:numPr>
        <w:numId w:val="12"/>
      </w:numPr>
      <w:tabs>
        <w:tab w:val="clear" w:pos="340"/>
      </w:tabs>
      <w:spacing w:before="40" w:after="40"/>
    </w:pPr>
  </w:style>
  <w:style w:type="character" w:customStyle="1" w:styleId="SpecialBold">
    <w:name w:val="Special Bold"/>
    <w:rsid w:val="00ED2AA4"/>
    <w:rPr>
      <w:b/>
      <w:spacing w:val="0"/>
    </w:rPr>
  </w:style>
  <w:style w:type="paragraph" w:customStyle="1" w:styleId="SuperHeading">
    <w:name w:val="SuperHeading"/>
    <w:basedOn w:val="Normal"/>
    <w:rsid w:val="00ED2AA4"/>
    <w:pPr>
      <w:spacing w:before="240" w:after="120"/>
      <w:outlineLvl w:val="0"/>
    </w:pPr>
    <w:rPr>
      <w:rFonts w:ascii="Times New Roman" w:hAnsi="Times New Roman"/>
      <w:b/>
      <w:sz w:val="28"/>
    </w:rPr>
  </w:style>
  <w:style w:type="paragraph" w:customStyle="1" w:styleId="AllowPageBreak">
    <w:name w:val="AllowPageBreak"/>
    <w:rsid w:val="00ED2A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2AA4"/>
    <w:pPr>
      <w:tabs>
        <w:tab w:val="left" w:pos="680"/>
      </w:tabs>
      <w:spacing w:before="60" w:after="60"/>
      <w:ind w:left="680" w:hanging="340"/>
    </w:pPr>
  </w:style>
  <w:style w:type="character" w:customStyle="1" w:styleId="Heading2Char">
    <w:name w:val="Heading 2 Char"/>
    <w:link w:val="Heading2"/>
    <w:rsid w:val="00ED2AA4"/>
    <w:rPr>
      <w:rFonts w:ascii="Times New Roman" w:eastAsia="Times New Roman" w:hAnsi="Times New Roman" w:cs="Times New Roman"/>
      <w:b/>
      <w:sz w:val="28"/>
      <w:szCs w:val="40"/>
      <w:lang w:eastAsia="en-US"/>
    </w:rPr>
  </w:style>
  <w:style w:type="character" w:customStyle="1" w:styleId="Heading3Char">
    <w:name w:val="Heading 3 Char"/>
    <w:link w:val="Heading3"/>
    <w:rsid w:val="00ED2A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D2AA4"/>
    <w:rPr>
      <w:rFonts w:ascii="Times New Roman" w:eastAsia="Times New Roman" w:hAnsi="Times New Roman" w:cs="Times New Roman"/>
      <w:b/>
      <w:szCs w:val="20"/>
      <w:lang w:eastAsia="en-US"/>
    </w:rPr>
  </w:style>
  <w:style w:type="character" w:customStyle="1" w:styleId="Heading5Char">
    <w:name w:val="Heading 5 Char"/>
    <w:link w:val="Heading5"/>
    <w:rsid w:val="00ED2A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D2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A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2A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2AA4"/>
    <w:rPr>
      <w:rFonts w:ascii="Courier New" w:eastAsia="Times New Roman" w:hAnsi="Courier New" w:cs="Times New Roman"/>
      <w:i/>
      <w:szCs w:val="20"/>
      <w:lang w:val="en-US" w:eastAsia="en-US"/>
    </w:rPr>
  </w:style>
  <w:style w:type="paragraph" w:customStyle="1" w:styleId="HeadingBase">
    <w:name w:val="Heading Base"/>
    <w:rsid w:val="00ED2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AA4"/>
    <w:pPr>
      <w:tabs>
        <w:tab w:val="right" w:leader="dot" w:pos="9072"/>
      </w:tabs>
      <w:ind w:left="567"/>
    </w:pPr>
    <w:rPr>
      <w:szCs w:val="22"/>
    </w:rPr>
  </w:style>
  <w:style w:type="paragraph" w:customStyle="1" w:styleId="TOCBase">
    <w:name w:val="TOC Base"/>
    <w:rsid w:val="00ED2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AA4"/>
    <w:pPr>
      <w:tabs>
        <w:tab w:val="right" w:leader="dot" w:pos="9072"/>
      </w:tabs>
      <w:spacing w:before="40" w:after="40"/>
      <w:ind w:left="284"/>
    </w:pPr>
    <w:rPr>
      <w:rFonts w:ascii="Times New Roman" w:hAnsi="Times New Roman"/>
    </w:rPr>
  </w:style>
  <w:style w:type="paragraph" w:styleId="TOC1">
    <w:name w:val="toc 1"/>
    <w:basedOn w:val="TOCBase"/>
    <w:next w:val="Normal"/>
    <w:rsid w:val="00ED2A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2AA4"/>
    <w:pPr>
      <w:spacing w:before="5040"/>
      <w:jc w:val="center"/>
    </w:pPr>
    <w:rPr>
      <w:sz w:val="48"/>
      <w:szCs w:val="72"/>
      <w:lang w:val="en-US"/>
    </w:rPr>
  </w:style>
  <w:style w:type="character" w:customStyle="1" w:styleId="TitleChar">
    <w:name w:val="Title Char"/>
    <w:link w:val="Title"/>
    <w:rsid w:val="00ED2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AA4"/>
    <w:pPr>
      <w:tabs>
        <w:tab w:val="left" w:pos="3600"/>
        <w:tab w:val="left" w:pos="3958"/>
      </w:tabs>
    </w:pPr>
  </w:style>
  <w:style w:type="paragraph" w:customStyle="1" w:styleId="Note">
    <w:name w:val="Note"/>
    <w:basedOn w:val="BodyText"/>
    <w:rsid w:val="00ED2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AA4"/>
    <w:pPr>
      <w:framePr w:wrap="auto" w:hAnchor="text" w:y="6049"/>
    </w:pPr>
    <w:rPr>
      <w:color w:val="000000"/>
      <w:sz w:val="40"/>
    </w:rPr>
  </w:style>
  <w:style w:type="paragraph" w:customStyle="1" w:styleId="TOCTitle">
    <w:name w:val="TOCTitle"/>
    <w:basedOn w:val="Heading1"/>
    <w:rsid w:val="00ED2AA4"/>
    <w:pPr>
      <w:spacing w:after="240"/>
      <w:jc w:val="center"/>
      <w:outlineLvl w:val="9"/>
    </w:pPr>
    <w:rPr>
      <w:caps/>
    </w:rPr>
  </w:style>
  <w:style w:type="paragraph" w:customStyle="1" w:styleId="Version">
    <w:name w:val="Version"/>
    <w:rsid w:val="00ED2A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2AA4"/>
    <w:pPr>
      <w:numPr>
        <w:numId w:val="13"/>
      </w:numPr>
      <w:tabs>
        <w:tab w:val="clear" w:pos="680"/>
      </w:tabs>
    </w:pPr>
  </w:style>
  <w:style w:type="paragraph" w:styleId="Index1">
    <w:name w:val="index 1"/>
    <w:basedOn w:val="Normal"/>
    <w:next w:val="Normal"/>
    <w:semiHidden/>
    <w:rsid w:val="00ED2AA4"/>
    <w:pPr>
      <w:keepNext w:val="0"/>
      <w:tabs>
        <w:tab w:val="right" w:pos="4176"/>
      </w:tabs>
      <w:ind w:left="198" w:hanging="198"/>
    </w:pPr>
    <w:rPr>
      <w:rFonts w:ascii="Garamond" w:hAnsi="Garamond"/>
    </w:rPr>
  </w:style>
  <w:style w:type="paragraph" w:styleId="IndexHeading">
    <w:name w:val="index heading"/>
    <w:basedOn w:val="Normal"/>
    <w:next w:val="Index1"/>
    <w:semiHidden/>
    <w:rsid w:val="00ED2AA4"/>
    <w:pPr>
      <w:spacing w:before="120" w:after="120"/>
    </w:pPr>
    <w:rPr>
      <w:rFonts w:ascii="Arial" w:hAnsi="Arial"/>
      <w:b/>
      <w:color w:val="918585"/>
      <w:sz w:val="24"/>
    </w:rPr>
  </w:style>
  <w:style w:type="paragraph" w:styleId="Header">
    <w:name w:val="header"/>
    <w:basedOn w:val="Normal"/>
    <w:link w:val="HeaderChar"/>
    <w:rsid w:val="00ED2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D2AA4"/>
    <w:rPr>
      <w:rFonts w:ascii="Times New Roman" w:eastAsia="Times New Roman" w:hAnsi="Times New Roman" w:cs="Times New Roman"/>
      <w:sz w:val="16"/>
      <w:szCs w:val="20"/>
      <w:lang w:val="en-GB" w:eastAsia="en-US"/>
    </w:rPr>
  </w:style>
  <w:style w:type="paragraph" w:customStyle="1" w:styleId="Chapter">
    <w:name w:val="Chapter"/>
    <w:basedOn w:val="Normal"/>
    <w:rsid w:val="00ED2AA4"/>
    <w:pPr>
      <w:spacing w:before="240"/>
    </w:pPr>
    <w:rPr>
      <w:rFonts w:ascii="Times New Roman" w:hAnsi="Times New Roman"/>
      <w:smallCaps/>
      <w:spacing w:val="80"/>
      <w:sz w:val="28"/>
    </w:rPr>
  </w:style>
  <w:style w:type="paragraph" w:customStyle="1" w:styleId="InChapter">
    <w:name w:val="InChapter"/>
    <w:basedOn w:val="Heading3"/>
    <w:rsid w:val="00ED2AA4"/>
    <w:pPr>
      <w:spacing w:after="240"/>
      <w:outlineLvl w:val="9"/>
    </w:pPr>
    <w:rPr>
      <w:noProof/>
    </w:rPr>
  </w:style>
  <w:style w:type="paragraph" w:styleId="Index2">
    <w:name w:val="index 2"/>
    <w:basedOn w:val="Normal"/>
    <w:next w:val="Normal"/>
    <w:semiHidden/>
    <w:rsid w:val="00ED2AA4"/>
    <w:pPr>
      <w:tabs>
        <w:tab w:val="right" w:pos="4176"/>
      </w:tabs>
      <w:ind w:left="568" w:hanging="284"/>
    </w:pPr>
    <w:rPr>
      <w:rFonts w:ascii="Garamond" w:hAnsi="Garamond"/>
    </w:rPr>
  </w:style>
  <w:style w:type="paragraph" w:customStyle="1" w:styleId="Byline">
    <w:name w:val="Byline"/>
    <w:rsid w:val="00ED2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AA4"/>
    <w:pPr>
      <w:tabs>
        <w:tab w:val="clear" w:pos="3600"/>
        <w:tab w:val="clear" w:pos="3958"/>
      </w:tabs>
      <w:jc w:val="right"/>
    </w:pPr>
  </w:style>
  <w:style w:type="character" w:styleId="Emphasis">
    <w:name w:val="Emphasis"/>
    <w:qFormat/>
    <w:rsid w:val="00ED2AA4"/>
    <w:rPr>
      <w:i/>
    </w:rPr>
  </w:style>
  <w:style w:type="paragraph" w:styleId="Caption">
    <w:name w:val="caption"/>
    <w:basedOn w:val="BodyText"/>
    <w:next w:val="Normal"/>
    <w:qFormat/>
    <w:rsid w:val="00ED2AA4"/>
    <w:pPr>
      <w:framePr w:w="2268" w:hSpace="181" w:vSpace="181" w:wrap="around" w:vAnchor="text" w:hAnchor="page" w:x="1135" w:y="285" w:anchorLock="1"/>
    </w:pPr>
    <w:rPr>
      <w:i/>
    </w:rPr>
  </w:style>
  <w:style w:type="paragraph" w:customStyle="1" w:styleId="MiniTOCTitle">
    <w:name w:val="MiniTOCTitle"/>
    <w:basedOn w:val="Heading4"/>
    <w:rsid w:val="00ED2AA4"/>
    <w:pPr>
      <w:spacing w:before="240"/>
      <w:outlineLvl w:val="9"/>
    </w:pPr>
    <w:rPr>
      <w:noProof/>
      <w:sz w:val="24"/>
    </w:rPr>
  </w:style>
  <w:style w:type="paragraph" w:customStyle="1" w:styleId="MiniTOCItem">
    <w:name w:val="MiniTOCItem"/>
    <w:basedOn w:val="ListBullet"/>
    <w:rsid w:val="00ED2AA4"/>
    <w:pPr>
      <w:numPr>
        <w:numId w:val="0"/>
      </w:numPr>
      <w:tabs>
        <w:tab w:val="right" w:leader="dot" w:pos="6521"/>
      </w:tabs>
      <w:spacing w:before="0" w:after="0"/>
    </w:pPr>
  </w:style>
  <w:style w:type="paragraph" w:customStyle="1" w:styleId="TOFTitle">
    <w:name w:val="TOFTitle"/>
    <w:basedOn w:val="TOCTitle"/>
    <w:rsid w:val="00ED2AA4"/>
  </w:style>
  <w:style w:type="paragraph" w:styleId="TableofFigures">
    <w:name w:val="table of figures"/>
    <w:basedOn w:val="Normal"/>
    <w:next w:val="Normal"/>
    <w:semiHidden/>
    <w:rsid w:val="00ED2AA4"/>
    <w:pPr>
      <w:tabs>
        <w:tab w:val="right" w:leader="dot" w:pos="9072"/>
      </w:tabs>
      <w:ind w:left="970" w:hanging="403"/>
    </w:pPr>
    <w:rPr>
      <w:rFonts w:ascii="Times New Roman" w:hAnsi="Times New Roman"/>
      <w:b/>
    </w:rPr>
  </w:style>
  <w:style w:type="paragraph" w:styleId="ListNumber">
    <w:name w:val="List Number"/>
    <w:basedOn w:val="List"/>
    <w:rsid w:val="00ED2AA4"/>
    <w:pPr>
      <w:numPr>
        <w:numId w:val="10"/>
      </w:numPr>
    </w:pPr>
  </w:style>
  <w:style w:type="character" w:customStyle="1" w:styleId="WingdingSymbols">
    <w:name w:val="Wingding Symbols"/>
    <w:rsid w:val="00ED2AA4"/>
    <w:rPr>
      <w:rFonts w:ascii="Wingdings" w:hAnsi="Wingdings"/>
    </w:rPr>
  </w:style>
  <w:style w:type="paragraph" w:customStyle="1" w:styleId="TableHeading">
    <w:name w:val="Table Heading"/>
    <w:basedOn w:val="HeadingBase"/>
    <w:rsid w:val="00ED2AA4"/>
    <w:pPr>
      <w:keepLines/>
      <w:pBdr>
        <w:bottom w:val="single" w:sz="6" w:space="1" w:color="918585"/>
      </w:pBdr>
      <w:spacing w:before="240"/>
    </w:pPr>
  </w:style>
  <w:style w:type="character" w:customStyle="1" w:styleId="HotSpot">
    <w:name w:val="HotSpot"/>
    <w:rsid w:val="00ED2AA4"/>
    <w:rPr>
      <w:color w:val="0033CC"/>
      <w:u w:val="none"/>
    </w:rPr>
  </w:style>
  <w:style w:type="paragraph" w:customStyle="1" w:styleId="BodyTextRight">
    <w:name w:val="Body Text Right"/>
    <w:basedOn w:val="BodyText"/>
    <w:rsid w:val="00ED2AA4"/>
    <w:pPr>
      <w:spacing w:before="0" w:after="0"/>
      <w:jc w:val="right"/>
    </w:pPr>
  </w:style>
  <w:style w:type="paragraph" w:styleId="Index3">
    <w:name w:val="index 3"/>
    <w:basedOn w:val="ListNumber2"/>
    <w:next w:val="Normal"/>
    <w:semiHidden/>
    <w:rsid w:val="00ED2AA4"/>
    <w:pPr>
      <w:numPr>
        <w:numId w:val="0"/>
      </w:numPr>
      <w:tabs>
        <w:tab w:val="right" w:leader="dot" w:pos="4176"/>
      </w:tabs>
    </w:pPr>
  </w:style>
  <w:style w:type="paragraph" w:styleId="ListNumber2">
    <w:name w:val="List Number 2"/>
    <w:basedOn w:val="List2"/>
    <w:rsid w:val="00ED2AA4"/>
    <w:pPr>
      <w:numPr>
        <w:numId w:val="9"/>
      </w:numPr>
      <w:tabs>
        <w:tab w:val="clear" w:pos="1060"/>
      </w:tabs>
    </w:pPr>
  </w:style>
  <w:style w:type="paragraph" w:customStyle="1" w:styleId="MarginNote">
    <w:name w:val="Margin Note"/>
    <w:basedOn w:val="BodyText"/>
    <w:rsid w:val="00ED2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D2A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2AA4"/>
    <w:rPr>
      <w:sz w:val="32"/>
    </w:rPr>
  </w:style>
  <w:style w:type="paragraph" w:customStyle="1" w:styleId="HeadingProcedure">
    <w:name w:val="Heading Procedure"/>
    <w:basedOn w:val="HeadingBase"/>
    <w:next w:val="Normal"/>
    <w:rsid w:val="00ED2AA4"/>
    <w:pPr>
      <w:tabs>
        <w:tab w:val="left" w:pos="0"/>
      </w:tabs>
      <w:spacing w:before="120" w:after="60"/>
    </w:pPr>
    <w:rPr>
      <w:i/>
      <w:color w:val="918585"/>
      <w:sz w:val="22"/>
    </w:rPr>
  </w:style>
  <w:style w:type="paragraph" w:customStyle="1" w:styleId="TableBodyText">
    <w:name w:val="Table Body Text"/>
    <w:basedOn w:val="BodyText"/>
    <w:rsid w:val="00ED2AA4"/>
    <w:pPr>
      <w:spacing w:before="60" w:after="60"/>
    </w:pPr>
  </w:style>
  <w:style w:type="paragraph" w:styleId="ListContinue">
    <w:name w:val="List Continue"/>
    <w:basedOn w:val="List"/>
    <w:rsid w:val="00ED2AA4"/>
    <w:pPr>
      <w:ind w:firstLine="0"/>
    </w:pPr>
  </w:style>
  <w:style w:type="paragraph" w:customStyle="1" w:styleId="ListNote">
    <w:name w:val="List Note"/>
    <w:basedOn w:val="List"/>
    <w:rsid w:val="00ED2AA4"/>
    <w:pPr>
      <w:pBdr>
        <w:top w:val="single" w:sz="6" w:space="2" w:color="918585"/>
        <w:bottom w:val="single" w:sz="6" w:space="2" w:color="918585"/>
      </w:pBdr>
      <w:tabs>
        <w:tab w:val="left" w:pos="1021"/>
      </w:tabs>
      <w:ind w:firstLine="0"/>
    </w:pPr>
  </w:style>
  <w:style w:type="paragraph" w:customStyle="1" w:styleId="Warning">
    <w:name w:val="Warning"/>
    <w:basedOn w:val="BodyText"/>
    <w:rsid w:val="00ED2AA4"/>
    <w:pPr>
      <w:shd w:val="clear" w:color="auto" w:fill="D9D9D9"/>
      <w:tabs>
        <w:tab w:val="left" w:pos="992"/>
      </w:tabs>
      <w:ind w:left="119" w:right="119"/>
    </w:pPr>
    <w:rPr>
      <w:sz w:val="20"/>
    </w:rPr>
  </w:style>
  <w:style w:type="paragraph" w:customStyle="1" w:styleId="MarginIcons">
    <w:name w:val="Margin Icons"/>
    <w:basedOn w:val="BodyText"/>
    <w:rsid w:val="00ED2A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D2AA4"/>
    <w:rPr>
      <w:rFonts w:ascii="Courier New" w:hAnsi="Courier New"/>
    </w:rPr>
  </w:style>
  <w:style w:type="paragraph" w:customStyle="1" w:styleId="NoteBullet">
    <w:name w:val="Note Bullet"/>
    <w:basedOn w:val="Note"/>
    <w:rsid w:val="00ED2AA4"/>
    <w:pPr>
      <w:tabs>
        <w:tab w:val="clear" w:pos="680"/>
      </w:tabs>
      <w:spacing w:before="60" w:after="60"/>
    </w:pPr>
  </w:style>
  <w:style w:type="paragraph" w:customStyle="1" w:styleId="SubHeading2">
    <w:name w:val="SubHeading2"/>
    <w:basedOn w:val="HeadingBase"/>
    <w:rsid w:val="00ED2AA4"/>
    <w:pPr>
      <w:spacing w:before="240" w:after="60"/>
    </w:pPr>
    <w:rPr>
      <w:sz w:val="20"/>
    </w:rPr>
  </w:style>
  <w:style w:type="paragraph" w:customStyle="1" w:styleId="SubHeading1">
    <w:name w:val="SubHeading1"/>
    <w:basedOn w:val="HeadingBase"/>
    <w:rsid w:val="00ED2AA4"/>
    <w:pPr>
      <w:spacing w:before="240" w:after="60"/>
    </w:pPr>
    <w:rPr>
      <w:color w:val="918585"/>
      <w:sz w:val="22"/>
    </w:rPr>
  </w:style>
  <w:style w:type="paragraph" w:customStyle="1" w:styleId="SideHeading">
    <w:name w:val="Side Heading"/>
    <w:basedOn w:val="HeadingBase"/>
    <w:rsid w:val="00ED2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AA4"/>
    <w:pPr>
      <w:tabs>
        <w:tab w:val="num" w:pos="360"/>
      </w:tabs>
    </w:pPr>
  </w:style>
  <w:style w:type="paragraph" w:styleId="PlainText">
    <w:name w:val="Plain Text"/>
    <w:basedOn w:val="Normal"/>
    <w:link w:val="PlainTextChar"/>
    <w:rsid w:val="00ED2AA4"/>
    <w:rPr>
      <w:sz w:val="20"/>
    </w:rPr>
  </w:style>
  <w:style w:type="character" w:customStyle="1" w:styleId="PlainTextChar">
    <w:name w:val="Plain Text Char"/>
    <w:basedOn w:val="DefaultParagraphFont"/>
    <w:link w:val="PlainText"/>
    <w:rsid w:val="00ED2AA4"/>
    <w:rPr>
      <w:rFonts w:ascii="Courier New" w:eastAsia="Times New Roman" w:hAnsi="Courier New" w:cs="Times New Roman"/>
      <w:sz w:val="20"/>
      <w:szCs w:val="20"/>
      <w:lang w:val="en-US" w:eastAsia="en-US"/>
    </w:rPr>
  </w:style>
  <w:style w:type="character" w:customStyle="1" w:styleId="MenuOption">
    <w:name w:val="Menu Option"/>
    <w:rsid w:val="00ED2AA4"/>
    <w:rPr>
      <w:b/>
      <w:smallCaps/>
    </w:rPr>
  </w:style>
  <w:style w:type="paragraph" w:customStyle="1" w:styleId="TableListNumber">
    <w:name w:val="Table List Number"/>
    <w:basedOn w:val="ListNumber"/>
    <w:rsid w:val="00ED2AA4"/>
    <w:pPr>
      <w:numPr>
        <w:numId w:val="0"/>
      </w:numPr>
    </w:pPr>
  </w:style>
  <w:style w:type="paragraph" w:styleId="TOC4">
    <w:name w:val="toc 4"/>
    <w:basedOn w:val="TOCBase"/>
    <w:next w:val="Normal"/>
    <w:semiHidden/>
    <w:rsid w:val="00ED2AA4"/>
    <w:pPr>
      <w:tabs>
        <w:tab w:val="right" w:leader="dot" w:pos="9071"/>
      </w:tabs>
      <w:ind w:left="1701"/>
    </w:pPr>
  </w:style>
  <w:style w:type="paragraph" w:customStyle="1" w:styleId="ListAlpha">
    <w:name w:val="List Alpha"/>
    <w:basedOn w:val="List"/>
    <w:rsid w:val="00ED2AA4"/>
    <w:pPr>
      <w:numPr>
        <w:numId w:val="8"/>
      </w:numPr>
    </w:pPr>
  </w:style>
  <w:style w:type="paragraph" w:customStyle="1" w:styleId="ListAlpha2">
    <w:name w:val="List Alpha 2"/>
    <w:basedOn w:val="List2"/>
    <w:rsid w:val="00ED2AA4"/>
    <w:pPr>
      <w:numPr>
        <w:numId w:val="7"/>
      </w:numPr>
    </w:pPr>
  </w:style>
  <w:style w:type="paragraph" w:styleId="List3">
    <w:name w:val="List 3"/>
    <w:basedOn w:val="BodyText"/>
    <w:rsid w:val="00ED2AA4"/>
    <w:pPr>
      <w:tabs>
        <w:tab w:val="left" w:pos="1021"/>
      </w:tabs>
      <w:spacing w:before="60" w:after="60"/>
      <w:ind w:left="1020" w:hanging="340"/>
    </w:pPr>
  </w:style>
  <w:style w:type="paragraph" w:styleId="List4">
    <w:name w:val="List 4"/>
    <w:basedOn w:val="BodyText"/>
    <w:rsid w:val="00ED2AA4"/>
    <w:pPr>
      <w:tabs>
        <w:tab w:val="left" w:pos="1361"/>
      </w:tabs>
      <w:spacing w:before="60" w:after="60"/>
      <w:ind w:left="1361" w:hanging="340"/>
    </w:pPr>
  </w:style>
  <w:style w:type="paragraph" w:styleId="List5">
    <w:name w:val="List 5"/>
    <w:basedOn w:val="BodyText"/>
    <w:rsid w:val="00ED2AA4"/>
    <w:pPr>
      <w:tabs>
        <w:tab w:val="left" w:pos="1701"/>
      </w:tabs>
      <w:spacing w:before="60" w:after="60"/>
      <w:ind w:left="1701" w:hanging="340"/>
    </w:pPr>
  </w:style>
  <w:style w:type="paragraph" w:styleId="ListBullet3">
    <w:name w:val="List Bullet 3"/>
    <w:basedOn w:val="List3"/>
    <w:rsid w:val="00ED2AA4"/>
    <w:pPr>
      <w:numPr>
        <w:numId w:val="14"/>
      </w:numPr>
      <w:tabs>
        <w:tab w:val="clear" w:pos="1021"/>
      </w:tabs>
      <w:ind w:left="1037" w:hanging="357"/>
    </w:pPr>
  </w:style>
  <w:style w:type="paragraph" w:styleId="ListBullet4">
    <w:name w:val="List Bullet 4"/>
    <w:basedOn w:val="List4"/>
    <w:rsid w:val="00ED2AA4"/>
    <w:pPr>
      <w:numPr>
        <w:numId w:val="2"/>
      </w:numPr>
    </w:pPr>
  </w:style>
  <w:style w:type="paragraph" w:styleId="ListBullet5">
    <w:name w:val="List Bullet 5"/>
    <w:basedOn w:val="List5"/>
    <w:rsid w:val="00ED2AA4"/>
    <w:pPr>
      <w:numPr>
        <w:numId w:val="3"/>
      </w:numPr>
    </w:pPr>
  </w:style>
  <w:style w:type="paragraph" w:styleId="ListContinue2">
    <w:name w:val="List Continue 2"/>
    <w:basedOn w:val="List2"/>
    <w:rsid w:val="00ED2AA4"/>
    <w:pPr>
      <w:ind w:firstLine="0"/>
    </w:pPr>
  </w:style>
  <w:style w:type="paragraph" w:styleId="ListContinue3">
    <w:name w:val="List Continue 3"/>
    <w:basedOn w:val="List3"/>
    <w:rsid w:val="00ED2AA4"/>
    <w:pPr>
      <w:ind w:left="1021" w:firstLine="0"/>
    </w:pPr>
  </w:style>
  <w:style w:type="paragraph" w:styleId="ListContinue4">
    <w:name w:val="List Continue 4"/>
    <w:basedOn w:val="List4"/>
    <w:rsid w:val="00ED2AA4"/>
    <w:pPr>
      <w:ind w:firstLine="0"/>
    </w:pPr>
  </w:style>
  <w:style w:type="paragraph" w:styleId="ListContinue5">
    <w:name w:val="List Continue 5"/>
    <w:basedOn w:val="List5"/>
    <w:rsid w:val="00ED2AA4"/>
    <w:pPr>
      <w:ind w:firstLine="0"/>
    </w:pPr>
  </w:style>
  <w:style w:type="paragraph" w:styleId="ListNumber3">
    <w:name w:val="List Number 3"/>
    <w:basedOn w:val="List3"/>
    <w:rsid w:val="00ED2AA4"/>
    <w:pPr>
      <w:numPr>
        <w:numId w:val="4"/>
      </w:numPr>
    </w:pPr>
  </w:style>
  <w:style w:type="paragraph" w:styleId="ListNumber4">
    <w:name w:val="List Number 4"/>
    <w:basedOn w:val="List4"/>
    <w:rsid w:val="00ED2AA4"/>
    <w:pPr>
      <w:numPr>
        <w:numId w:val="5"/>
      </w:numPr>
    </w:pPr>
  </w:style>
  <w:style w:type="paragraph" w:styleId="ListNumber5">
    <w:name w:val="List Number 5"/>
    <w:basedOn w:val="List5"/>
    <w:rsid w:val="00ED2AA4"/>
    <w:pPr>
      <w:numPr>
        <w:numId w:val="6"/>
      </w:numPr>
    </w:pPr>
  </w:style>
  <w:style w:type="paragraph" w:styleId="BlockText">
    <w:name w:val="Block Text"/>
    <w:basedOn w:val="Normal"/>
    <w:rsid w:val="00ED2AA4"/>
    <w:pPr>
      <w:spacing w:after="120"/>
      <w:ind w:left="1440" w:right="1440"/>
    </w:pPr>
  </w:style>
  <w:style w:type="character" w:customStyle="1" w:styleId="Subscript">
    <w:name w:val="Subscript"/>
    <w:rsid w:val="00ED2AA4"/>
    <w:rPr>
      <w:sz w:val="16"/>
      <w:vertAlign w:val="subscript"/>
    </w:rPr>
  </w:style>
  <w:style w:type="character" w:customStyle="1" w:styleId="Superscript">
    <w:name w:val="Superscript"/>
    <w:rsid w:val="00ED2AA4"/>
    <w:rPr>
      <w:sz w:val="16"/>
      <w:vertAlign w:val="superscript"/>
    </w:rPr>
  </w:style>
  <w:style w:type="character" w:customStyle="1" w:styleId="Symbols">
    <w:name w:val="Symbols"/>
    <w:rsid w:val="00ED2AA4"/>
    <w:rPr>
      <w:rFonts w:ascii="Symbol" w:hAnsi="Symbol"/>
    </w:rPr>
  </w:style>
  <w:style w:type="character" w:customStyle="1" w:styleId="MenuOptions">
    <w:name w:val="Menu Options"/>
    <w:rsid w:val="00ED2AA4"/>
    <w:rPr>
      <w:rFonts w:ascii="Arial Narrow" w:hAnsi="Arial Narrow"/>
      <w:smallCaps/>
    </w:rPr>
  </w:style>
  <w:style w:type="character" w:customStyle="1" w:styleId="Buttons">
    <w:name w:val="Buttons"/>
    <w:rsid w:val="00ED2AA4"/>
    <w:rPr>
      <w:b/>
    </w:rPr>
  </w:style>
  <w:style w:type="character" w:customStyle="1" w:styleId="Underlined">
    <w:name w:val="Underlined"/>
    <w:rsid w:val="00ED2AA4"/>
    <w:rPr>
      <w:u w:val="single"/>
    </w:rPr>
  </w:style>
  <w:style w:type="paragraph" w:customStyle="1" w:styleId="TableBodyTextRight">
    <w:name w:val="Table Body Text Right"/>
    <w:basedOn w:val="TableBodyText"/>
    <w:rsid w:val="00ED2AA4"/>
    <w:pPr>
      <w:widowControl w:val="0"/>
      <w:autoSpaceDE w:val="0"/>
      <w:autoSpaceDN w:val="0"/>
      <w:adjustRightInd w:val="0"/>
      <w:jc w:val="right"/>
    </w:pPr>
    <w:rPr>
      <w:rFonts w:cs="Arial"/>
      <w:szCs w:val="18"/>
    </w:rPr>
  </w:style>
  <w:style w:type="paragraph" w:customStyle="1" w:styleId="CopyrightText">
    <w:name w:val="Copyright Text"/>
    <w:basedOn w:val="BodyText"/>
    <w:rsid w:val="00ED2AA4"/>
    <w:rPr>
      <w:sz w:val="18"/>
    </w:rPr>
  </w:style>
  <w:style w:type="paragraph" w:customStyle="1" w:styleId="BodySmallRight">
    <w:name w:val="Body Small Right"/>
    <w:basedOn w:val="BodyTextRight"/>
    <w:rsid w:val="00ED2AA4"/>
    <w:rPr>
      <w:sz w:val="18"/>
      <w:szCs w:val="18"/>
    </w:rPr>
  </w:style>
  <w:style w:type="paragraph" w:customStyle="1" w:styleId="MarginEdition">
    <w:name w:val="Margin Edition"/>
    <w:basedOn w:val="MarginNote"/>
    <w:rsid w:val="00ED2AA4"/>
    <w:pPr>
      <w:spacing w:before="0" w:after="0"/>
    </w:pPr>
    <w:rPr>
      <w:rFonts w:ascii="Times New Roman" w:hAnsi="Times New Roman"/>
      <w:color w:val="999999"/>
    </w:rPr>
  </w:style>
  <w:style w:type="paragraph" w:customStyle="1" w:styleId="Spacer">
    <w:name w:val="Spacer"/>
    <w:basedOn w:val="Normal"/>
    <w:rsid w:val="00ED2AA4"/>
    <w:rPr>
      <w:sz w:val="2"/>
      <w:szCs w:val="2"/>
    </w:rPr>
  </w:style>
  <w:style w:type="character" w:customStyle="1" w:styleId="Small">
    <w:name w:val="Small"/>
    <w:rsid w:val="00ED2AA4"/>
    <w:rPr>
      <w:sz w:val="16"/>
    </w:rPr>
  </w:style>
  <w:style w:type="paragraph" w:customStyle="1" w:styleId="WideTable">
    <w:name w:val="Wide Table"/>
    <w:basedOn w:val="Normal"/>
    <w:rsid w:val="00ED2AA4"/>
    <w:pPr>
      <w:ind w:left="-1418"/>
    </w:pPr>
    <w:rPr>
      <w:sz w:val="2"/>
      <w:szCs w:val="2"/>
    </w:rPr>
  </w:style>
  <w:style w:type="character" w:styleId="PageNumber">
    <w:name w:val="page number"/>
    <w:rsid w:val="00ED2AA4"/>
  </w:style>
  <w:style w:type="paragraph" w:styleId="Quote">
    <w:name w:val="Quote"/>
    <w:basedOn w:val="Heading1"/>
    <w:link w:val="QuoteChar"/>
    <w:qFormat/>
    <w:rsid w:val="00ED2AA4"/>
    <w:rPr>
      <w:b w:val="0"/>
      <w:sz w:val="72"/>
      <w:szCs w:val="72"/>
      <w:lang w:val="en-NZ"/>
    </w:rPr>
  </w:style>
  <w:style w:type="character" w:customStyle="1" w:styleId="QuoteChar">
    <w:name w:val="Quote Char"/>
    <w:link w:val="Quote"/>
    <w:rsid w:val="00ED2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AA4"/>
    <w:pPr>
      <w:pageBreakBefore/>
    </w:pPr>
  </w:style>
  <w:style w:type="paragraph" w:customStyle="1" w:styleId="Border">
    <w:name w:val="Border"/>
    <w:basedOn w:val="Normal"/>
    <w:qFormat/>
    <w:rsid w:val="00ED2AA4"/>
    <w:pPr>
      <w:pBdr>
        <w:top w:val="single" w:sz="18" w:space="1" w:color="auto"/>
      </w:pBdr>
    </w:pPr>
    <w:rPr>
      <w:rFonts w:ascii="Times New Roman" w:hAnsi="Times New Roman"/>
      <w:color w:val="FFFFFF"/>
      <w:sz w:val="2"/>
    </w:rPr>
  </w:style>
  <w:style w:type="character" w:styleId="IntenseEmphasis">
    <w:name w:val="Intense Emphasis"/>
    <w:uiPriority w:val="21"/>
    <w:qFormat/>
    <w:rsid w:val="00ED2AA4"/>
    <w:rPr>
      <w:b/>
      <w:bCs/>
      <w:i/>
      <w:iCs/>
      <w:color w:val="auto"/>
    </w:rPr>
  </w:style>
  <w:style w:type="paragraph" w:styleId="IntenseQuote">
    <w:name w:val="Intense Quote"/>
    <w:basedOn w:val="Normal"/>
    <w:next w:val="Normal"/>
    <w:link w:val="IntenseQuoteChar"/>
    <w:uiPriority w:val="30"/>
    <w:qFormat/>
    <w:rsid w:val="00ED2A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D2AA4"/>
    <w:rPr>
      <w:rFonts w:ascii="Courier New" w:eastAsia="Times New Roman" w:hAnsi="Courier New" w:cs="Times New Roman"/>
      <w:b/>
      <w:bCs/>
      <w:i/>
      <w:iCs/>
      <w:szCs w:val="20"/>
      <w:lang w:val="en-US" w:eastAsia="en-US"/>
    </w:rPr>
  </w:style>
  <w:style w:type="character" w:styleId="SubtleReference">
    <w:name w:val="Subtle Reference"/>
    <w:uiPriority w:val="31"/>
    <w:qFormat/>
    <w:rsid w:val="00ED2AA4"/>
    <w:rPr>
      <w:smallCaps/>
      <w:color w:val="auto"/>
      <w:u w:val="single"/>
    </w:rPr>
  </w:style>
  <w:style w:type="character" w:styleId="IntenseReference">
    <w:name w:val="Intense Reference"/>
    <w:uiPriority w:val="32"/>
    <w:qFormat/>
    <w:rsid w:val="00ED2AA4"/>
    <w:rPr>
      <w:b/>
      <w:bCs/>
      <w:smallCaps/>
      <w:color w:val="auto"/>
      <w:spacing w:val="5"/>
      <w:u w:val="single"/>
    </w:rPr>
  </w:style>
  <w:style w:type="paragraph" w:customStyle="1" w:styleId="2ColumnHeading">
    <w:name w:val="2Column Heading"/>
    <w:basedOn w:val="BodyText"/>
    <w:qFormat/>
    <w:rsid w:val="00ED2AA4"/>
    <w:pPr>
      <w:spacing w:after="60"/>
      <w:ind w:left="-2268"/>
    </w:pPr>
    <w:rPr>
      <w:b/>
    </w:rPr>
  </w:style>
  <w:style w:type="paragraph" w:customStyle="1" w:styleId="Heading1TOC">
    <w:name w:val="Heading1 TOC"/>
    <w:basedOn w:val="Normal"/>
    <w:qFormat/>
    <w:rsid w:val="00ED2AA4"/>
    <w:pPr>
      <w:spacing w:before="240" w:after="120"/>
    </w:pPr>
    <w:rPr>
      <w:rFonts w:ascii="Times New Roman" w:hAnsi="Times New Roman"/>
      <w:b/>
      <w:sz w:val="32"/>
    </w:rPr>
  </w:style>
  <w:style w:type="paragraph" w:customStyle="1" w:styleId="Heading2TOC">
    <w:name w:val="Heading2 TOC"/>
    <w:basedOn w:val="Normal"/>
    <w:qFormat/>
    <w:rsid w:val="00ED2AA4"/>
    <w:pPr>
      <w:spacing w:before="240" w:after="60"/>
    </w:pPr>
    <w:rPr>
      <w:rFonts w:ascii="Times New Roman" w:hAnsi="Times New Roman"/>
      <w:b/>
      <w:sz w:val="28"/>
    </w:rPr>
  </w:style>
  <w:style w:type="character" w:customStyle="1" w:styleId="Underline">
    <w:name w:val="Underline"/>
    <w:qFormat/>
    <w:rsid w:val="00ED2AA4"/>
    <w:rPr>
      <w:u w:val="single"/>
    </w:rPr>
  </w:style>
  <w:style w:type="character" w:customStyle="1" w:styleId="BoldandItalics">
    <w:name w:val="Bold and Italics"/>
    <w:qFormat/>
    <w:rsid w:val="00ED2AA4"/>
    <w:rPr>
      <w:b/>
      <w:i/>
      <w:u w:val="none"/>
    </w:rPr>
  </w:style>
  <w:style w:type="paragraph" w:styleId="BalloonText">
    <w:name w:val="Balloon Text"/>
    <w:basedOn w:val="Normal"/>
    <w:link w:val="BalloonTextChar"/>
    <w:rsid w:val="00ED2AA4"/>
    <w:rPr>
      <w:rFonts w:ascii="Tahoma" w:hAnsi="Tahoma" w:cs="Tahoma"/>
      <w:sz w:val="16"/>
      <w:szCs w:val="16"/>
    </w:rPr>
  </w:style>
  <w:style w:type="character" w:customStyle="1" w:styleId="BalloonTextChar">
    <w:name w:val="Balloon Text Char"/>
    <w:link w:val="BalloonText"/>
    <w:rsid w:val="00ED2A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2A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D2A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767</Words>
  <Characters>4663</Characters>
  <Application>Microsoft Office Word</Application>
  <DocSecurity>0</DocSecurity>
  <Lines>186</Lines>
  <Paragraphs>73</Paragraphs>
  <ScaleCrop>false</ScaleCrop>
  <Company>Author-it Software Corporation Ltd.</Company>
  <LinksUpToDate>false</LinksUpToDate>
  <CharactersWithSpaces>5367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MEM05013C Perform manual production welding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2012-05-27T01:29:00Z</dcterms:created>
  <dcterms:modified xsi:type="dcterms:W3CDTF">2012-05-27T01:29:00Z</dcterms:modified>
</cp:coreProperties>
</file>