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227" w:rsidP="001F1227">
      <w:pPr>
        <w:pStyle w:val="Title"/>
      </w:pPr>
      <w:r>
        <w:fldChar w:fldCharType="begin"/>
      </w:r>
      <w:r>
        <w:instrText xml:space="preserve"> TITLE   \* MERGEFORMAT </w:instrText>
      </w:r>
      <w:r>
        <w:fldChar w:fldCharType="separate"/>
      </w:r>
      <w:r>
        <w:t>MEM05009C Perform automated thermal cutting</w:t>
      </w:r>
      <w:r>
        <w:fldChar w:fldCharType="end"/>
      </w:r>
    </w:p>
    <w:p w:rsidR="001F1227" w:rsidP="001F1227">
      <w:pPr>
        <w:pStyle w:val="Version"/>
        <w:sectPr w:rsidSect="005B56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6A7" w:rsidP="005B56A7">
      <w:pPr>
        <w:pStyle w:val="SuperHeading"/>
      </w:pPr>
      <w:r w:rsidRPr="005B56A7">
        <w:t>MEM05009C Perform automated thermal cutting</w:t>
      </w:r>
    </w:p>
    <w:p w:rsidR="00000000" w:rsidRPr="005B56A7" w:rsidP="005B56A7">
      <w:pPr>
        <w:pStyle w:val="Heading1"/>
      </w:pPr>
      <w:bookmarkStart w:id="1" w:name="O_272003"/>
      <w:bookmarkEnd w:id="1"/>
      <w:r w:rsidRPr="005B56A7">
        <w:t>Modification History</w:t>
      </w:r>
    </w:p>
    <w:p w:rsidR="00000000" w:rsidRPr="005B56A7" w:rsidP="005B56A7">
      <w:pPr>
        <w:pStyle w:val="BodyText"/>
      </w:pPr>
      <w:r w:rsidRPr="005B56A7">
        <w:t>Not Applicable</w:t>
      </w:r>
    </w:p>
    <w:p w:rsidR="00000000" w:rsidRPr="005B56A7" w:rsidP="005B56A7">
      <w:pPr>
        <w:pStyle w:val="AllowPageBreak"/>
      </w:pPr>
    </w:p>
    <w:p w:rsidR="00000000" w:rsidRPr="005B56A7" w:rsidP="005B56A7">
      <w:pPr>
        <w:pStyle w:val="Heading1"/>
      </w:pPr>
      <w:bookmarkStart w:id="2" w:name="O_210459"/>
      <w:bookmarkEnd w:id="2"/>
      <w:r w:rsidRPr="005B56A7">
        <w:t>Unit Descriptor</w:t>
      </w:r>
    </w:p>
    <w:tbl>
      <w:tblPr>
        <w:tblW w:w="0" w:type="auto"/>
        <w:tblLayout w:type="fixed"/>
        <w:tblCellMar>
          <w:left w:w="62" w:type="dxa"/>
          <w:right w:w="62" w:type="dxa"/>
        </w:tblCellMar>
        <w:tblLook w:val="0000"/>
      </w:tblPr>
      <w:tblGrid>
        <w:gridCol w:w="2673"/>
        <w:gridCol w:w="5849"/>
      </w:tblGrid>
      <w:tr w:rsidTr="001F1227">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r w:rsidRPr="005B56A7">
              <w:t>This unit covers setting up and using single and multi-headed automated thermal cutting machines.</w:t>
            </w:r>
          </w:p>
        </w:tc>
      </w:tr>
    </w:tbl>
    <w:p w:rsidR="001F1227" w:rsidP="005B56A7">
      <w:pPr>
        <w:pStyle w:val="BodyText"/>
      </w:pPr>
    </w:p>
    <w:p w:rsidR="001F1227" w:rsidP="005B56A7">
      <w:pPr>
        <w:pStyle w:val="BodyText"/>
      </w:pPr>
    </w:p>
    <w:p w:rsidR="00000000" w:rsidRPr="005B56A7" w:rsidP="005B56A7">
      <w:pPr>
        <w:pStyle w:val="Heading1"/>
      </w:pPr>
      <w:bookmarkStart w:id="3" w:name="O_210463"/>
      <w:bookmarkEnd w:id="3"/>
      <w:r w:rsidRPr="005B56A7">
        <w:t>Application of the Unit</w:t>
      </w:r>
    </w:p>
    <w:tbl>
      <w:tblPr>
        <w:tblW w:w="0" w:type="auto"/>
        <w:tblLayout w:type="fixed"/>
        <w:tblCellMar>
          <w:left w:w="62" w:type="dxa"/>
          <w:right w:w="62" w:type="dxa"/>
        </w:tblCellMar>
        <w:tblLook w:val="0000"/>
      </w:tblPr>
      <w:tblGrid>
        <w:gridCol w:w="2745"/>
        <w:gridCol w:w="5777"/>
      </w:tblGrid>
      <w:tr w:rsidTr="001F1227">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r w:rsidRPr="005B56A7">
              <w:t xml:space="preserve">This unit applies to setting up and operating automated thermal cutting machines used in heavy engineering for plate and pipe cutting on automated single or multi-head machines. Cutting media </w:t>
            </w:r>
            <w:r w:rsidRPr="005B56A7">
              <w:t>would include fuel gases, oxy acetylene, plasma arc, laser etc. Powder marking and magnetic, photoelectric tracing devices or numerically controlled (NC) machines may be used.</w:t>
            </w:r>
          </w:p>
          <w:p w:rsidR="00000000" w:rsidRPr="005B56A7" w:rsidP="005B56A7">
            <w:pPr>
              <w:pStyle w:val="BodyText"/>
            </w:pPr>
          </w:p>
          <w:p w:rsidR="00000000" w:rsidRPr="005B56A7" w:rsidP="005B56A7">
            <w:pPr>
              <w:pStyle w:val="BodyText"/>
            </w:pPr>
            <w:r w:rsidRPr="005B56A7">
              <w:rPr>
                <w:rStyle w:val="SpecialBold"/>
              </w:rPr>
              <w:t>Band</w:t>
            </w:r>
            <w:r w:rsidRPr="005B56A7">
              <w:t>:</w:t>
            </w:r>
            <w:r w:rsidRPr="005B56A7">
              <w:tab/>
            </w:r>
            <w:r w:rsidRPr="005B56A7">
              <w:rPr>
                <w:rStyle w:val="SpecialBold"/>
              </w:rPr>
              <w:t>A</w:t>
            </w:r>
          </w:p>
          <w:p w:rsidR="00000000" w:rsidRPr="005B56A7" w:rsidP="005B56A7">
            <w:pPr>
              <w:pStyle w:val="BodyText"/>
            </w:pPr>
            <w:r w:rsidRPr="005B56A7">
              <w:rPr>
                <w:rStyle w:val="SpecialBold"/>
              </w:rPr>
              <w:t>Unit Weight</w:t>
            </w:r>
            <w:r w:rsidRPr="005B56A7">
              <w:t>:</w:t>
            </w:r>
            <w:r w:rsidRPr="005B56A7">
              <w:tab/>
            </w:r>
            <w:r w:rsidRPr="005B56A7">
              <w:rPr>
                <w:rStyle w:val="SpecialBold"/>
              </w:rPr>
              <w:t>2</w:t>
            </w:r>
          </w:p>
        </w:tc>
      </w:tr>
    </w:tbl>
    <w:p w:rsidR="001F1227" w:rsidP="005B56A7">
      <w:pPr>
        <w:pStyle w:val="BodyText"/>
      </w:pPr>
    </w:p>
    <w:p w:rsidR="001F1227" w:rsidP="005B56A7">
      <w:pPr>
        <w:pStyle w:val="BodyText"/>
      </w:pPr>
    </w:p>
    <w:p w:rsidR="00000000" w:rsidRPr="005B56A7" w:rsidP="005B56A7">
      <w:pPr>
        <w:pStyle w:val="Heading1"/>
      </w:pPr>
      <w:bookmarkStart w:id="4" w:name="O_280263"/>
      <w:bookmarkEnd w:id="4"/>
      <w:r w:rsidRPr="005B56A7">
        <w:t>Licensing/Regulatory Information</w:t>
      </w:r>
    </w:p>
    <w:p w:rsidR="00000000" w:rsidRPr="005B56A7" w:rsidP="005B56A7">
      <w:pPr>
        <w:pStyle w:val="BodyText"/>
      </w:pPr>
      <w:r w:rsidRPr="005B56A7">
        <w:t>Not Applicable</w:t>
      </w:r>
    </w:p>
    <w:p w:rsidR="00000000" w:rsidRPr="005B56A7" w:rsidP="005B56A7">
      <w:pPr>
        <w:pStyle w:val="AllowPageBreak"/>
      </w:pPr>
    </w:p>
    <w:p w:rsidR="00000000" w:rsidRPr="005B56A7" w:rsidP="005B56A7">
      <w:pPr>
        <w:pStyle w:val="Heading1"/>
      </w:pPr>
      <w:bookmarkStart w:id="5" w:name="O_210461"/>
      <w:bookmarkEnd w:id="5"/>
      <w:r w:rsidRPr="005B56A7">
        <w:t>Pre-Requisites</w:t>
      </w:r>
    </w:p>
    <w:tbl>
      <w:tblPr>
        <w:tblW w:w="0" w:type="auto"/>
        <w:tblLayout w:type="fixed"/>
        <w:tblCellMar>
          <w:left w:w="62" w:type="dxa"/>
          <w:right w:w="62" w:type="dxa"/>
        </w:tblCellMar>
        <w:tblLook w:val="0000"/>
      </w:tblPr>
      <w:tblGrid>
        <w:gridCol w:w="2713"/>
        <w:gridCol w:w="2195"/>
        <w:gridCol w:w="3614"/>
      </w:tblGrid>
      <w:tr w:rsidTr="001F1227">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p>
        </w:tc>
      </w:tr>
      <w:tr w:rsidTr="001F1227">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 xml:space="preserve">MEM12023A </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Perform engineering measurements</w:t>
            </w:r>
          </w:p>
        </w:tc>
      </w:tr>
      <w:tr w:rsidTr="001F1227">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p>
        </w:tc>
      </w:tr>
    </w:tbl>
    <w:p w:rsidR="001F1227" w:rsidP="005B56A7">
      <w:pPr>
        <w:pStyle w:val="BodyText"/>
      </w:pPr>
    </w:p>
    <w:p w:rsidR="001F1227" w:rsidP="005B56A7">
      <w:pPr>
        <w:pStyle w:val="BodyText"/>
      </w:pPr>
    </w:p>
    <w:p w:rsidR="00000000" w:rsidRPr="005B56A7" w:rsidP="005B56A7">
      <w:pPr>
        <w:pStyle w:val="Heading1"/>
      </w:pPr>
      <w:bookmarkStart w:id="6" w:name="O_210460"/>
      <w:bookmarkEnd w:id="6"/>
      <w:r w:rsidRPr="005B56A7">
        <w:t>Employability Skills Information</w:t>
      </w:r>
    </w:p>
    <w:tbl>
      <w:tblPr>
        <w:tblW w:w="0" w:type="auto"/>
        <w:tblLayout w:type="fixed"/>
        <w:tblCellMar>
          <w:left w:w="62" w:type="dxa"/>
          <w:right w:w="62" w:type="dxa"/>
        </w:tblCellMar>
        <w:tblLook w:val="0000"/>
      </w:tblPr>
      <w:tblGrid>
        <w:gridCol w:w="2802"/>
        <w:gridCol w:w="5720"/>
      </w:tblGrid>
      <w:tr w:rsidTr="001F122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r w:rsidRPr="005B56A7">
              <w:t>This unit contains employability skills.</w:t>
            </w:r>
          </w:p>
        </w:tc>
      </w:tr>
    </w:tbl>
    <w:p w:rsidR="001F1227" w:rsidP="005B56A7">
      <w:pPr>
        <w:pStyle w:val="BodyText"/>
      </w:pPr>
    </w:p>
    <w:p w:rsidR="001F1227" w:rsidP="005B56A7">
      <w:pPr>
        <w:pStyle w:val="BodyText"/>
      </w:pPr>
    </w:p>
    <w:p w:rsidR="00000000" w:rsidRPr="005B56A7" w:rsidP="005B56A7">
      <w:pPr>
        <w:pStyle w:val="Heading1"/>
      </w:pPr>
      <w:bookmarkStart w:id="7" w:name="O_290049"/>
      <w:bookmarkEnd w:id="7"/>
      <w:r w:rsidRPr="005B56A7">
        <w:t>Elements and Performance Criteria Pre-Content</w:t>
      </w:r>
    </w:p>
    <w:tbl>
      <w:tblPr>
        <w:tblW w:w="0" w:type="auto"/>
        <w:tblLayout w:type="fixed"/>
        <w:tblCellMar>
          <w:left w:w="62" w:type="dxa"/>
          <w:right w:w="62" w:type="dxa"/>
        </w:tblCellMar>
        <w:tblLook w:val="0000"/>
      </w:tblPr>
      <w:tblGrid>
        <w:gridCol w:w="2542"/>
        <w:gridCol w:w="5980"/>
      </w:tblGrid>
      <w:tr w:rsidTr="001F122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r w:rsidRPr="005B56A7">
              <w:t>Performance criteria describe the performance needed to demonstrate achievement of the element. Where bold italicised text is used, furt</w:t>
            </w:r>
            <w:r w:rsidRPr="005B56A7">
              <w:t>her information is detailed in the required skills and knowledge section and the range statement. Assessment of performance is to be consistent with the evidence guide.</w:t>
            </w:r>
          </w:p>
        </w:tc>
      </w:tr>
    </w:tbl>
    <w:p w:rsidR="00000000" w:rsidRPr="005B56A7" w:rsidP="005B56A7">
      <w:pPr>
        <w:pStyle w:val="BodyText"/>
      </w:pPr>
    </w:p>
    <w:p w:rsidR="00000000" w:rsidRPr="005B56A7" w:rsidP="005B56A7">
      <w:pPr>
        <w:pStyle w:val="AllowPageBreak"/>
      </w:pPr>
    </w:p>
    <w:p w:rsidR="00000000" w:rsidRPr="005B56A7" w:rsidP="005B56A7">
      <w:pPr>
        <w:pStyle w:val="Heading1"/>
      </w:pPr>
      <w:bookmarkStart w:id="8" w:name="O_236716"/>
      <w:bookmarkEnd w:id="8"/>
      <w:r w:rsidRPr="005B56A7">
        <w:t>Elements and Performance Criteria</w:t>
      </w:r>
    </w:p>
    <w:tbl>
      <w:tblPr>
        <w:tblW w:w="0" w:type="auto"/>
        <w:tblLayout w:type="fixed"/>
        <w:tblCellMar>
          <w:left w:w="62" w:type="dxa"/>
          <w:right w:w="62" w:type="dxa"/>
        </w:tblCellMar>
        <w:tblLook w:val="0000"/>
      </w:tblPr>
      <w:tblGrid>
        <w:gridCol w:w="2542"/>
        <w:gridCol w:w="5980"/>
      </w:tblGrid>
      <w:tr w:rsidTr="001F1227">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r w:rsidRPr="005B56A7">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PERFORMANCE CRITERIA</w:t>
            </w:r>
          </w:p>
        </w:tc>
      </w:tr>
      <w:tr w:rsidTr="001F122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List"/>
              <w:rPr>
                <w:lang w:val="en-NZ"/>
              </w:rPr>
            </w:pPr>
            <w:r w:rsidRPr="005B56A7">
              <w:t>1.</w:t>
            </w:r>
            <w:r w:rsidRPr="005B56A7">
              <w:tab/>
            </w:r>
            <w:r w:rsidRPr="005B56A7">
              <w:t>Set up material</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List2"/>
              <w:rPr>
                <w:lang w:val="en-NZ"/>
              </w:rPr>
            </w:pPr>
            <w:r w:rsidRPr="005B56A7">
              <w:t>1.1.</w:t>
            </w:r>
            <w:r w:rsidRPr="005B56A7">
              <w:tab/>
              <w:t>Material is set up, including correct procedures for stack cutting and nesting to minimise waste.</w:t>
            </w:r>
          </w:p>
        </w:tc>
      </w:tr>
      <w:tr w:rsidTr="001F122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List"/>
              <w:rPr>
                <w:lang w:val="en-NZ"/>
              </w:rPr>
            </w:pPr>
            <w:r w:rsidRPr="005B56A7">
              <w:t>2.</w:t>
            </w:r>
            <w:r w:rsidRPr="005B56A7">
              <w:tab/>
              <w:t>Set up and use automated cutting machine</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List2"/>
            </w:pPr>
            <w:r w:rsidRPr="005B56A7">
              <w:t>2.1.</w:t>
            </w:r>
            <w:r w:rsidRPr="005B56A7">
              <w:tab/>
              <w:t>Appropriate cutting medium is selected and set to specification.</w:t>
            </w:r>
          </w:p>
          <w:p w:rsidR="00000000" w:rsidRPr="005B56A7" w:rsidP="005B56A7">
            <w:pPr>
              <w:pStyle w:val="List2"/>
            </w:pPr>
            <w:r w:rsidRPr="005B56A7">
              <w:t>2.2.</w:t>
            </w:r>
            <w:r w:rsidRPr="005B56A7">
              <w:tab/>
            </w:r>
            <w:r w:rsidRPr="005B56A7">
              <w:t>Process requirements are determined from specifications or instructions.</w:t>
            </w:r>
          </w:p>
          <w:p w:rsidR="00000000" w:rsidRPr="005B56A7" w:rsidP="005B56A7">
            <w:pPr>
              <w:pStyle w:val="List2"/>
            </w:pPr>
            <w:r w:rsidRPr="005B56A7">
              <w:t>2.3.</w:t>
            </w:r>
            <w:r w:rsidRPr="005B56A7">
              <w:tab/>
              <w:t>Machine is set up safely to specifications using standard operating procedures.</w:t>
            </w:r>
          </w:p>
          <w:p w:rsidR="00000000" w:rsidRPr="005B56A7" w:rsidP="005B56A7">
            <w:pPr>
              <w:pStyle w:val="List2"/>
            </w:pPr>
            <w:r w:rsidRPr="005B56A7">
              <w:t>2.4.</w:t>
            </w:r>
            <w:r w:rsidRPr="005B56A7">
              <w:tab/>
              <w:t>Correct program is selected and loaded to standard operating procedure.</w:t>
            </w:r>
          </w:p>
          <w:p w:rsidR="00000000" w:rsidP="005B56A7">
            <w:pPr>
              <w:pStyle w:val="List2"/>
              <w:rPr>
                <w:lang w:val="en-NZ"/>
              </w:rPr>
            </w:pPr>
            <w:r w:rsidRPr="005B56A7">
              <w:t>2.5.</w:t>
            </w:r>
            <w:r w:rsidRPr="005B56A7">
              <w:tab/>
              <w:t>Machine datum ar</w:t>
            </w:r>
            <w:r w:rsidRPr="005B56A7">
              <w:t>e established to specifications.</w:t>
            </w:r>
          </w:p>
        </w:tc>
      </w:tr>
      <w:tr w:rsidTr="001F1227">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List"/>
              <w:rPr>
                <w:lang w:val="en-NZ"/>
              </w:rPr>
            </w:pPr>
            <w:r w:rsidRPr="005B56A7">
              <w:t>3.</w:t>
            </w:r>
            <w:r w:rsidRPr="005B56A7">
              <w:tab/>
              <w:t xml:space="preserve">Use automated thermal cutting machine </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List2"/>
            </w:pPr>
            <w:r w:rsidRPr="005B56A7">
              <w:t>3.1.</w:t>
            </w:r>
            <w:r w:rsidRPr="005B56A7">
              <w:tab/>
              <w:t>Where required, cutting medium is ignited following standard operating procedures.</w:t>
            </w:r>
          </w:p>
          <w:p w:rsidR="00000000" w:rsidRPr="005B56A7" w:rsidP="005B56A7">
            <w:pPr>
              <w:pStyle w:val="List2"/>
            </w:pPr>
            <w:r w:rsidRPr="005B56A7">
              <w:t>3.2.</w:t>
            </w:r>
            <w:r w:rsidRPr="005B56A7">
              <w:tab/>
              <w:t>Machine is started using correct sequence and procedure.</w:t>
            </w:r>
          </w:p>
          <w:p w:rsidR="00000000" w:rsidRPr="005B56A7" w:rsidP="005B56A7">
            <w:pPr>
              <w:pStyle w:val="List2"/>
            </w:pPr>
            <w:r w:rsidRPr="005B56A7">
              <w:t>3.3.</w:t>
            </w:r>
            <w:r w:rsidRPr="005B56A7">
              <w:tab/>
              <w:t xml:space="preserve">Powder marking and other </w:t>
            </w:r>
            <w:r w:rsidRPr="005B56A7">
              <w:t>tracing devices are used as required to standard operating procedures.</w:t>
            </w:r>
          </w:p>
          <w:p w:rsidR="00000000" w:rsidRPr="005B56A7" w:rsidP="005B56A7">
            <w:pPr>
              <w:pStyle w:val="List2"/>
            </w:pPr>
            <w:r w:rsidRPr="005B56A7">
              <w:t>3.4.</w:t>
            </w:r>
            <w:r w:rsidRPr="005B56A7">
              <w:tab/>
              <w:t>Correct shut-down procedure is observed in accordance with standard operating procedures.</w:t>
            </w:r>
          </w:p>
        </w:tc>
      </w:tr>
    </w:tbl>
    <w:p w:rsidR="001F1227" w:rsidP="005B56A7">
      <w:pPr>
        <w:pStyle w:val="BodyText"/>
      </w:pPr>
    </w:p>
    <w:p w:rsidR="001F1227" w:rsidP="005B56A7">
      <w:pPr>
        <w:pStyle w:val="BodyText"/>
      </w:pPr>
    </w:p>
    <w:p w:rsidR="00000000" w:rsidRPr="005B56A7" w:rsidP="005B56A7">
      <w:pPr>
        <w:pStyle w:val="Heading1"/>
      </w:pPr>
      <w:bookmarkStart w:id="9" w:name="O_260666"/>
      <w:bookmarkEnd w:id="9"/>
      <w:r w:rsidRPr="005B56A7">
        <w:t>Required Skills and Knowledge</w:t>
      </w:r>
    </w:p>
    <w:tbl>
      <w:tblPr>
        <w:tblW w:w="0" w:type="auto"/>
        <w:tblLayout w:type="fixed"/>
        <w:tblCellMar>
          <w:left w:w="62" w:type="dxa"/>
          <w:right w:w="62" w:type="dxa"/>
        </w:tblCellMar>
        <w:tblLook w:val="0000"/>
      </w:tblPr>
      <w:tblGrid>
        <w:gridCol w:w="8522"/>
      </w:tblGrid>
      <w:tr w:rsidTr="001F12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REQUIRED SKILLS AND KNOWLEDGE</w:t>
            </w:r>
          </w:p>
        </w:tc>
      </w:tr>
      <w:tr w:rsidTr="001F12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This section describes the skills and knowledge required for this unit.</w:t>
            </w:r>
          </w:p>
        </w:tc>
      </w:tr>
      <w:tr w:rsidTr="001F1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Required skills</w:t>
            </w:r>
          </w:p>
        </w:tc>
      </w:tr>
      <w:tr w:rsidTr="001F1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r w:rsidRPr="005B56A7">
              <w:t>Look for evidence that confirms skills in:</w:t>
            </w:r>
          </w:p>
          <w:p w:rsidR="00000000" w:rsidRPr="005B56A7" w:rsidP="005B56A7">
            <w:pPr>
              <w:pStyle w:val="ListBullet"/>
            </w:pPr>
            <w:r w:rsidRPr="005B56A7">
              <w:t>setting up materials and machines</w:t>
            </w:r>
          </w:p>
          <w:p w:rsidR="00000000" w:rsidRPr="005B56A7" w:rsidP="005B56A7">
            <w:pPr>
              <w:pStyle w:val="ListBullet"/>
            </w:pPr>
            <w:r w:rsidRPr="005B56A7">
              <w:t>using thermal cutting machines</w:t>
            </w:r>
          </w:p>
          <w:p w:rsidR="00000000" w:rsidRPr="005B56A7" w:rsidP="005B56A7">
            <w:pPr>
              <w:pStyle w:val="ListBullet"/>
            </w:pPr>
            <w:r w:rsidRPr="005B56A7">
              <w:t>reading and interpreting routine information on written job instructions, specifications and standard operating procedures</w:t>
            </w:r>
          </w:p>
          <w:p w:rsidR="00000000" w:rsidP="005B56A7">
            <w:pPr>
              <w:pStyle w:val="ListBullet"/>
              <w:rPr>
                <w:lang w:val="en-NZ"/>
              </w:rPr>
            </w:pPr>
            <w:r w:rsidRPr="005B56A7">
              <w:t>following oral instruction</w:t>
            </w:r>
          </w:p>
        </w:tc>
      </w:tr>
      <w:tr w:rsidTr="001F1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Required knowledge</w:t>
            </w:r>
          </w:p>
        </w:tc>
      </w:tr>
      <w:tr w:rsidTr="001F12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r w:rsidRPr="005B56A7">
              <w:t>Look for evidence that confirms knowledge of:</w:t>
            </w:r>
          </w:p>
          <w:p w:rsidR="00000000" w:rsidRPr="005B56A7" w:rsidP="005B56A7">
            <w:pPr>
              <w:pStyle w:val="ListBullet"/>
            </w:pPr>
            <w:r w:rsidRPr="005B56A7">
              <w:t>material set-up procedures.</w:t>
            </w:r>
          </w:p>
          <w:p w:rsidR="00000000" w:rsidRPr="005B56A7" w:rsidP="005B56A7">
            <w:pPr>
              <w:pStyle w:val="ListBullet"/>
            </w:pPr>
            <w:r w:rsidRPr="005B56A7">
              <w:t>advantages of stack cutting and nesting</w:t>
            </w:r>
          </w:p>
          <w:p w:rsidR="00000000" w:rsidRPr="005B56A7" w:rsidP="005B56A7">
            <w:pPr>
              <w:pStyle w:val="ListBullet"/>
            </w:pPr>
            <w:r w:rsidRPr="005B56A7">
              <w:t>procedures for establishing machine datum</w:t>
            </w:r>
          </w:p>
          <w:p w:rsidR="00000000" w:rsidRPr="005B56A7" w:rsidP="005B56A7">
            <w:pPr>
              <w:pStyle w:val="ListBullet"/>
            </w:pPr>
            <w:r w:rsidRPr="005B56A7">
              <w:t>hazards associated with igniting cutting media</w:t>
            </w:r>
          </w:p>
          <w:p w:rsidR="00000000" w:rsidRPr="005B56A7" w:rsidP="005B56A7">
            <w:pPr>
              <w:pStyle w:val="ListBullet"/>
            </w:pPr>
            <w:r w:rsidRPr="005B56A7">
              <w:t>safety precautions to be taken when starting and shutting down the machine.</w:t>
            </w:r>
          </w:p>
          <w:p w:rsidR="00000000" w:rsidRPr="005B56A7" w:rsidP="005B56A7">
            <w:pPr>
              <w:pStyle w:val="ListBullet"/>
            </w:pPr>
            <w:r w:rsidRPr="005B56A7">
              <w:t>procedures for using powder marking and other traci</w:t>
            </w:r>
            <w:r w:rsidRPr="005B56A7">
              <w:t>ng devices.</w:t>
            </w:r>
          </w:p>
          <w:p w:rsidR="00000000" w:rsidRPr="005B56A7" w:rsidP="005B56A7">
            <w:pPr>
              <w:pStyle w:val="ListBullet"/>
            </w:pPr>
            <w:r w:rsidRPr="005B56A7">
              <w:t>use and application of personal protective equipment for automated thermal cutting</w:t>
            </w:r>
          </w:p>
          <w:p w:rsidR="00000000" w:rsidRPr="005B56A7" w:rsidP="005B56A7">
            <w:pPr>
              <w:pStyle w:val="ListBullet"/>
            </w:pPr>
            <w:r w:rsidRPr="005B56A7">
              <w:t>safe work practices and procedures</w:t>
            </w:r>
          </w:p>
        </w:tc>
      </w:tr>
    </w:tbl>
    <w:p w:rsidR="001F1227" w:rsidP="005B56A7">
      <w:pPr>
        <w:pStyle w:val="BodyText"/>
      </w:pPr>
    </w:p>
    <w:p w:rsidR="001F1227" w:rsidP="005B56A7">
      <w:pPr>
        <w:pStyle w:val="BodyText"/>
      </w:pPr>
    </w:p>
    <w:p w:rsidR="00000000" w:rsidRPr="005B56A7" w:rsidP="005B56A7">
      <w:pPr>
        <w:pStyle w:val="AllowPageBreak"/>
      </w:pPr>
    </w:p>
    <w:p w:rsidR="00000000" w:rsidRPr="005B56A7" w:rsidP="005B56A7">
      <w:pPr>
        <w:pStyle w:val="Heading1"/>
      </w:pPr>
      <w:bookmarkStart w:id="10" w:name="O_244700"/>
      <w:bookmarkEnd w:id="10"/>
      <w:r w:rsidRPr="005B56A7">
        <w:t>Evidence Guide</w:t>
      </w:r>
    </w:p>
    <w:tbl>
      <w:tblPr>
        <w:tblW w:w="9570" w:type="dxa"/>
        <w:tblLayout w:type="fixed"/>
        <w:tblCellMar>
          <w:left w:w="62" w:type="dxa"/>
          <w:right w:w="62" w:type="dxa"/>
        </w:tblCellMar>
        <w:tblLook w:val="0000"/>
      </w:tblPr>
      <w:tblGrid>
        <w:gridCol w:w="3908"/>
        <w:gridCol w:w="5662"/>
      </w:tblGrid>
      <w:tr w:rsidTr="001F12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EVIDENCE GUIDE</w:t>
            </w:r>
          </w:p>
        </w:tc>
      </w:tr>
      <w:tr w:rsidTr="001F12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The evidence guide provides advice on assessment and must be read in conjunction with the performance criteria, required skills and knowledge, range statement and the Assessment Guidelines for the Training Package.</w:t>
            </w:r>
          </w:p>
        </w:tc>
      </w:tr>
      <w:tr w:rsidTr="001F12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A person who dem</w:t>
            </w:r>
            <w:r w:rsidRPr="005B56A7">
              <w:t>onstrates competency in this unit must be able to set up and use single and multi-headed automated thermal cutting machines. Competency in this unit cannot be claimed until all prerequisites have been satisfied.</w:t>
            </w:r>
          </w:p>
        </w:tc>
      </w:tr>
      <w:tr w:rsidTr="001F12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Critical aspects for assessment and evidenc</w:t>
            </w:r>
            <w:r w:rsidRPr="005B56A7">
              <w:rPr>
                <w:rStyle w:val="SpecialBold"/>
              </w:rPr>
              <w:t>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Assessors must be satisfied that the candidate can competently and consistently perform all elements of the unit as specified by the criteria, including required knowledge, and be capable of applying the co</w:t>
            </w:r>
            <w:r w:rsidRPr="005B56A7">
              <w:t>mpetency in new and different situations and contexts.</w:t>
            </w:r>
          </w:p>
        </w:tc>
      </w:tr>
      <w:tr w:rsidTr="001F12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r w:rsidRPr="005B56A7">
              <w:t>This unit may be assessed on the job, off the job or a combination of both on and off the job. Where assessment occurs off the job, that is the candida</w:t>
            </w:r>
            <w:r w:rsidRPr="005B56A7">
              <w:t>te is not in productive work, then an appropriate simulation must be used where the range of conditions reflects realistic workplace situations. The competencies covered by this unit would be demonstrated by an individual working alone or as part of a team</w:t>
            </w:r>
            <w:r w:rsidRPr="005B56A7">
              <w:t>. The assessment environment should not disadvantage the candidate.</w:t>
            </w:r>
          </w:p>
          <w:p w:rsidR="00000000" w:rsidP="005B56A7">
            <w:pPr>
              <w:pStyle w:val="BodyText"/>
              <w:rPr>
                <w:lang w:val="en-NZ"/>
              </w:rPr>
            </w:pPr>
            <w:r w:rsidRPr="005B56A7">
              <w:t>This unit could be assessed in conjunction with any other units addr</w:t>
            </w:r>
            <w:r w:rsidRPr="005B56A7">
              <w:t>essing the safety, quality, communication, materials handling, recording and reporting associated with performing automated thermal cutting or other units requiring the exercise of the skills and knowledge covered by this unit.</w:t>
            </w:r>
          </w:p>
        </w:tc>
      </w:tr>
      <w:tr w:rsidTr="001F12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Assess</w:t>
            </w:r>
            <w:r w:rsidRPr="005B56A7">
              <w:t>ors should gather a range of evidence that is valid, sufficient, current and authentic. Evidence can be gathered through a variety of ways including direct observation, supervisor's reports, project work, samples and questioning. Questioning techniques sho</w:t>
            </w:r>
            <w:r w:rsidRPr="005B56A7">
              <w:t xml:space="preserve">uld not require language, literacy and numeracy skills beyond those required in this unit of competency. The candidate must have access to all tools, equipment, materials and documentation required. The candidate must be permitted to refer to any relevant </w:t>
            </w:r>
            <w:r w:rsidRPr="005B56A7">
              <w:t>workplace procedures, product and manufacturing specifications, codes, standards, manuals and reference materials.</w:t>
            </w:r>
          </w:p>
        </w:tc>
      </w:tr>
      <w:tr w:rsidTr="001F122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p>
        </w:tc>
      </w:tr>
    </w:tbl>
    <w:p w:rsidR="001F1227" w:rsidP="005B56A7">
      <w:pPr>
        <w:pStyle w:val="BodyText"/>
      </w:pPr>
    </w:p>
    <w:p w:rsidR="001F1227" w:rsidP="005B56A7">
      <w:pPr>
        <w:pStyle w:val="BodyText"/>
      </w:pPr>
    </w:p>
    <w:p w:rsidR="00000000" w:rsidRPr="005B56A7" w:rsidP="005B56A7">
      <w:pPr>
        <w:pStyle w:val="Heading1"/>
      </w:pPr>
      <w:bookmarkStart w:id="11" w:name="O_252683"/>
      <w:bookmarkEnd w:id="11"/>
      <w:r w:rsidRPr="005B56A7">
        <w:t>Range Statement</w:t>
      </w:r>
    </w:p>
    <w:tbl>
      <w:tblPr>
        <w:tblW w:w="0" w:type="auto"/>
        <w:tblLayout w:type="fixed"/>
        <w:tblCellMar>
          <w:left w:w="62" w:type="dxa"/>
          <w:right w:w="62" w:type="dxa"/>
        </w:tblCellMar>
        <w:tblLook w:val="0000"/>
      </w:tblPr>
      <w:tblGrid>
        <w:gridCol w:w="3478"/>
        <w:gridCol w:w="5044"/>
      </w:tblGrid>
      <w:tr w:rsidTr="001F12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RANGE STATEMENT</w:t>
            </w:r>
          </w:p>
        </w:tc>
      </w:tr>
      <w:tr w:rsidTr="001F12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The range statement relates to the unit of competency as a whole. It allows for different work environments and situations that may affect performance. Bold italicised wording, if used in the performance criteria, is detailed below. Essential operating con</w:t>
            </w:r>
            <w:r w:rsidRPr="005B56A7">
              <w:t>ditions that may be present with training and assessment (depending on the work situation, needs of the candidate, accessibility of the item, and local industry and regional contexts) may also be included.</w:t>
            </w:r>
          </w:p>
        </w:tc>
      </w:tr>
      <w:tr w:rsidTr="001F122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Material</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Ferrous and non-ferrous</w:t>
            </w:r>
          </w:p>
        </w:tc>
      </w:tr>
      <w:tr w:rsidTr="001F122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Cutting medium</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Includes fuel gases, oxy acetylene, plasma arc, laser etc.</w:t>
            </w:r>
          </w:p>
        </w:tc>
      </w:tr>
      <w:tr w:rsidTr="001F122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Machine</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Single or multi-headed machines including NC driven equipment etc.</w:t>
            </w:r>
          </w:p>
        </w:tc>
      </w:tr>
      <w:tr w:rsidTr="001F122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Correct program</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t>Programs on numerically controlled (NC) machines are selected and loaded according to predetermined instructions</w:t>
            </w:r>
          </w:p>
        </w:tc>
      </w:tr>
      <w:tr w:rsidTr="001F1227">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Tracing devices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r w:rsidRPr="005B56A7">
              <w:t>Powder marking and magnetic, photoelectric tracing devices</w:t>
            </w:r>
          </w:p>
        </w:tc>
      </w:tr>
    </w:tbl>
    <w:p w:rsidR="001F1227" w:rsidP="005B56A7">
      <w:pPr>
        <w:pStyle w:val="BodyText"/>
      </w:pPr>
    </w:p>
    <w:p w:rsidR="001F1227" w:rsidP="005B56A7">
      <w:pPr>
        <w:pStyle w:val="BodyText"/>
      </w:pPr>
    </w:p>
    <w:p w:rsidR="00000000" w:rsidRPr="005B56A7" w:rsidP="005B56A7">
      <w:pPr>
        <w:pStyle w:val="Heading1"/>
      </w:pPr>
      <w:bookmarkStart w:id="12" w:name="O_210465"/>
      <w:bookmarkEnd w:id="12"/>
      <w:r w:rsidRPr="005B56A7">
        <w:t>Unit Sector(s)</w:t>
      </w:r>
    </w:p>
    <w:tbl>
      <w:tblPr>
        <w:tblW w:w="0" w:type="auto"/>
        <w:tblLayout w:type="fixed"/>
        <w:tblCellMar>
          <w:left w:w="62" w:type="dxa"/>
          <w:right w:w="62" w:type="dxa"/>
        </w:tblCellMar>
        <w:tblLook w:val="0000"/>
      </w:tblPr>
      <w:tblGrid>
        <w:gridCol w:w="2654"/>
        <w:gridCol w:w="5868"/>
      </w:tblGrid>
      <w:tr w:rsidTr="001F122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p>
        </w:tc>
      </w:tr>
    </w:tbl>
    <w:p w:rsidR="001F1227" w:rsidP="005B56A7">
      <w:pPr>
        <w:pStyle w:val="BodyText"/>
      </w:pPr>
    </w:p>
    <w:p w:rsidR="001F1227" w:rsidP="005B56A7">
      <w:pPr>
        <w:pStyle w:val="BodyText"/>
      </w:pPr>
    </w:p>
    <w:p w:rsidR="00000000" w:rsidRPr="005B56A7" w:rsidP="005B56A7">
      <w:pPr>
        <w:pStyle w:val="Heading1"/>
      </w:pPr>
      <w:bookmarkStart w:id="13" w:name="O_210462"/>
      <w:bookmarkEnd w:id="13"/>
      <w:r w:rsidRPr="005B56A7">
        <w:t>Co-requisite units</w:t>
      </w:r>
    </w:p>
    <w:tbl>
      <w:tblPr>
        <w:tblW w:w="0" w:type="auto"/>
        <w:tblLayout w:type="fixed"/>
        <w:tblCellMar>
          <w:left w:w="62" w:type="dxa"/>
          <w:right w:w="62" w:type="dxa"/>
        </w:tblCellMar>
        <w:tblLook w:val="0000"/>
      </w:tblPr>
      <w:tblGrid>
        <w:gridCol w:w="2641"/>
        <w:gridCol w:w="1322"/>
        <w:gridCol w:w="4559"/>
      </w:tblGrid>
      <w:tr w:rsidTr="001F122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p>
        </w:tc>
      </w:tr>
      <w:tr w:rsidTr="001F12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p>
        </w:tc>
      </w:tr>
      <w:tr w:rsidTr="001F122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p>
        </w:tc>
      </w:tr>
    </w:tbl>
    <w:p w:rsidR="001F1227" w:rsidP="005B56A7">
      <w:pPr>
        <w:pStyle w:val="BodyText"/>
      </w:pPr>
    </w:p>
    <w:p w:rsidR="001F1227" w:rsidP="005B56A7">
      <w:pPr>
        <w:pStyle w:val="BodyText"/>
      </w:pPr>
    </w:p>
    <w:p w:rsidR="00000000" w:rsidRPr="005B56A7" w:rsidP="005B56A7">
      <w:pPr>
        <w:pStyle w:val="Heading1"/>
      </w:pPr>
      <w:bookmarkStart w:id="14" w:name="O_210464"/>
      <w:bookmarkEnd w:id="14"/>
      <w:r w:rsidRPr="005B56A7">
        <w:t>Competency field</w:t>
      </w:r>
    </w:p>
    <w:tbl>
      <w:tblPr>
        <w:tblW w:w="0" w:type="auto"/>
        <w:tblLayout w:type="fixed"/>
        <w:tblCellMar>
          <w:left w:w="62" w:type="dxa"/>
          <w:right w:w="62" w:type="dxa"/>
        </w:tblCellMar>
        <w:tblLook w:val="0000"/>
      </w:tblPr>
      <w:tblGrid>
        <w:gridCol w:w="2776"/>
        <w:gridCol w:w="5746"/>
      </w:tblGrid>
      <w:tr w:rsidTr="001F1227">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56A7">
            <w:pPr>
              <w:pStyle w:val="BodyText"/>
              <w:rPr>
                <w:lang w:val="en-NZ"/>
              </w:rPr>
            </w:pPr>
            <w:r w:rsidRPr="005B56A7">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56A7" w:rsidP="005B56A7">
            <w:pPr>
              <w:pStyle w:val="BodyText"/>
            </w:pPr>
            <w:r w:rsidRPr="005B56A7">
              <w:t>Fabrication</w:t>
            </w:r>
          </w:p>
        </w:tc>
      </w:tr>
    </w:tbl>
    <w:p w:rsidR="001F1227" w:rsidP="005B56A7">
      <w:pPr>
        <w:pStyle w:val="BodyText"/>
      </w:pPr>
    </w:p>
    <w:p w:rsidR="001F1227" w:rsidP="005B56A7">
      <w:pPr>
        <w:pStyle w:val="BodyText"/>
      </w:pPr>
    </w:p>
    <w:p w:rsidR="00000000" w:rsidRPr="005B56A7" w:rsidP="005B56A7"/>
    <w:sectPr w:rsidSect="005B56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227" w:rsidP="001F12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27" w:rsidP="005B56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1227" w:rsidP="005B56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1227" w:rsidP="005B56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1227" w:rsidP="001F12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6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227" w:rsidP="005B56A7">
    <w:pPr>
      <w:pStyle w:val="Header"/>
      <w:framePr w:wrap="around"/>
    </w:pPr>
    <w:r>
      <w:fldChar w:fldCharType="begin"/>
    </w:r>
    <w:r>
      <w:instrText xml:space="preserve"> TITLE   \* MERGEFORMAT </w:instrText>
    </w:r>
    <w:r>
      <w:fldChar w:fldCharType="separate"/>
    </w:r>
    <w:r>
      <w:t>MEM05009C Perform automated thermal cutting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1227" w:rsidP="005B56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BA8A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AACE0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6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56A7"/>
    <w:pPr>
      <w:spacing w:before="360" w:after="60"/>
      <w:outlineLvl w:val="0"/>
    </w:pPr>
    <w:rPr>
      <w:sz w:val="32"/>
    </w:rPr>
  </w:style>
  <w:style w:type="paragraph" w:styleId="Heading2">
    <w:name w:val="heading 2"/>
    <w:basedOn w:val="HeadingBase"/>
    <w:next w:val="BodyText"/>
    <w:link w:val="Heading2Char"/>
    <w:qFormat/>
    <w:rsid w:val="005B56A7"/>
    <w:pPr>
      <w:keepLines/>
      <w:spacing w:before="240" w:after="120"/>
      <w:outlineLvl w:val="1"/>
    </w:pPr>
    <w:rPr>
      <w:sz w:val="28"/>
      <w:szCs w:val="40"/>
    </w:rPr>
  </w:style>
  <w:style w:type="paragraph" w:styleId="Heading3">
    <w:name w:val="heading 3"/>
    <w:basedOn w:val="HeadingBase"/>
    <w:next w:val="BodyText"/>
    <w:link w:val="Heading3Char"/>
    <w:qFormat/>
    <w:rsid w:val="005B56A7"/>
    <w:pPr>
      <w:spacing w:before="180" w:after="120"/>
      <w:outlineLvl w:val="2"/>
    </w:pPr>
    <w:rPr>
      <w:spacing w:val="-10"/>
      <w:kern w:val="32"/>
    </w:rPr>
  </w:style>
  <w:style w:type="paragraph" w:styleId="Heading4">
    <w:name w:val="heading 4"/>
    <w:basedOn w:val="HeadingBase"/>
    <w:next w:val="BodyText"/>
    <w:link w:val="Heading4Char"/>
    <w:qFormat/>
    <w:rsid w:val="005B56A7"/>
    <w:pPr>
      <w:spacing w:before="160" w:after="120"/>
      <w:outlineLvl w:val="3"/>
    </w:pPr>
    <w:rPr>
      <w:sz w:val="22"/>
    </w:rPr>
  </w:style>
  <w:style w:type="paragraph" w:styleId="Heading5">
    <w:name w:val="heading 5"/>
    <w:basedOn w:val="HeadingBase"/>
    <w:next w:val="Normal"/>
    <w:link w:val="Heading5Char"/>
    <w:qFormat/>
    <w:rsid w:val="005B56A7"/>
    <w:pPr>
      <w:spacing w:before="80"/>
      <w:outlineLvl w:val="4"/>
    </w:pPr>
    <w:rPr>
      <w:color w:val="918585"/>
      <w:sz w:val="20"/>
    </w:rPr>
  </w:style>
  <w:style w:type="paragraph" w:styleId="Heading6">
    <w:name w:val="heading 6"/>
    <w:basedOn w:val="HeadingBase"/>
    <w:next w:val="Normal"/>
    <w:link w:val="Heading6Char"/>
    <w:qFormat/>
    <w:rsid w:val="005B56A7"/>
    <w:pPr>
      <w:spacing w:before="60"/>
      <w:outlineLvl w:val="5"/>
    </w:pPr>
    <w:rPr>
      <w:color w:val="918585"/>
      <w:sz w:val="20"/>
    </w:rPr>
  </w:style>
  <w:style w:type="paragraph" w:styleId="Heading7">
    <w:name w:val="heading 7"/>
    <w:basedOn w:val="Normal"/>
    <w:next w:val="Normal"/>
    <w:link w:val="Heading7Char"/>
    <w:qFormat/>
    <w:rsid w:val="005B56A7"/>
    <w:pPr>
      <w:ind w:left="720"/>
      <w:outlineLvl w:val="6"/>
    </w:pPr>
    <w:rPr>
      <w:i/>
    </w:rPr>
  </w:style>
  <w:style w:type="paragraph" w:styleId="Heading8">
    <w:name w:val="heading 8"/>
    <w:basedOn w:val="Normal"/>
    <w:next w:val="Normal"/>
    <w:link w:val="Heading8Char"/>
    <w:qFormat/>
    <w:rsid w:val="005B56A7"/>
    <w:pPr>
      <w:ind w:left="720"/>
      <w:outlineLvl w:val="7"/>
    </w:pPr>
    <w:rPr>
      <w:i/>
    </w:rPr>
  </w:style>
  <w:style w:type="paragraph" w:styleId="Heading9">
    <w:name w:val="heading 9"/>
    <w:basedOn w:val="Normal"/>
    <w:next w:val="Normal"/>
    <w:link w:val="Heading9Char"/>
    <w:qFormat/>
    <w:rsid w:val="005B56A7"/>
    <w:pPr>
      <w:ind w:left="720"/>
      <w:outlineLvl w:val="8"/>
    </w:pPr>
    <w:rPr>
      <w:i/>
    </w:rPr>
  </w:style>
  <w:style w:type="character" w:default="1" w:styleId="DefaultParagraphFont">
    <w:name w:val="Default Paragraph Font"/>
    <w:uiPriority w:val="1"/>
    <w:unhideWhenUsed/>
    <w:rsid w:val="005B5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6A7"/>
  </w:style>
  <w:style w:type="character" w:customStyle="1" w:styleId="Heading1Char">
    <w:name w:val="Heading 1 Char"/>
    <w:basedOn w:val="DefaultParagraphFont"/>
    <w:link w:val="Heading1"/>
    <w:rsid w:val="005B56A7"/>
    <w:rPr>
      <w:rFonts w:ascii="Times New Roman" w:eastAsia="Times New Roman" w:hAnsi="Times New Roman" w:cs="Times New Roman"/>
      <w:b/>
      <w:sz w:val="32"/>
      <w:szCs w:val="20"/>
      <w:lang w:eastAsia="en-US"/>
    </w:rPr>
  </w:style>
  <w:style w:type="paragraph" w:styleId="BodyText">
    <w:name w:val="Body Text"/>
    <w:basedOn w:val="Normal"/>
    <w:link w:val="BodyTextChar"/>
    <w:rsid w:val="005B56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56A7"/>
    <w:rPr>
      <w:rFonts w:ascii="Times New Roman" w:eastAsia="Times New Roman" w:hAnsi="Times New Roman" w:cs="Times New Roman"/>
      <w:sz w:val="24"/>
      <w:lang w:val="en-US" w:eastAsia="en-US"/>
    </w:rPr>
  </w:style>
  <w:style w:type="paragraph" w:styleId="Footer">
    <w:name w:val="footer"/>
    <w:basedOn w:val="Normal"/>
    <w:link w:val="FooterChar"/>
    <w:rsid w:val="005B5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6A7"/>
    <w:rPr>
      <w:rFonts w:ascii="Times New Roman" w:eastAsia="Times New Roman" w:hAnsi="Times New Roman" w:cs="Times New Roman"/>
      <w:sz w:val="16"/>
      <w:lang w:val="en-US" w:eastAsia="en-US"/>
    </w:rPr>
  </w:style>
  <w:style w:type="paragraph" w:styleId="List">
    <w:name w:val="List"/>
    <w:basedOn w:val="BodyText"/>
    <w:next w:val="BodyText"/>
    <w:rsid w:val="005B56A7"/>
    <w:pPr>
      <w:tabs>
        <w:tab w:val="left" w:pos="340"/>
      </w:tabs>
      <w:spacing w:before="60" w:after="60"/>
      <w:ind w:left="340" w:hanging="340"/>
    </w:pPr>
  </w:style>
  <w:style w:type="paragraph" w:styleId="ListBullet">
    <w:name w:val="List Bullet"/>
    <w:basedOn w:val="List"/>
    <w:rsid w:val="005B56A7"/>
    <w:pPr>
      <w:numPr>
        <w:numId w:val="12"/>
      </w:numPr>
      <w:tabs>
        <w:tab w:val="clear" w:pos="340"/>
      </w:tabs>
      <w:spacing w:before="40" w:after="40"/>
    </w:pPr>
  </w:style>
  <w:style w:type="character" w:customStyle="1" w:styleId="SpecialBold">
    <w:name w:val="Special Bold"/>
    <w:basedOn w:val="DefaultParagraphFont"/>
    <w:rsid w:val="005B56A7"/>
    <w:rPr>
      <w:b/>
      <w:spacing w:val="0"/>
    </w:rPr>
  </w:style>
  <w:style w:type="paragraph" w:styleId="Header">
    <w:name w:val="header"/>
    <w:basedOn w:val="Normal"/>
    <w:link w:val="HeaderChar"/>
    <w:rsid w:val="005B5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6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56A7"/>
    <w:pPr>
      <w:spacing w:before="240" w:after="120"/>
      <w:outlineLvl w:val="0"/>
    </w:pPr>
    <w:rPr>
      <w:rFonts w:ascii="Times New Roman" w:hAnsi="Times New Roman"/>
      <w:b/>
      <w:sz w:val="28"/>
    </w:rPr>
  </w:style>
  <w:style w:type="paragraph" w:customStyle="1" w:styleId="AllowPageBreak">
    <w:name w:val="AllowPageBreak"/>
    <w:rsid w:val="005B56A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56A7"/>
    <w:pPr>
      <w:tabs>
        <w:tab w:val="left" w:pos="680"/>
      </w:tabs>
      <w:spacing w:before="60" w:after="60"/>
      <w:ind w:left="680" w:hanging="340"/>
    </w:pPr>
  </w:style>
  <w:style w:type="character" w:customStyle="1" w:styleId="Heading2Char">
    <w:name w:val="Heading 2 Char"/>
    <w:basedOn w:val="DefaultParagraphFont"/>
    <w:link w:val="Heading2"/>
    <w:rsid w:val="005B5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6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56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56A7"/>
    <w:rPr>
      <w:rFonts w:ascii="Courier New" w:eastAsia="Times New Roman" w:hAnsi="Courier New" w:cs="Times New Roman"/>
      <w:i/>
      <w:szCs w:val="20"/>
      <w:lang w:val="en-US" w:eastAsia="en-US"/>
    </w:rPr>
  </w:style>
  <w:style w:type="paragraph" w:customStyle="1" w:styleId="HeadingBase">
    <w:name w:val="Heading Base"/>
    <w:rsid w:val="005B5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6A7"/>
    <w:pPr>
      <w:tabs>
        <w:tab w:val="right" w:leader="dot" w:pos="9072"/>
      </w:tabs>
      <w:ind w:left="567"/>
    </w:pPr>
    <w:rPr>
      <w:szCs w:val="22"/>
    </w:rPr>
  </w:style>
  <w:style w:type="paragraph" w:customStyle="1" w:styleId="TOCBase">
    <w:name w:val="TOC Base"/>
    <w:rsid w:val="005B5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6A7"/>
    <w:pPr>
      <w:tabs>
        <w:tab w:val="right" w:leader="dot" w:pos="9072"/>
      </w:tabs>
      <w:spacing w:before="40" w:after="40"/>
      <w:ind w:left="284"/>
    </w:pPr>
    <w:rPr>
      <w:rFonts w:ascii="Times New Roman" w:hAnsi="Times New Roman"/>
    </w:rPr>
  </w:style>
  <w:style w:type="paragraph" w:styleId="TOC1">
    <w:name w:val="toc 1"/>
    <w:basedOn w:val="TOCBase"/>
    <w:next w:val="Normal"/>
    <w:rsid w:val="005B56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56A7"/>
    <w:pPr>
      <w:spacing w:before="5040"/>
      <w:jc w:val="center"/>
    </w:pPr>
    <w:rPr>
      <w:sz w:val="48"/>
      <w:szCs w:val="72"/>
      <w:lang w:val="en-US"/>
    </w:rPr>
  </w:style>
  <w:style w:type="character" w:customStyle="1" w:styleId="TitleChar">
    <w:name w:val="Title Char"/>
    <w:basedOn w:val="DefaultParagraphFont"/>
    <w:link w:val="Title"/>
    <w:rsid w:val="005B5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6A7"/>
    <w:pPr>
      <w:tabs>
        <w:tab w:val="left" w:pos="3600"/>
        <w:tab w:val="left" w:pos="3958"/>
      </w:tabs>
    </w:pPr>
  </w:style>
  <w:style w:type="paragraph" w:customStyle="1" w:styleId="Note">
    <w:name w:val="Note"/>
    <w:basedOn w:val="BodyText"/>
    <w:rsid w:val="005B5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6A7"/>
    <w:pPr>
      <w:framePr w:wrap="auto" w:hAnchor="text" w:y="6049"/>
    </w:pPr>
    <w:rPr>
      <w:color w:val="000000"/>
      <w:sz w:val="40"/>
    </w:rPr>
  </w:style>
  <w:style w:type="paragraph" w:customStyle="1" w:styleId="TOCTitle">
    <w:name w:val="TOCTitle"/>
    <w:basedOn w:val="Heading1"/>
    <w:rsid w:val="005B56A7"/>
    <w:pPr>
      <w:spacing w:after="240"/>
      <w:jc w:val="center"/>
      <w:outlineLvl w:val="9"/>
    </w:pPr>
    <w:rPr>
      <w:caps/>
    </w:rPr>
  </w:style>
  <w:style w:type="paragraph" w:customStyle="1" w:styleId="Version">
    <w:name w:val="Version"/>
    <w:rsid w:val="005B56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6A7"/>
    <w:pPr>
      <w:numPr>
        <w:numId w:val="13"/>
      </w:numPr>
      <w:tabs>
        <w:tab w:val="clear" w:pos="680"/>
      </w:tabs>
    </w:pPr>
  </w:style>
  <w:style w:type="paragraph" w:styleId="Index1">
    <w:name w:val="index 1"/>
    <w:basedOn w:val="Normal"/>
    <w:next w:val="Normal"/>
    <w:semiHidden/>
    <w:rsid w:val="005B56A7"/>
    <w:pPr>
      <w:keepNext w:val="0"/>
      <w:tabs>
        <w:tab w:val="right" w:pos="4176"/>
      </w:tabs>
      <w:ind w:left="198" w:hanging="198"/>
    </w:pPr>
    <w:rPr>
      <w:rFonts w:ascii="Garamond" w:hAnsi="Garamond"/>
    </w:rPr>
  </w:style>
  <w:style w:type="paragraph" w:styleId="IndexHeading">
    <w:name w:val="index heading"/>
    <w:basedOn w:val="Normal"/>
    <w:next w:val="Index1"/>
    <w:semiHidden/>
    <w:rsid w:val="005B56A7"/>
    <w:pPr>
      <w:spacing w:before="120" w:after="120"/>
    </w:pPr>
    <w:rPr>
      <w:rFonts w:ascii="Arial" w:hAnsi="Arial"/>
      <w:b/>
      <w:color w:val="918585"/>
      <w:sz w:val="24"/>
    </w:rPr>
  </w:style>
  <w:style w:type="paragraph" w:customStyle="1" w:styleId="Chapter">
    <w:name w:val="Chapter"/>
    <w:basedOn w:val="Normal"/>
    <w:rsid w:val="005B56A7"/>
    <w:pPr>
      <w:spacing w:before="240"/>
    </w:pPr>
    <w:rPr>
      <w:rFonts w:ascii="Times New Roman" w:hAnsi="Times New Roman"/>
      <w:smallCaps/>
      <w:spacing w:val="80"/>
      <w:sz w:val="28"/>
    </w:rPr>
  </w:style>
  <w:style w:type="paragraph" w:customStyle="1" w:styleId="InChapter">
    <w:name w:val="InChapter"/>
    <w:basedOn w:val="Heading3"/>
    <w:rsid w:val="005B56A7"/>
    <w:pPr>
      <w:spacing w:after="240"/>
      <w:outlineLvl w:val="9"/>
    </w:pPr>
    <w:rPr>
      <w:noProof/>
    </w:rPr>
  </w:style>
  <w:style w:type="paragraph" w:styleId="Index2">
    <w:name w:val="index 2"/>
    <w:basedOn w:val="Normal"/>
    <w:next w:val="Normal"/>
    <w:semiHidden/>
    <w:rsid w:val="005B56A7"/>
    <w:pPr>
      <w:tabs>
        <w:tab w:val="right" w:pos="4176"/>
      </w:tabs>
      <w:ind w:left="568" w:hanging="284"/>
    </w:pPr>
    <w:rPr>
      <w:rFonts w:ascii="Garamond" w:hAnsi="Garamond"/>
    </w:rPr>
  </w:style>
  <w:style w:type="paragraph" w:customStyle="1" w:styleId="Byline">
    <w:name w:val="Byline"/>
    <w:rsid w:val="005B5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6A7"/>
    <w:pPr>
      <w:tabs>
        <w:tab w:val="clear" w:pos="3600"/>
        <w:tab w:val="clear" w:pos="3958"/>
      </w:tabs>
      <w:jc w:val="right"/>
    </w:pPr>
  </w:style>
  <w:style w:type="character" w:styleId="Emphasis">
    <w:name w:val="Emphasis"/>
    <w:basedOn w:val="DefaultParagraphFont"/>
    <w:qFormat/>
    <w:rsid w:val="005B56A7"/>
    <w:rPr>
      <w:i/>
    </w:rPr>
  </w:style>
  <w:style w:type="paragraph" w:styleId="Caption">
    <w:name w:val="caption"/>
    <w:basedOn w:val="BodyText"/>
    <w:next w:val="Normal"/>
    <w:qFormat/>
    <w:rsid w:val="005B56A7"/>
    <w:pPr>
      <w:framePr w:w="2268" w:hSpace="181" w:vSpace="181" w:wrap="around" w:vAnchor="text" w:hAnchor="page" w:x="1135" w:y="285" w:anchorLock="1"/>
    </w:pPr>
    <w:rPr>
      <w:i/>
    </w:rPr>
  </w:style>
  <w:style w:type="paragraph" w:customStyle="1" w:styleId="MiniTOCTitle">
    <w:name w:val="MiniTOCTitle"/>
    <w:basedOn w:val="Heading4"/>
    <w:rsid w:val="005B56A7"/>
    <w:pPr>
      <w:spacing w:before="240"/>
      <w:outlineLvl w:val="9"/>
    </w:pPr>
    <w:rPr>
      <w:noProof/>
      <w:sz w:val="24"/>
    </w:rPr>
  </w:style>
  <w:style w:type="paragraph" w:customStyle="1" w:styleId="MiniTOCItem">
    <w:name w:val="MiniTOCItem"/>
    <w:basedOn w:val="ListBullet"/>
    <w:rsid w:val="005B56A7"/>
    <w:pPr>
      <w:numPr>
        <w:numId w:val="0"/>
      </w:numPr>
      <w:tabs>
        <w:tab w:val="right" w:leader="dot" w:pos="6521"/>
      </w:tabs>
      <w:spacing w:before="0" w:after="0"/>
    </w:pPr>
  </w:style>
  <w:style w:type="paragraph" w:customStyle="1" w:styleId="TOFTitle">
    <w:name w:val="TOFTitle"/>
    <w:basedOn w:val="TOCTitle"/>
    <w:rsid w:val="005B56A7"/>
  </w:style>
  <w:style w:type="paragraph" w:styleId="TableofFigures">
    <w:name w:val="table of figures"/>
    <w:basedOn w:val="Normal"/>
    <w:next w:val="Normal"/>
    <w:semiHidden/>
    <w:rsid w:val="005B56A7"/>
    <w:pPr>
      <w:tabs>
        <w:tab w:val="right" w:leader="dot" w:pos="9072"/>
      </w:tabs>
      <w:ind w:left="970" w:hanging="403"/>
    </w:pPr>
    <w:rPr>
      <w:rFonts w:ascii="Times New Roman" w:hAnsi="Times New Roman"/>
      <w:b/>
    </w:rPr>
  </w:style>
  <w:style w:type="paragraph" w:styleId="ListNumber">
    <w:name w:val="List Number"/>
    <w:basedOn w:val="List"/>
    <w:rsid w:val="005B56A7"/>
    <w:pPr>
      <w:numPr>
        <w:numId w:val="10"/>
      </w:numPr>
    </w:pPr>
  </w:style>
  <w:style w:type="character" w:customStyle="1" w:styleId="WingdingSymbols">
    <w:name w:val="Wingding Symbols"/>
    <w:rsid w:val="005B56A7"/>
    <w:rPr>
      <w:rFonts w:ascii="Wingdings" w:hAnsi="Wingdings"/>
    </w:rPr>
  </w:style>
  <w:style w:type="paragraph" w:customStyle="1" w:styleId="TableHeading">
    <w:name w:val="Table Heading"/>
    <w:basedOn w:val="HeadingBase"/>
    <w:rsid w:val="005B56A7"/>
    <w:pPr>
      <w:keepLines/>
      <w:pBdr>
        <w:bottom w:val="single" w:sz="6" w:space="1" w:color="918585"/>
      </w:pBdr>
      <w:spacing w:before="240"/>
    </w:pPr>
  </w:style>
  <w:style w:type="character" w:customStyle="1" w:styleId="HotSpot">
    <w:name w:val="HotSpot"/>
    <w:rsid w:val="005B56A7"/>
    <w:rPr>
      <w:color w:val="0033CC"/>
      <w:u w:val="none"/>
    </w:rPr>
  </w:style>
  <w:style w:type="paragraph" w:customStyle="1" w:styleId="BodyTextRight">
    <w:name w:val="Body Text Right"/>
    <w:basedOn w:val="BodyText"/>
    <w:rsid w:val="005B56A7"/>
    <w:pPr>
      <w:spacing w:before="0" w:after="0"/>
      <w:jc w:val="right"/>
    </w:pPr>
  </w:style>
  <w:style w:type="paragraph" w:styleId="Index3">
    <w:name w:val="index 3"/>
    <w:basedOn w:val="ListNumber2"/>
    <w:next w:val="Normal"/>
    <w:semiHidden/>
    <w:rsid w:val="005B56A7"/>
    <w:pPr>
      <w:numPr>
        <w:numId w:val="0"/>
      </w:numPr>
      <w:tabs>
        <w:tab w:val="right" w:leader="dot" w:pos="4176"/>
      </w:tabs>
    </w:pPr>
  </w:style>
  <w:style w:type="paragraph" w:styleId="ListNumber2">
    <w:name w:val="List Number 2"/>
    <w:basedOn w:val="List2"/>
    <w:rsid w:val="005B56A7"/>
    <w:pPr>
      <w:numPr>
        <w:numId w:val="9"/>
      </w:numPr>
      <w:tabs>
        <w:tab w:val="clear" w:pos="1060"/>
      </w:tabs>
    </w:pPr>
  </w:style>
  <w:style w:type="paragraph" w:customStyle="1" w:styleId="MarginNote">
    <w:name w:val="Margin Note"/>
    <w:basedOn w:val="BodyText"/>
    <w:rsid w:val="005B5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6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56A7"/>
    <w:rPr>
      <w:sz w:val="32"/>
    </w:rPr>
  </w:style>
  <w:style w:type="paragraph" w:customStyle="1" w:styleId="HeadingProcedure">
    <w:name w:val="Heading Procedure"/>
    <w:basedOn w:val="HeadingBase"/>
    <w:next w:val="Normal"/>
    <w:rsid w:val="005B56A7"/>
    <w:pPr>
      <w:tabs>
        <w:tab w:val="left" w:pos="0"/>
      </w:tabs>
      <w:spacing w:before="120" w:after="60"/>
    </w:pPr>
    <w:rPr>
      <w:i/>
      <w:color w:val="918585"/>
      <w:sz w:val="22"/>
    </w:rPr>
  </w:style>
  <w:style w:type="paragraph" w:customStyle="1" w:styleId="TableBodyText">
    <w:name w:val="Table Body Text"/>
    <w:basedOn w:val="BodyText"/>
    <w:rsid w:val="005B56A7"/>
    <w:pPr>
      <w:spacing w:before="60" w:after="60"/>
    </w:pPr>
  </w:style>
  <w:style w:type="paragraph" w:styleId="ListContinue">
    <w:name w:val="List Continue"/>
    <w:basedOn w:val="List"/>
    <w:rsid w:val="005B56A7"/>
    <w:pPr>
      <w:ind w:firstLine="0"/>
    </w:pPr>
  </w:style>
  <w:style w:type="paragraph" w:customStyle="1" w:styleId="ListNote">
    <w:name w:val="List Note"/>
    <w:basedOn w:val="List"/>
    <w:rsid w:val="005B56A7"/>
    <w:pPr>
      <w:pBdr>
        <w:top w:val="single" w:sz="6" w:space="2" w:color="918585"/>
        <w:bottom w:val="single" w:sz="6" w:space="2" w:color="918585"/>
      </w:pBdr>
      <w:tabs>
        <w:tab w:val="left" w:pos="1021"/>
      </w:tabs>
      <w:ind w:firstLine="0"/>
    </w:pPr>
  </w:style>
  <w:style w:type="paragraph" w:customStyle="1" w:styleId="Warning">
    <w:name w:val="Warning"/>
    <w:basedOn w:val="BodyText"/>
    <w:rsid w:val="005B56A7"/>
    <w:pPr>
      <w:shd w:val="clear" w:color="auto" w:fill="D9D9D9"/>
      <w:tabs>
        <w:tab w:val="left" w:pos="992"/>
      </w:tabs>
      <w:ind w:left="119" w:right="119"/>
    </w:pPr>
    <w:rPr>
      <w:sz w:val="20"/>
    </w:rPr>
  </w:style>
  <w:style w:type="paragraph" w:customStyle="1" w:styleId="MarginIcons">
    <w:name w:val="Margin Icons"/>
    <w:basedOn w:val="BodyText"/>
    <w:rsid w:val="005B5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6A7"/>
    <w:rPr>
      <w:rFonts w:ascii="Courier New" w:hAnsi="Courier New"/>
    </w:rPr>
  </w:style>
  <w:style w:type="paragraph" w:customStyle="1" w:styleId="NoteBullet">
    <w:name w:val="Note Bullet"/>
    <w:basedOn w:val="Note"/>
    <w:rsid w:val="005B56A7"/>
    <w:pPr>
      <w:tabs>
        <w:tab w:val="clear" w:pos="680"/>
      </w:tabs>
      <w:spacing w:before="60" w:after="60"/>
    </w:pPr>
  </w:style>
  <w:style w:type="paragraph" w:customStyle="1" w:styleId="SubHeading2">
    <w:name w:val="SubHeading2"/>
    <w:basedOn w:val="HeadingBase"/>
    <w:rsid w:val="005B56A7"/>
    <w:pPr>
      <w:spacing w:before="240" w:after="60"/>
    </w:pPr>
    <w:rPr>
      <w:sz w:val="20"/>
    </w:rPr>
  </w:style>
  <w:style w:type="paragraph" w:customStyle="1" w:styleId="SubHeading1">
    <w:name w:val="SubHeading1"/>
    <w:basedOn w:val="HeadingBase"/>
    <w:rsid w:val="005B56A7"/>
    <w:pPr>
      <w:spacing w:before="240" w:after="60"/>
    </w:pPr>
    <w:rPr>
      <w:color w:val="918585"/>
      <w:sz w:val="22"/>
    </w:rPr>
  </w:style>
  <w:style w:type="paragraph" w:customStyle="1" w:styleId="SideHeading">
    <w:name w:val="Side Heading"/>
    <w:basedOn w:val="HeadingBase"/>
    <w:rsid w:val="005B5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6A7"/>
    <w:pPr>
      <w:tabs>
        <w:tab w:val="num" w:pos="360"/>
      </w:tabs>
    </w:pPr>
  </w:style>
  <w:style w:type="paragraph" w:styleId="PlainText">
    <w:name w:val="Plain Text"/>
    <w:basedOn w:val="Normal"/>
    <w:link w:val="PlainTextChar"/>
    <w:rsid w:val="005B56A7"/>
    <w:rPr>
      <w:sz w:val="20"/>
    </w:rPr>
  </w:style>
  <w:style w:type="character" w:customStyle="1" w:styleId="PlainTextChar">
    <w:name w:val="Plain Text Char"/>
    <w:basedOn w:val="DefaultParagraphFont"/>
    <w:link w:val="PlainText"/>
    <w:rsid w:val="005B56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B56A7"/>
    <w:rPr>
      <w:b/>
      <w:smallCaps/>
    </w:rPr>
  </w:style>
  <w:style w:type="paragraph" w:customStyle="1" w:styleId="TableListNumber">
    <w:name w:val="Table List Number"/>
    <w:basedOn w:val="ListNumber"/>
    <w:rsid w:val="005B56A7"/>
    <w:pPr>
      <w:numPr>
        <w:numId w:val="0"/>
      </w:numPr>
    </w:pPr>
  </w:style>
  <w:style w:type="paragraph" w:styleId="TOC4">
    <w:name w:val="toc 4"/>
    <w:basedOn w:val="TOCBase"/>
    <w:next w:val="Normal"/>
    <w:semiHidden/>
    <w:rsid w:val="005B56A7"/>
    <w:pPr>
      <w:tabs>
        <w:tab w:val="right" w:leader="dot" w:pos="9071"/>
      </w:tabs>
      <w:ind w:left="1701"/>
    </w:pPr>
  </w:style>
  <w:style w:type="paragraph" w:customStyle="1" w:styleId="ListAlpha">
    <w:name w:val="List Alpha"/>
    <w:basedOn w:val="List"/>
    <w:rsid w:val="005B56A7"/>
    <w:pPr>
      <w:numPr>
        <w:numId w:val="8"/>
      </w:numPr>
    </w:pPr>
  </w:style>
  <w:style w:type="paragraph" w:customStyle="1" w:styleId="ListAlpha2">
    <w:name w:val="List Alpha 2"/>
    <w:basedOn w:val="List2"/>
    <w:rsid w:val="005B56A7"/>
    <w:pPr>
      <w:numPr>
        <w:numId w:val="7"/>
      </w:numPr>
    </w:pPr>
  </w:style>
  <w:style w:type="paragraph" w:styleId="List3">
    <w:name w:val="List 3"/>
    <w:basedOn w:val="BodyText"/>
    <w:rsid w:val="005B56A7"/>
    <w:pPr>
      <w:tabs>
        <w:tab w:val="left" w:pos="1021"/>
      </w:tabs>
      <w:spacing w:before="60" w:after="60"/>
      <w:ind w:left="1020" w:hanging="340"/>
    </w:pPr>
  </w:style>
  <w:style w:type="paragraph" w:styleId="List4">
    <w:name w:val="List 4"/>
    <w:basedOn w:val="BodyText"/>
    <w:rsid w:val="005B56A7"/>
    <w:pPr>
      <w:tabs>
        <w:tab w:val="left" w:pos="1361"/>
      </w:tabs>
      <w:spacing w:before="60" w:after="60"/>
      <w:ind w:left="1361" w:hanging="340"/>
    </w:pPr>
  </w:style>
  <w:style w:type="paragraph" w:styleId="List5">
    <w:name w:val="List 5"/>
    <w:basedOn w:val="BodyText"/>
    <w:rsid w:val="005B56A7"/>
    <w:pPr>
      <w:tabs>
        <w:tab w:val="left" w:pos="1701"/>
      </w:tabs>
      <w:spacing w:before="60" w:after="60"/>
      <w:ind w:left="1701" w:hanging="340"/>
    </w:pPr>
  </w:style>
  <w:style w:type="paragraph" w:styleId="ListBullet3">
    <w:name w:val="List Bullet 3"/>
    <w:basedOn w:val="List3"/>
    <w:rsid w:val="005B56A7"/>
    <w:pPr>
      <w:numPr>
        <w:numId w:val="14"/>
      </w:numPr>
      <w:tabs>
        <w:tab w:val="clear" w:pos="1021"/>
      </w:tabs>
      <w:ind w:left="1037" w:hanging="357"/>
    </w:pPr>
  </w:style>
  <w:style w:type="paragraph" w:styleId="ListBullet4">
    <w:name w:val="List Bullet 4"/>
    <w:basedOn w:val="List4"/>
    <w:rsid w:val="005B56A7"/>
    <w:pPr>
      <w:numPr>
        <w:numId w:val="2"/>
      </w:numPr>
    </w:pPr>
  </w:style>
  <w:style w:type="paragraph" w:styleId="ListBullet5">
    <w:name w:val="List Bullet 5"/>
    <w:basedOn w:val="List5"/>
    <w:rsid w:val="005B56A7"/>
    <w:pPr>
      <w:numPr>
        <w:numId w:val="3"/>
      </w:numPr>
    </w:pPr>
  </w:style>
  <w:style w:type="paragraph" w:styleId="ListContinue2">
    <w:name w:val="List Continue 2"/>
    <w:basedOn w:val="List2"/>
    <w:rsid w:val="005B56A7"/>
    <w:pPr>
      <w:ind w:firstLine="0"/>
    </w:pPr>
  </w:style>
  <w:style w:type="paragraph" w:styleId="ListContinue3">
    <w:name w:val="List Continue 3"/>
    <w:basedOn w:val="List3"/>
    <w:rsid w:val="005B56A7"/>
    <w:pPr>
      <w:ind w:left="1021" w:firstLine="0"/>
    </w:pPr>
  </w:style>
  <w:style w:type="paragraph" w:styleId="ListContinue4">
    <w:name w:val="List Continue 4"/>
    <w:basedOn w:val="List4"/>
    <w:rsid w:val="005B56A7"/>
    <w:pPr>
      <w:ind w:firstLine="0"/>
    </w:pPr>
  </w:style>
  <w:style w:type="paragraph" w:styleId="ListContinue5">
    <w:name w:val="List Continue 5"/>
    <w:basedOn w:val="List5"/>
    <w:rsid w:val="005B56A7"/>
    <w:pPr>
      <w:ind w:firstLine="0"/>
    </w:pPr>
  </w:style>
  <w:style w:type="paragraph" w:styleId="ListNumber3">
    <w:name w:val="List Number 3"/>
    <w:basedOn w:val="List3"/>
    <w:rsid w:val="005B56A7"/>
    <w:pPr>
      <w:numPr>
        <w:numId w:val="4"/>
      </w:numPr>
    </w:pPr>
  </w:style>
  <w:style w:type="paragraph" w:styleId="ListNumber4">
    <w:name w:val="List Number 4"/>
    <w:basedOn w:val="List4"/>
    <w:rsid w:val="005B56A7"/>
    <w:pPr>
      <w:numPr>
        <w:numId w:val="5"/>
      </w:numPr>
    </w:pPr>
  </w:style>
  <w:style w:type="paragraph" w:styleId="ListNumber5">
    <w:name w:val="List Number 5"/>
    <w:basedOn w:val="List5"/>
    <w:rsid w:val="005B56A7"/>
    <w:pPr>
      <w:numPr>
        <w:numId w:val="6"/>
      </w:numPr>
    </w:pPr>
  </w:style>
  <w:style w:type="paragraph" w:styleId="BlockText">
    <w:name w:val="Block Text"/>
    <w:basedOn w:val="Normal"/>
    <w:rsid w:val="005B56A7"/>
    <w:pPr>
      <w:spacing w:after="120"/>
      <w:ind w:left="1440" w:right="1440"/>
    </w:pPr>
  </w:style>
  <w:style w:type="character" w:customStyle="1" w:styleId="Subscript">
    <w:name w:val="Subscript"/>
    <w:basedOn w:val="DefaultParagraphFont"/>
    <w:rsid w:val="005B56A7"/>
    <w:rPr>
      <w:sz w:val="16"/>
      <w:vertAlign w:val="subscript"/>
    </w:rPr>
  </w:style>
  <w:style w:type="character" w:customStyle="1" w:styleId="Superscript">
    <w:name w:val="Superscript"/>
    <w:basedOn w:val="DefaultParagraphFont"/>
    <w:rsid w:val="005B56A7"/>
    <w:rPr>
      <w:sz w:val="16"/>
      <w:vertAlign w:val="superscript"/>
    </w:rPr>
  </w:style>
  <w:style w:type="character" w:customStyle="1" w:styleId="Symbols">
    <w:name w:val="Symbols"/>
    <w:basedOn w:val="DefaultParagraphFont"/>
    <w:rsid w:val="005B56A7"/>
    <w:rPr>
      <w:rFonts w:ascii="Symbol" w:hAnsi="Symbol"/>
    </w:rPr>
  </w:style>
  <w:style w:type="character" w:customStyle="1" w:styleId="MenuOptions">
    <w:name w:val="Menu Options"/>
    <w:basedOn w:val="DefaultParagraphFont"/>
    <w:rsid w:val="005B56A7"/>
    <w:rPr>
      <w:rFonts w:ascii="Arial Narrow" w:hAnsi="Arial Narrow"/>
      <w:smallCaps/>
    </w:rPr>
  </w:style>
  <w:style w:type="character" w:customStyle="1" w:styleId="Buttons">
    <w:name w:val="Buttons"/>
    <w:basedOn w:val="DefaultParagraphFont"/>
    <w:rsid w:val="005B56A7"/>
    <w:rPr>
      <w:b/>
    </w:rPr>
  </w:style>
  <w:style w:type="character" w:customStyle="1" w:styleId="Underlined">
    <w:name w:val="Underlined"/>
    <w:basedOn w:val="DefaultParagraphFont"/>
    <w:rsid w:val="005B56A7"/>
    <w:rPr>
      <w:u w:val="single"/>
    </w:rPr>
  </w:style>
  <w:style w:type="paragraph" w:customStyle="1" w:styleId="TableBodyTextRight">
    <w:name w:val="Table Body Text Right"/>
    <w:basedOn w:val="TableBodyText"/>
    <w:rsid w:val="005B56A7"/>
    <w:pPr>
      <w:widowControl w:val="0"/>
      <w:autoSpaceDE w:val="0"/>
      <w:autoSpaceDN w:val="0"/>
      <w:adjustRightInd w:val="0"/>
      <w:jc w:val="right"/>
    </w:pPr>
    <w:rPr>
      <w:rFonts w:cs="Arial"/>
      <w:szCs w:val="18"/>
    </w:rPr>
  </w:style>
  <w:style w:type="paragraph" w:customStyle="1" w:styleId="CopyrightText">
    <w:name w:val="Copyright Text"/>
    <w:basedOn w:val="BodyText"/>
    <w:rsid w:val="005B56A7"/>
    <w:rPr>
      <w:sz w:val="18"/>
    </w:rPr>
  </w:style>
  <w:style w:type="paragraph" w:customStyle="1" w:styleId="BodySmallRight">
    <w:name w:val="Body Small Right"/>
    <w:basedOn w:val="BodyTextRight"/>
    <w:rsid w:val="005B56A7"/>
    <w:rPr>
      <w:sz w:val="18"/>
      <w:szCs w:val="18"/>
    </w:rPr>
  </w:style>
  <w:style w:type="paragraph" w:customStyle="1" w:styleId="MarginEdition">
    <w:name w:val="Margin Edition"/>
    <w:basedOn w:val="MarginNote"/>
    <w:rsid w:val="005B56A7"/>
    <w:pPr>
      <w:spacing w:before="0" w:after="0"/>
    </w:pPr>
    <w:rPr>
      <w:rFonts w:ascii="Times New Roman" w:hAnsi="Times New Roman"/>
      <w:color w:val="999999"/>
    </w:rPr>
  </w:style>
  <w:style w:type="paragraph" w:customStyle="1" w:styleId="Spacer">
    <w:name w:val="Spacer"/>
    <w:basedOn w:val="Normal"/>
    <w:rsid w:val="005B56A7"/>
    <w:rPr>
      <w:sz w:val="2"/>
      <w:szCs w:val="2"/>
    </w:rPr>
  </w:style>
  <w:style w:type="character" w:customStyle="1" w:styleId="Small">
    <w:name w:val="Small"/>
    <w:basedOn w:val="DefaultParagraphFont"/>
    <w:rsid w:val="005B56A7"/>
    <w:rPr>
      <w:sz w:val="16"/>
    </w:rPr>
  </w:style>
  <w:style w:type="paragraph" w:customStyle="1" w:styleId="WideTable">
    <w:name w:val="Wide Table"/>
    <w:basedOn w:val="Normal"/>
    <w:rsid w:val="005B56A7"/>
    <w:pPr>
      <w:ind w:left="-1418"/>
    </w:pPr>
    <w:rPr>
      <w:sz w:val="2"/>
      <w:szCs w:val="2"/>
    </w:rPr>
  </w:style>
  <w:style w:type="character" w:styleId="PageNumber">
    <w:name w:val="page number"/>
    <w:basedOn w:val="DefaultParagraphFont"/>
    <w:rsid w:val="005B56A7"/>
  </w:style>
  <w:style w:type="paragraph" w:styleId="Quote">
    <w:name w:val="Quote"/>
    <w:basedOn w:val="Heading1"/>
    <w:link w:val="QuoteChar"/>
    <w:qFormat/>
    <w:rsid w:val="005B56A7"/>
    <w:rPr>
      <w:b w:val="0"/>
      <w:sz w:val="72"/>
      <w:szCs w:val="72"/>
      <w:lang w:val="en-NZ"/>
    </w:rPr>
  </w:style>
  <w:style w:type="character" w:customStyle="1" w:styleId="QuoteChar">
    <w:name w:val="Quote Char"/>
    <w:basedOn w:val="DefaultParagraphFont"/>
    <w:link w:val="Quote"/>
    <w:rsid w:val="005B5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6A7"/>
    <w:pPr>
      <w:pageBreakBefore/>
    </w:pPr>
  </w:style>
  <w:style w:type="paragraph" w:customStyle="1" w:styleId="Border">
    <w:name w:val="Border"/>
    <w:basedOn w:val="Normal"/>
    <w:qFormat/>
    <w:rsid w:val="005B5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6A7"/>
    <w:rPr>
      <w:b/>
      <w:bCs/>
      <w:i/>
      <w:iCs/>
      <w:color w:val="auto"/>
    </w:rPr>
  </w:style>
  <w:style w:type="paragraph" w:styleId="IntenseQuote">
    <w:name w:val="Intense Quote"/>
    <w:basedOn w:val="Normal"/>
    <w:next w:val="Normal"/>
    <w:link w:val="IntenseQuoteChar"/>
    <w:uiPriority w:val="30"/>
    <w:qFormat/>
    <w:rsid w:val="005B5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6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B56A7"/>
    <w:rPr>
      <w:smallCaps/>
      <w:color w:val="auto"/>
      <w:u w:val="single"/>
    </w:rPr>
  </w:style>
  <w:style w:type="character" w:styleId="IntenseReference">
    <w:name w:val="Intense Reference"/>
    <w:basedOn w:val="DefaultParagraphFont"/>
    <w:uiPriority w:val="32"/>
    <w:qFormat/>
    <w:rsid w:val="005B56A7"/>
    <w:rPr>
      <w:b/>
      <w:bCs/>
      <w:smallCaps/>
      <w:color w:val="auto"/>
      <w:spacing w:val="5"/>
      <w:u w:val="single"/>
    </w:rPr>
  </w:style>
  <w:style w:type="paragraph" w:customStyle="1" w:styleId="2ColumnHeading">
    <w:name w:val="2Column Heading"/>
    <w:basedOn w:val="BodyText"/>
    <w:qFormat/>
    <w:rsid w:val="005B56A7"/>
    <w:pPr>
      <w:spacing w:after="60"/>
      <w:ind w:left="-2268"/>
    </w:pPr>
    <w:rPr>
      <w:b/>
    </w:rPr>
  </w:style>
  <w:style w:type="paragraph" w:customStyle="1" w:styleId="Heading1TOC">
    <w:name w:val="Heading1 TOC"/>
    <w:basedOn w:val="Normal"/>
    <w:qFormat/>
    <w:rsid w:val="005B56A7"/>
    <w:pPr>
      <w:spacing w:before="240" w:after="120"/>
    </w:pPr>
    <w:rPr>
      <w:rFonts w:ascii="Times New Roman" w:hAnsi="Times New Roman"/>
      <w:b/>
      <w:sz w:val="32"/>
    </w:rPr>
  </w:style>
  <w:style w:type="paragraph" w:customStyle="1" w:styleId="Heading2TOC">
    <w:name w:val="Heading2 TOC"/>
    <w:basedOn w:val="Normal"/>
    <w:qFormat/>
    <w:rsid w:val="005B56A7"/>
    <w:pPr>
      <w:spacing w:before="240" w:after="60"/>
    </w:pPr>
    <w:rPr>
      <w:rFonts w:ascii="Times New Roman" w:hAnsi="Times New Roman"/>
      <w:b/>
      <w:sz w:val="28"/>
    </w:rPr>
  </w:style>
  <w:style w:type="character" w:customStyle="1" w:styleId="Underline">
    <w:name w:val="Underline"/>
    <w:basedOn w:val="DefaultParagraphFont"/>
    <w:qFormat/>
    <w:rsid w:val="005B56A7"/>
    <w:rPr>
      <w:u w:val="single"/>
    </w:rPr>
  </w:style>
  <w:style w:type="character" w:customStyle="1" w:styleId="BoldandItalics">
    <w:name w:val="Bold and Italics"/>
    <w:qFormat/>
    <w:rsid w:val="005B56A7"/>
    <w:rPr>
      <w:b/>
      <w:i/>
      <w:u w:val="none"/>
    </w:rPr>
  </w:style>
  <w:style w:type="paragraph" w:styleId="BalloonText">
    <w:name w:val="Balloon Text"/>
    <w:basedOn w:val="Normal"/>
    <w:link w:val="BalloonTextChar"/>
    <w:rsid w:val="005B56A7"/>
    <w:rPr>
      <w:rFonts w:ascii="Tahoma" w:hAnsi="Tahoma" w:cs="Tahoma"/>
      <w:sz w:val="16"/>
      <w:szCs w:val="16"/>
    </w:rPr>
  </w:style>
  <w:style w:type="character" w:customStyle="1" w:styleId="BalloonTextChar">
    <w:name w:val="Balloon Text Char"/>
    <w:basedOn w:val="DefaultParagraphFont"/>
    <w:link w:val="BalloonText"/>
    <w:rsid w:val="005B56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56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56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925</Words>
  <Characters>5651</Characters>
  <Application>Microsoft Office Word</Application>
  <DocSecurity>0</DocSecurity>
  <Lines>213</Lines>
  <Paragraphs>94</Paragraphs>
  <ScaleCrop>false</ScaleCrop>
  <Company>Author-it Software Corporation Ltd.</Company>
  <LinksUpToDate>false</LinksUpToDate>
  <CharactersWithSpaces>6495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MEM05009C Perform automated thermal cutting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2012-05-27T01:28:00Z</dcterms:created>
  <dcterms:modified xsi:type="dcterms:W3CDTF">2012-05-27T01:28:00Z</dcterms:modified>
</cp:coreProperties>
</file>