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EC3" w:rsidP="00357EC3">
      <w:pPr>
        <w:pStyle w:val="Title"/>
      </w:pPr>
      <w:r>
        <w:fldChar w:fldCharType="begin"/>
      </w:r>
      <w:r>
        <w:instrText xml:space="preserve"> TITLE   \* MERGEFORMAT </w:instrText>
      </w:r>
      <w:r>
        <w:fldChar w:fldCharType="separate"/>
      </w:r>
      <w:r>
        <w:t>MEM05004C Perform routine oxy acetylene welding</w:t>
      </w:r>
      <w:r>
        <w:fldChar w:fldCharType="end"/>
      </w:r>
    </w:p>
    <w:p w:rsidR="00357EC3" w:rsidP="00357EC3">
      <w:pPr>
        <w:pStyle w:val="Version"/>
        <w:sectPr w:rsidSect="001E17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7F8" w:rsidP="001E17F8">
      <w:pPr>
        <w:pStyle w:val="SuperHeading"/>
      </w:pPr>
      <w:r w:rsidRPr="001E17F8">
        <w:t>MEM05004C Perform routine oxy acetylene welding</w:t>
      </w:r>
    </w:p>
    <w:p w:rsidR="00000000" w:rsidRPr="001E17F8" w:rsidP="001E17F8">
      <w:pPr>
        <w:pStyle w:val="Heading1"/>
      </w:pPr>
      <w:bookmarkStart w:id="1" w:name="O_271998"/>
      <w:bookmarkEnd w:id="1"/>
      <w:r w:rsidRPr="001E17F8">
        <w:t>Modification History</w:t>
      </w:r>
    </w:p>
    <w:p w:rsidR="00000000" w:rsidRPr="001E17F8" w:rsidP="001E17F8">
      <w:pPr>
        <w:pStyle w:val="BodyText"/>
      </w:pPr>
      <w:r w:rsidRPr="001E17F8">
        <w:t>Not Applicable</w:t>
      </w:r>
    </w:p>
    <w:p w:rsidR="00000000" w:rsidRPr="001E17F8" w:rsidP="001E17F8">
      <w:pPr>
        <w:pStyle w:val="AllowPageBreak"/>
      </w:pPr>
    </w:p>
    <w:p w:rsidR="00000000" w:rsidRPr="001E17F8" w:rsidP="001E17F8">
      <w:pPr>
        <w:pStyle w:val="Heading1"/>
      </w:pPr>
      <w:bookmarkStart w:id="2" w:name="O_210424"/>
      <w:bookmarkEnd w:id="2"/>
      <w:r w:rsidRPr="001E17F8">
        <w:t>Unit Descriptor</w:t>
      </w:r>
    </w:p>
    <w:tbl>
      <w:tblPr>
        <w:tblW w:w="0" w:type="auto"/>
        <w:tblLayout w:type="fixed"/>
        <w:tblCellMar>
          <w:left w:w="62" w:type="dxa"/>
          <w:right w:w="62" w:type="dxa"/>
        </w:tblCellMar>
        <w:tblLook w:val="0000"/>
      </w:tblPr>
      <w:tblGrid>
        <w:gridCol w:w="2673"/>
        <w:gridCol w:w="5849"/>
      </w:tblGrid>
      <w:tr w:rsidTr="00357EC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This unit covers preparing materials and performing routine oxy acetylene welding.</w:t>
            </w:r>
          </w:p>
        </w:tc>
      </w:tr>
    </w:tbl>
    <w:p w:rsidR="00357EC3" w:rsidP="001E17F8">
      <w:pPr>
        <w:pStyle w:val="BodyText"/>
      </w:pPr>
    </w:p>
    <w:p w:rsidR="00357EC3" w:rsidP="001E17F8">
      <w:pPr>
        <w:pStyle w:val="BodyText"/>
      </w:pPr>
    </w:p>
    <w:p w:rsidR="00000000" w:rsidRPr="001E17F8" w:rsidP="001E17F8">
      <w:pPr>
        <w:pStyle w:val="Heading1"/>
      </w:pPr>
      <w:bookmarkStart w:id="3" w:name="O_210428"/>
      <w:bookmarkEnd w:id="3"/>
      <w:r w:rsidRPr="001E17F8">
        <w:t>Application of the Unit</w:t>
      </w:r>
    </w:p>
    <w:tbl>
      <w:tblPr>
        <w:tblW w:w="0" w:type="auto"/>
        <w:tblLayout w:type="fixed"/>
        <w:tblCellMar>
          <w:left w:w="62" w:type="dxa"/>
          <w:right w:w="62" w:type="dxa"/>
        </w:tblCellMar>
        <w:tblLook w:val="0000"/>
      </w:tblPr>
      <w:tblGrid>
        <w:gridCol w:w="2745"/>
        <w:gridCol w:w="5777"/>
      </w:tblGrid>
      <w:tr w:rsidTr="00357EC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This unit ap</w:t>
            </w:r>
            <w:r w:rsidRPr="001E17F8">
              <w:t>plies in a maintenance or manufacturing environment where the welding is not required to meet an Australian standard or equivalent. Fillet and butt welds would typically be performed on low carbon/mild steels.</w:t>
            </w:r>
          </w:p>
          <w:p w:rsidR="00000000" w:rsidRPr="001E17F8" w:rsidP="001E17F8">
            <w:pPr>
              <w:pStyle w:val="BodyText"/>
            </w:pPr>
            <w:r w:rsidRPr="001E17F8">
              <w:t>Where welding is required to meet Australian S</w:t>
            </w:r>
            <w:r w:rsidRPr="001E17F8">
              <w:t>tandard 1554 General Purpose or equivalent codes, OHS regulations and/or licensing requirements, Unit MEM05022C (Perform advanced welding using oxy acetylene process) should be selected.</w:t>
            </w:r>
          </w:p>
          <w:p w:rsidR="00000000" w:rsidRPr="001E17F8" w:rsidP="001E17F8">
            <w:pPr>
              <w:pStyle w:val="BodyText"/>
            </w:pPr>
          </w:p>
          <w:p w:rsidR="00000000" w:rsidRPr="001E17F8" w:rsidP="001E17F8">
            <w:pPr>
              <w:pStyle w:val="BodyText"/>
            </w:pPr>
            <w:r w:rsidRPr="001E17F8">
              <w:rPr>
                <w:rStyle w:val="SpecialBold"/>
              </w:rPr>
              <w:t>Band</w:t>
            </w:r>
            <w:r w:rsidRPr="001E17F8">
              <w:t>:</w:t>
            </w:r>
            <w:r w:rsidRPr="001E17F8">
              <w:tab/>
            </w:r>
            <w:r w:rsidRPr="001E17F8">
              <w:rPr>
                <w:rStyle w:val="SpecialBold"/>
              </w:rPr>
              <w:t>A</w:t>
            </w:r>
          </w:p>
          <w:p w:rsidR="00000000" w:rsidRPr="001E17F8" w:rsidP="001E17F8">
            <w:pPr>
              <w:pStyle w:val="BodyText"/>
            </w:pPr>
            <w:r w:rsidRPr="001E17F8">
              <w:rPr>
                <w:rStyle w:val="SpecialBold"/>
              </w:rPr>
              <w:t>Unit Weight</w:t>
            </w:r>
            <w:r w:rsidRPr="001E17F8">
              <w:t>:</w:t>
            </w:r>
            <w:r w:rsidRPr="001E17F8">
              <w:tab/>
            </w:r>
            <w:r w:rsidRPr="001E17F8">
              <w:rPr>
                <w:rStyle w:val="SpecialBold"/>
              </w:rPr>
              <w:t>2</w:t>
            </w:r>
          </w:p>
        </w:tc>
      </w:tr>
    </w:tbl>
    <w:p w:rsidR="00357EC3" w:rsidP="001E17F8">
      <w:pPr>
        <w:pStyle w:val="BodyText"/>
      </w:pPr>
    </w:p>
    <w:p w:rsidR="00357EC3" w:rsidP="001E17F8">
      <w:pPr>
        <w:pStyle w:val="BodyText"/>
      </w:pPr>
    </w:p>
    <w:p w:rsidR="00000000" w:rsidRPr="001E17F8" w:rsidP="001E17F8">
      <w:pPr>
        <w:pStyle w:val="Heading1"/>
      </w:pPr>
      <w:bookmarkStart w:id="4" w:name="O_280258"/>
      <w:bookmarkEnd w:id="4"/>
      <w:r w:rsidRPr="001E17F8">
        <w:t>Licensing/Regulatory Information</w:t>
      </w:r>
    </w:p>
    <w:p w:rsidR="00000000" w:rsidRPr="001E17F8" w:rsidP="001E17F8">
      <w:pPr>
        <w:pStyle w:val="BodyText"/>
      </w:pPr>
      <w:r w:rsidRPr="001E17F8">
        <w:t>Refer to Application of the Unit</w:t>
      </w:r>
    </w:p>
    <w:p w:rsidR="00000000" w:rsidRPr="001E17F8" w:rsidP="001E17F8">
      <w:pPr>
        <w:pStyle w:val="AllowPageBreak"/>
      </w:pPr>
    </w:p>
    <w:p w:rsidR="00000000" w:rsidRPr="001E17F8" w:rsidP="001E17F8">
      <w:pPr>
        <w:pStyle w:val="Heading1"/>
      </w:pPr>
      <w:bookmarkStart w:id="5" w:name="O_210426"/>
      <w:bookmarkEnd w:id="5"/>
      <w:r w:rsidRPr="001E17F8">
        <w:t>Pre-Requisites</w:t>
      </w:r>
    </w:p>
    <w:tbl>
      <w:tblPr>
        <w:tblW w:w="0" w:type="auto"/>
        <w:tblLayout w:type="fixed"/>
        <w:tblCellMar>
          <w:left w:w="62" w:type="dxa"/>
          <w:right w:w="62" w:type="dxa"/>
        </w:tblCellMar>
        <w:tblLook w:val="0000"/>
      </w:tblPr>
      <w:tblGrid>
        <w:gridCol w:w="2775"/>
        <w:gridCol w:w="1295"/>
        <w:gridCol w:w="4452"/>
      </w:tblGrid>
      <w:tr w:rsidTr="00357E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p>
        </w:tc>
      </w:tr>
      <w:tr w:rsidTr="00357E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p>
        </w:tc>
      </w:tr>
      <w:tr w:rsidTr="00357E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p>
        </w:tc>
      </w:tr>
    </w:tbl>
    <w:p w:rsidR="00357EC3" w:rsidP="001E17F8">
      <w:pPr>
        <w:pStyle w:val="BodyText"/>
      </w:pPr>
    </w:p>
    <w:p w:rsidR="00357EC3" w:rsidP="001E17F8">
      <w:pPr>
        <w:pStyle w:val="BodyText"/>
      </w:pPr>
    </w:p>
    <w:p w:rsidR="00000000" w:rsidRPr="001E17F8" w:rsidP="001E17F8">
      <w:pPr>
        <w:pStyle w:val="Heading1"/>
      </w:pPr>
      <w:bookmarkStart w:id="6" w:name="O_210425"/>
      <w:bookmarkEnd w:id="6"/>
      <w:r w:rsidRPr="001E17F8">
        <w:t>Employability Skills Information</w:t>
      </w:r>
    </w:p>
    <w:tbl>
      <w:tblPr>
        <w:tblW w:w="0" w:type="auto"/>
        <w:tblLayout w:type="fixed"/>
        <w:tblCellMar>
          <w:left w:w="62" w:type="dxa"/>
          <w:right w:w="62" w:type="dxa"/>
        </w:tblCellMar>
        <w:tblLook w:val="0000"/>
      </w:tblPr>
      <w:tblGrid>
        <w:gridCol w:w="2802"/>
        <w:gridCol w:w="5720"/>
      </w:tblGrid>
      <w:tr w:rsidTr="00357E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This unit contains employability skills.</w:t>
            </w:r>
          </w:p>
        </w:tc>
      </w:tr>
    </w:tbl>
    <w:p w:rsidR="00357EC3" w:rsidP="001E17F8">
      <w:pPr>
        <w:pStyle w:val="BodyText"/>
      </w:pPr>
    </w:p>
    <w:p w:rsidR="00357EC3" w:rsidP="001E17F8">
      <w:pPr>
        <w:pStyle w:val="BodyText"/>
      </w:pPr>
    </w:p>
    <w:p w:rsidR="00000000" w:rsidRPr="001E17F8" w:rsidP="001E17F8">
      <w:pPr>
        <w:pStyle w:val="Heading1"/>
      </w:pPr>
      <w:bookmarkStart w:id="7" w:name="O_290044"/>
      <w:bookmarkEnd w:id="7"/>
      <w:r w:rsidRPr="001E17F8">
        <w:t>Elements and Performance Criteria Pre-Content</w:t>
      </w:r>
    </w:p>
    <w:tbl>
      <w:tblPr>
        <w:tblW w:w="0" w:type="auto"/>
        <w:tblLayout w:type="fixed"/>
        <w:tblCellMar>
          <w:left w:w="62" w:type="dxa"/>
          <w:right w:w="62" w:type="dxa"/>
        </w:tblCellMar>
        <w:tblLook w:val="0000"/>
      </w:tblPr>
      <w:tblGrid>
        <w:gridCol w:w="2572"/>
        <w:gridCol w:w="5950"/>
      </w:tblGrid>
      <w:tr w:rsidTr="00357EC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Performance criteria describe the performance needed</w:t>
            </w:r>
            <w:r w:rsidRPr="001E17F8">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E17F8" w:rsidP="001E17F8">
      <w:pPr>
        <w:pStyle w:val="BodyText"/>
      </w:pPr>
    </w:p>
    <w:p w:rsidR="00000000" w:rsidRPr="001E17F8" w:rsidP="001E17F8">
      <w:pPr>
        <w:pStyle w:val="AllowPageBreak"/>
      </w:pPr>
    </w:p>
    <w:p w:rsidR="00000000" w:rsidRPr="001E17F8" w:rsidP="001E17F8">
      <w:pPr>
        <w:pStyle w:val="Heading1"/>
      </w:pPr>
      <w:bookmarkStart w:id="8" w:name="O_236711"/>
      <w:bookmarkEnd w:id="8"/>
      <w:r w:rsidRPr="001E17F8">
        <w:t>Elements and Performance Criteria</w:t>
      </w:r>
    </w:p>
    <w:tbl>
      <w:tblPr>
        <w:tblW w:w="0" w:type="auto"/>
        <w:tblLayout w:type="fixed"/>
        <w:tblCellMar>
          <w:left w:w="62" w:type="dxa"/>
          <w:right w:w="62" w:type="dxa"/>
        </w:tblCellMar>
        <w:tblLook w:val="0000"/>
      </w:tblPr>
      <w:tblGrid>
        <w:gridCol w:w="2572"/>
        <w:gridCol w:w="5950"/>
      </w:tblGrid>
      <w:tr w:rsidTr="00357EC3">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PERFORMANCE CRITERIA</w:t>
            </w:r>
          </w:p>
        </w:tc>
      </w:tr>
      <w:tr w:rsidTr="00357EC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List"/>
              <w:rPr>
                <w:lang w:val="en-NZ"/>
              </w:rPr>
            </w:pPr>
            <w:r w:rsidRPr="001E17F8">
              <w:t>1.</w:t>
            </w:r>
            <w:r w:rsidRPr="001E17F8">
              <w:tab/>
              <w:t>Identify weld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List2"/>
            </w:pPr>
            <w:r w:rsidRPr="001E17F8">
              <w:t>1.1.</w:t>
            </w:r>
            <w:r w:rsidRPr="001E17F8">
              <w:tab/>
              <w:t>Weld requirements are identified from job instructions.</w:t>
            </w:r>
          </w:p>
          <w:p w:rsidR="00000000" w:rsidP="001E17F8">
            <w:pPr>
              <w:pStyle w:val="List2"/>
              <w:rPr>
                <w:lang w:val="en-NZ"/>
              </w:rPr>
            </w:pPr>
            <w:r w:rsidRPr="001E17F8">
              <w:t>1.2.</w:t>
            </w:r>
            <w:r w:rsidRPr="001E17F8">
              <w:tab/>
            </w:r>
            <w:r w:rsidRPr="001E17F8">
              <w:t>Location of welds is identified in accordance with standard operating procedures and job specifications.</w:t>
            </w:r>
          </w:p>
        </w:tc>
      </w:tr>
      <w:tr w:rsidTr="00357EC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List"/>
              <w:rPr>
                <w:lang w:val="en-NZ"/>
              </w:rPr>
            </w:pPr>
            <w:r w:rsidRPr="001E17F8">
              <w:t>2.</w:t>
            </w:r>
            <w:r w:rsidRPr="001E17F8">
              <w:tab/>
              <w:t>Prepare materials for welding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List2"/>
              <w:rPr>
                <w:lang w:val="en-NZ"/>
              </w:rPr>
            </w:pPr>
            <w:r w:rsidRPr="001E17F8">
              <w:t>2.1.</w:t>
            </w:r>
            <w:r w:rsidRPr="001E17F8">
              <w:tab/>
              <w:t>Materials are cleaned and prepared ready for welding.</w:t>
            </w:r>
          </w:p>
        </w:tc>
      </w:tr>
      <w:tr w:rsidTr="00357EC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List"/>
              <w:rPr>
                <w:lang w:val="en-NZ"/>
              </w:rPr>
            </w:pPr>
            <w:r w:rsidRPr="001E17F8">
              <w:t>3.</w:t>
            </w:r>
            <w:r w:rsidRPr="001E17F8">
              <w:tab/>
              <w:t>Prepare equipment for welding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List2"/>
            </w:pPr>
            <w:r w:rsidRPr="001E17F8">
              <w:t>3.1.</w:t>
            </w:r>
            <w:r w:rsidRPr="001E17F8">
              <w:tab/>
              <w:t>Welding equipment i</w:t>
            </w:r>
            <w:r w:rsidRPr="001E17F8">
              <w:t>s set up correctly.</w:t>
            </w:r>
          </w:p>
          <w:p w:rsidR="00000000" w:rsidP="001E17F8">
            <w:pPr>
              <w:pStyle w:val="List2"/>
              <w:rPr>
                <w:lang w:val="en-NZ"/>
              </w:rPr>
            </w:pPr>
            <w:r w:rsidRPr="001E17F8">
              <w:t>3.2.</w:t>
            </w:r>
            <w:r w:rsidRPr="001E17F8">
              <w:tab/>
              <w:t>Settings and consumables are selected.</w:t>
            </w:r>
          </w:p>
        </w:tc>
      </w:tr>
      <w:tr w:rsidTr="00357EC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List"/>
              <w:rPr>
                <w:lang w:val="en-NZ"/>
              </w:rPr>
            </w:pPr>
            <w:r w:rsidRPr="001E17F8">
              <w:t>4.</w:t>
            </w:r>
            <w:r w:rsidRPr="001E17F8">
              <w:tab/>
              <w:t xml:space="preserve">Perform routine welding using </w:t>
            </w:r>
            <w:r w:rsidRPr="001E17F8">
              <w:rPr>
                <w:rStyle w:val="Emphasis"/>
              </w:rPr>
              <w:t>oxy acetylene</w:t>
            </w:r>
            <w:r w:rsidRPr="001E17F8">
              <w:t xml:space="preserve"> </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List2"/>
            </w:pPr>
            <w:r w:rsidRPr="001E17F8">
              <w:t>4.1.</w:t>
            </w:r>
            <w:r w:rsidRPr="001E17F8">
              <w:tab/>
              <w:t>Safe welding practices are applied.</w:t>
            </w:r>
          </w:p>
          <w:p w:rsidR="00000000" w:rsidRPr="001E17F8" w:rsidP="001E17F8">
            <w:pPr>
              <w:pStyle w:val="List2"/>
            </w:pPr>
            <w:r w:rsidRPr="001E17F8">
              <w:t>4.2.</w:t>
            </w:r>
            <w:r w:rsidRPr="001E17F8">
              <w:tab/>
              <w:t>Materials are welded to job requirements.</w:t>
            </w:r>
          </w:p>
          <w:p w:rsidR="00000000" w:rsidRPr="001E17F8" w:rsidP="001E17F8">
            <w:pPr>
              <w:pStyle w:val="List2"/>
            </w:pPr>
            <w:r w:rsidRPr="001E17F8">
              <w:t>4.3.</w:t>
            </w:r>
            <w:r w:rsidRPr="001E17F8">
              <w:tab/>
              <w:t>Welds are cleaned in accordance with standard oper</w:t>
            </w:r>
            <w:r w:rsidRPr="001E17F8">
              <w:t>ating procedures.</w:t>
            </w:r>
          </w:p>
        </w:tc>
      </w:tr>
    </w:tbl>
    <w:p w:rsidR="00357EC3" w:rsidP="001E17F8">
      <w:pPr>
        <w:pStyle w:val="BodyText"/>
      </w:pPr>
    </w:p>
    <w:p w:rsidR="00357EC3" w:rsidP="001E17F8">
      <w:pPr>
        <w:pStyle w:val="BodyText"/>
      </w:pPr>
    </w:p>
    <w:p w:rsidR="00000000" w:rsidRPr="001E17F8" w:rsidP="001E17F8">
      <w:pPr>
        <w:pStyle w:val="Heading1"/>
      </w:pPr>
      <w:bookmarkStart w:id="9" w:name="O_260661"/>
      <w:bookmarkEnd w:id="9"/>
      <w:r w:rsidRPr="001E17F8">
        <w:t>Required Skills and Knowledge</w:t>
      </w:r>
    </w:p>
    <w:tbl>
      <w:tblPr>
        <w:tblW w:w="0" w:type="auto"/>
        <w:tblLayout w:type="fixed"/>
        <w:tblCellMar>
          <w:left w:w="62" w:type="dxa"/>
          <w:right w:w="62" w:type="dxa"/>
        </w:tblCellMar>
        <w:tblLook w:val="0000"/>
      </w:tblPr>
      <w:tblGrid>
        <w:gridCol w:w="8522"/>
      </w:tblGrid>
      <w:tr w:rsidTr="00357E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REQUIRED SKILLS AND KNOWLEDGE</w:t>
            </w:r>
          </w:p>
        </w:tc>
      </w:tr>
      <w:tr w:rsidTr="00357E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This section describes the skills and knowledge required for this unit.</w:t>
            </w:r>
          </w:p>
        </w:tc>
      </w:tr>
      <w:tr w:rsidTr="00357E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Required skills</w:t>
            </w:r>
          </w:p>
        </w:tc>
      </w:tr>
      <w:tr w:rsidTr="00357E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Look for evidence that confirms skills in:</w:t>
            </w:r>
          </w:p>
          <w:p w:rsidR="00000000" w:rsidRPr="001E17F8" w:rsidP="001E17F8">
            <w:pPr>
              <w:pStyle w:val="ListBullet"/>
            </w:pPr>
            <w:r w:rsidRPr="001E17F8">
              <w:t>preparing materials</w:t>
            </w:r>
          </w:p>
          <w:p w:rsidR="00000000" w:rsidRPr="001E17F8" w:rsidP="001E17F8">
            <w:pPr>
              <w:pStyle w:val="ListBullet"/>
            </w:pPr>
            <w:r w:rsidRPr="001E17F8">
              <w:t>setting up welding equipment</w:t>
            </w:r>
          </w:p>
          <w:p w:rsidR="00000000" w:rsidRPr="001E17F8" w:rsidP="001E17F8">
            <w:pPr>
              <w:pStyle w:val="ListBullet"/>
            </w:pPr>
            <w:r w:rsidRPr="001E17F8">
              <w:t>welding with oxy acetylene fuel gas</w:t>
            </w:r>
          </w:p>
          <w:p w:rsidR="00000000" w:rsidRPr="001E17F8" w:rsidP="001E17F8">
            <w:pPr>
              <w:pStyle w:val="ListBullet"/>
            </w:pPr>
            <w:r w:rsidRPr="001E17F8">
              <w:t>reading and interpreting routine information on written job instructions, specifications and standard operating procedures</w:t>
            </w:r>
          </w:p>
          <w:p w:rsidR="00000000" w:rsidRPr="001E17F8" w:rsidP="001E17F8">
            <w:pPr>
              <w:pStyle w:val="ListBullet"/>
            </w:pPr>
            <w:r w:rsidRPr="001E17F8">
              <w:t>following oral instructions</w:t>
            </w:r>
          </w:p>
          <w:p w:rsidR="00000000" w:rsidP="001E17F8">
            <w:pPr>
              <w:pStyle w:val="ListBullet"/>
              <w:rPr>
                <w:lang w:val="en-NZ"/>
              </w:rPr>
            </w:pPr>
            <w:r w:rsidRPr="001E17F8">
              <w:t>using measurement sk</w:t>
            </w:r>
            <w:r w:rsidRPr="001E17F8">
              <w:t>ills for joint preparation and routine oxy acetylene welding</w:t>
            </w:r>
          </w:p>
        </w:tc>
      </w:tr>
      <w:tr w:rsidTr="00357E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Required knowledge</w:t>
            </w:r>
          </w:p>
        </w:tc>
      </w:tr>
      <w:tr w:rsidTr="00357E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 xml:space="preserve">Look for evidence that confirms knowledge of: </w:t>
            </w:r>
          </w:p>
          <w:p w:rsidR="00000000" w:rsidRPr="001E17F8" w:rsidP="001E17F8">
            <w:pPr>
              <w:pStyle w:val="ListBullet"/>
            </w:pPr>
            <w:r w:rsidRPr="001E17F8">
              <w:t>preparatory requirements</w:t>
            </w:r>
          </w:p>
          <w:p w:rsidR="00000000" w:rsidRPr="001E17F8" w:rsidP="001E17F8">
            <w:pPr>
              <w:pStyle w:val="ListBullet"/>
            </w:pPr>
            <w:r w:rsidRPr="001E17F8">
              <w:t>materials and consumables properties and characteristics</w:t>
            </w:r>
          </w:p>
          <w:p w:rsidR="00000000" w:rsidRPr="001E17F8" w:rsidP="001E17F8">
            <w:pPr>
              <w:pStyle w:val="ListBullet"/>
            </w:pPr>
            <w:r w:rsidRPr="001E17F8">
              <w:t>equipment and equipment settings</w:t>
            </w:r>
          </w:p>
          <w:p w:rsidR="00000000" w:rsidRPr="001E17F8" w:rsidP="001E17F8">
            <w:pPr>
              <w:pStyle w:val="ListBullet"/>
            </w:pPr>
            <w:r w:rsidRPr="001E17F8">
              <w:t>fuel gas properties and applications</w:t>
            </w:r>
          </w:p>
          <w:p w:rsidR="00000000" w:rsidRPr="001E17F8" w:rsidP="001E17F8">
            <w:pPr>
              <w:pStyle w:val="ListBullet"/>
            </w:pPr>
            <w:r w:rsidRPr="001E17F8">
              <w:t>post welding treatments</w:t>
            </w:r>
          </w:p>
          <w:p w:rsidR="00000000" w:rsidRPr="001E17F8" w:rsidP="001E17F8">
            <w:pPr>
              <w:pStyle w:val="ListBullet"/>
            </w:pPr>
            <w:r w:rsidRPr="001E17F8">
              <w:t>weld characteristics</w:t>
            </w:r>
          </w:p>
          <w:p w:rsidR="00000000" w:rsidRPr="001E17F8" w:rsidP="001E17F8">
            <w:pPr>
              <w:pStyle w:val="ListBullet"/>
            </w:pPr>
            <w:r w:rsidRPr="001E17F8">
              <w:t>any applicable industry standards, NOHSC guides, State/Territory regulatory codes of practice/standards</w:t>
            </w:r>
          </w:p>
          <w:p w:rsidR="00000000" w:rsidRPr="001E17F8" w:rsidP="001E17F8">
            <w:pPr>
              <w:pStyle w:val="ListBullet"/>
            </w:pPr>
            <w:r w:rsidRPr="001E17F8">
              <w:t>safe work practices and procedures</w:t>
            </w:r>
          </w:p>
          <w:p w:rsidR="00000000" w:rsidRPr="001E17F8" w:rsidP="001E17F8">
            <w:pPr>
              <w:pStyle w:val="ListBullet"/>
            </w:pPr>
            <w:r w:rsidRPr="001E17F8">
              <w:t>safe welding practices</w:t>
            </w:r>
          </w:p>
          <w:p w:rsidR="00000000" w:rsidRPr="001E17F8" w:rsidP="001E17F8">
            <w:pPr>
              <w:pStyle w:val="ListBullet"/>
            </w:pPr>
            <w:r w:rsidRPr="001E17F8">
              <w:t>use and appl</w:t>
            </w:r>
            <w:r w:rsidRPr="001E17F8">
              <w:t>ication of personal protective equipment for routine oxy acetylene welding</w:t>
            </w:r>
          </w:p>
        </w:tc>
      </w:tr>
    </w:tbl>
    <w:p w:rsidR="00357EC3" w:rsidP="001E17F8">
      <w:pPr>
        <w:pStyle w:val="BodyText"/>
      </w:pPr>
    </w:p>
    <w:p w:rsidR="00357EC3" w:rsidP="001E17F8">
      <w:pPr>
        <w:pStyle w:val="BodyText"/>
      </w:pPr>
    </w:p>
    <w:p w:rsidR="00000000" w:rsidRPr="001E17F8" w:rsidP="001E17F8">
      <w:pPr>
        <w:pStyle w:val="AllowPageBreak"/>
      </w:pPr>
    </w:p>
    <w:p w:rsidR="00000000" w:rsidRPr="001E17F8" w:rsidP="001E17F8">
      <w:pPr>
        <w:pStyle w:val="Heading1"/>
      </w:pPr>
      <w:bookmarkStart w:id="10" w:name="O_244695"/>
      <w:bookmarkEnd w:id="10"/>
      <w:r w:rsidRPr="001E17F8">
        <w:t>Evidence Guide</w:t>
      </w:r>
    </w:p>
    <w:tbl>
      <w:tblPr>
        <w:tblW w:w="9570" w:type="dxa"/>
        <w:tblLayout w:type="fixed"/>
        <w:tblCellMar>
          <w:left w:w="62" w:type="dxa"/>
          <w:right w:w="62" w:type="dxa"/>
        </w:tblCellMar>
        <w:tblLook w:val="0000"/>
      </w:tblPr>
      <w:tblGrid>
        <w:gridCol w:w="3908"/>
        <w:gridCol w:w="5662"/>
      </w:tblGrid>
      <w:tr w:rsidTr="00357E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EVIDENCE GUIDE</w:t>
            </w:r>
          </w:p>
        </w:tc>
      </w:tr>
      <w:tr w:rsidTr="00357E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The evidence guide provides advice</w:t>
            </w:r>
            <w:r w:rsidRPr="001E17F8">
              <w:t xml:space="preserve"> on assessment and must be read in conjunction with the performance criteria, required skills and knowledge, range statement and the Assessment Guidelines for the Training Package.</w:t>
            </w:r>
          </w:p>
        </w:tc>
      </w:tr>
      <w:tr w:rsidTr="00357E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 xml:space="preserve">A person who demonstrates competency in this unit </w:t>
            </w:r>
            <w:r w:rsidRPr="001E17F8">
              <w:t xml:space="preserve">must be able to prepare materials and carry out routine oxy acetylene welding. </w:t>
            </w:r>
          </w:p>
        </w:tc>
      </w:tr>
      <w:tr w:rsidTr="00357E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Assessors must be satisfied that the candidate can competently and consistently pe</w:t>
            </w:r>
            <w:r w:rsidRPr="001E17F8">
              <w:t>rform all elements of the unit as specified by the criteria, including required knowledge, and be capable of applying the competency in new and different situations and contexts.</w:t>
            </w:r>
          </w:p>
        </w:tc>
      </w:tr>
      <w:tr w:rsidTr="00357E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This unit may be assessed on the job, off the job or a combination of both on and off the job. Where assessment occurs off the job, that is the candidate is not in productive work, then an appropriate simulation must be used where the range of conditions r</w:t>
            </w:r>
            <w:r w:rsidRPr="001E17F8">
              <w:t>eflects realistic workplace situations. The competencies covered by this unit would be demonstrated by an individual working alone or as part of a team. The assessment environment should not disadvantage the candidate.</w:t>
            </w:r>
          </w:p>
          <w:p w:rsidR="00000000" w:rsidP="001E17F8">
            <w:pPr>
              <w:pStyle w:val="BodyText"/>
              <w:rPr>
                <w:lang w:val="en-NZ"/>
              </w:rPr>
            </w:pPr>
            <w:r w:rsidRPr="001E17F8">
              <w:t>This unit could be assessed in conjun</w:t>
            </w:r>
            <w:r w:rsidRPr="001E17F8">
              <w:t>ction with any other units addressing the safety, quality, communication, materials handling, recording and reporting associated with performing routine oxy acetylene welding or other units requiring the exercise of the skills and knowledge covered by this</w:t>
            </w:r>
            <w:r w:rsidRPr="001E17F8">
              <w:t xml:space="preserve"> unit.</w:t>
            </w:r>
          </w:p>
        </w:tc>
      </w:tr>
      <w:tr w:rsidTr="00357E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Assessors should gather a range of evidence that is valid, sufficient, current and authentic. Evidence can be gathered through a variety of ways including direct observation, supervisor's reports, project work, samples and ques</w:t>
            </w:r>
            <w:r w:rsidRPr="001E17F8">
              <w:t xml:space="preserve">tioning. Questioning techniques should not require language, literacy and numeracy skills beyond those required in this unit of competency. The candidate must have access to all tools, equipment, materials and documentation required. The candidate must be </w:t>
            </w:r>
            <w:r w:rsidRPr="001E17F8">
              <w:t>permitted to refer to any relevant workplace procedures, product and manufacturing specifications, codes, standards, manuals and reference materials.</w:t>
            </w:r>
          </w:p>
        </w:tc>
      </w:tr>
      <w:tr w:rsidTr="00357E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p>
        </w:tc>
      </w:tr>
    </w:tbl>
    <w:p w:rsidR="00357EC3" w:rsidP="001E17F8">
      <w:pPr>
        <w:pStyle w:val="BodyText"/>
      </w:pPr>
    </w:p>
    <w:p w:rsidR="00357EC3" w:rsidP="001E17F8">
      <w:pPr>
        <w:pStyle w:val="BodyText"/>
      </w:pPr>
    </w:p>
    <w:p w:rsidR="00000000" w:rsidRPr="001E17F8" w:rsidP="001E17F8">
      <w:pPr>
        <w:pStyle w:val="Heading1"/>
      </w:pPr>
      <w:bookmarkStart w:id="11" w:name="O_252678"/>
      <w:bookmarkEnd w:id="11"/>
      <w:r w:rsidRPr="001E17F8">
        <w:t>Range Statement</w:t>
      </w:r>
    </w:p>
    <w:tbl>
      <w:tblPr>
        <w:tblW w:w="0" w:type="auto"/>
        <w:tblLayout w:type="fixed"/>
        <w:tblCellMar>
          <w:left w:w="62" w:type="dxa"/>
          <w:right w:w="62" w:type="dxa"/>
        </w:tblCellMar>
        <w:tblLook w:val="0000"/>
      </w:tblPr>
      <w:tblGrid>
        <w:gridCol w:w="3549"/>
        <w:gridCol w:w="4973"/>
      </w:tblGrid>
      <w:tr w:rsidTr="00357E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RANGE STATEMENT</w:t>
            </w:r>
          </w:p>
        </w:tc>
      </w:tr>
      <w:tr w:rsidTr="00357E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The range statement relates to the unit of competency as a whole. It allows for different work environments and situations that may affect performance. Bold italicised wording, if used in the performance criteria, is detailed below. Essential operating con</w:t>
            </w:r>
            <w:r w:rsidRPr="001E17F8">
              <w:t>ditions that may be present with training and assessment (depending on the work situation, needs of the candidate, accessibility of the item, and local industry and regional contexts) may also be included.</w:t>
            </w:r>
          </w:p>
        </w:tc>
      </w:tr>
      <w:tr w:rsidTr="00357E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Mild and low carbon steel and cast iro</w:t>
            </w:r>
            <w:r w:rsidRPr="001E17F8">
              <w:t>n</w:t>
            </w:r>
          </w:p>
        </w:tc>
      </w:tr>
      <w:tr w:rsidTr="00357E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Prepared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Preheating, setting up jigs, fixtures, clamps, joint preparation</w:t>
            </w:r>
          </w:p>
        </w:tc>
      </w:tr>
      <w:tr w:rsidTr="00357E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Hoses, blowpipes, regulators</w:t>
            </w:r>
          </w:p>
        </w:tc>
      </w:tr>
      <w:tr w:rsidTr="00357E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Consumables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Filler rods, fluxes</w:t>
            </w:r>
          </w:p>
        </w:tc>
      </w:tr>
      <w:tr w:rsidTr="00357E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Oxy acetylene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t>The term 'oxy-acetylene' is used here to describe a range of fuel gases, including acetylene, LPG, hydrogen etc.</w:t>
            </w:r>
          </w:p>
        </w:tc>
      </w:tr>
      <w:tr w:rsidTr="00357E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Cleaned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Fluxes</w:t>
            </w:r>
          </w:p>
        </w:tc>
      </w:tr>
    </w:tbl>
    <w:p w:rsidR="00357EC3" w:rsidP="001E17F8">
      <w:pPr>
        <w:pStyle w:val="BodyText"/>
      </w:pPr>
    </w:p>
    <w:p w:rsidR="00357EC3" w:rsidP="001E17F8">
      <w:pPr>
        <w:pStyle w:val="BodyText"/>
      </w:pPr>
    </w:p>
    <w:p w:rsidR="00000000" w:rsidRPr="001E17F8" w:rsidP="001E17F8">
      <w:pPr>
        <w:pStyle w:val="Heading1"/>
      </w:pPr>
      <w:bookmarkStart w:id="12" w:name="O_210430"/>
      <w:bookmarkEnd w:id="12"/>
      <w:r w:rsidRPr="001E17F8">
        <w:t>Unit Sector(s)</w:t>
      </w:r>
    </w:p>
    <w:tbl>
      <w:tblPr>
        <w:tblW w:w="0" w:type="auto"/>
        <w:tblLayout w:type="fixed"/>
        <w:tblCellMar>
          <w:left w:w="62" w:type="dxa"/>
          <w:right w:w="62" w:type="dxa"/>
        </w:tblCellMar>
        <w:tblLook w:val="0000"/>
      </w:tblPr>
      <w:tblGrid>
        <w:gridCol w:w="2654"/>
        <w:gridCol w:w="5868"/>
      </w:tblGrid>
      <w:tr w:rsidTr="00357EC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p>
        </w:tc>
      </w:tr>
    </w:tbl>
    <w:p w:rsidR="00357EC3" w:rsidP="001E17F8">
      <w:pPr>
        <w:pStyle w:val="BodyText"/>
      </w:pPr>
    </w:p>
    <w:p w:rsidR="00357EC3" w:rsidP="001E17F8">
      <w:pPr>
        <w:pStyle w:val="BodyText"/>
      </w:pPr>
    </w:p>
    <w:p w:rsidR="00000000" w:rsidRPr="001E17F8" w:rsidP="001E17F8">
      <w:pPr>
        <w:pStyle w:val="Heading1"/>
      </w:pPr>
      <w:bookmarkStart w:id="13" w:name="O_210427"/>
      <w:bookmarkEnd w:id="13"/>
      <w:r w:rsidRPr="001E17F8">
        <w:t>Co-requisite units</w:t>
      </w:r>
    </w:p>
    <w:tbl>
      <w:tblPr>
        <w:tblW w:w="0" w:type="auto"/>
        <w:tblLayout w:type="fixed"/>
        <w:tblCellMar>
          <w:left w:w="62" w:type="dxa"/>
          <w:right w:w="62" w:type="dxa"/>
        </w:tblCellMar>
        <w:tblLook w:val="0000"/>
      </w:tblPr>
      <w:tblGrid>
        <w:gridCol w:w="2641"/>
        <w:gridCol w:w="1322"/>
        <w:gridCol w:w="4559"/>
      </w:tblGrid>
      <w:tr w:rsidTr="00357E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p>
        </w:tc>
      </w:tr>
      <w:tr w:rsidTr="00357E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p>
        </w:tc>
      </w:tr>
      <w:tr w:rsidTr="00357E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p>
        </w:tc>
      </w:tr>
    </w:tbl>
    <w:p w:rsidR="00357EC3" w:rsidP="001E17F8">
      <w:pPr>
        <w:pStyle w:val="BodyText"/>
      </w:pPr>
    </w:p>
    <w:p w:rsidR="00357EC3" w:rsidP="001E17F8">
      <w:pPr>
        <w:pStyle w:val="BodyText"/>
      </w:pPr>
    </w:p>
    <w:p w:rsidR="00000000" w:rsidRPr="001E17F8" w:rsidP="001E17F8">
      <w:pPr>
        <w:pStyle w:val="Heading1"/>
      </w:pPr>
      <w:bookmarkStart w:id="14" w:name="O_210429"/>
      <w:bookmarkEnd w:id="14"/>
      <w:r w:rsidRPr="001E17F8">
        <w:t>Competency field</w:t>
      </w:r>
    </w:p>
    <w:tbl>
      <w:tblPr>
        <w:tblW w:w="0" w:type="auto"/>
        <w:tblLayout w:type="fixed"/>
        <w:tblCellMar>
          <w:left w:w="62" w:type="dxa"/>
          <w:right w:w="62" w:type="dxa"/>
        </w:tblCellMar>
        <w:tblLook w:val="0000"/>
      </w:tblPr>
      <w:tblGrid>
        <w:gridCol w:w="2776"/>
        <w:gridCol w:w="5746"/>
      </w:tblGrid>
      <w:tr w:rsidTr="00357EC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F8">
            <w:pPr>
              <w:pStyle w:val="BodyText"/>
              <w:rPr>
                <w:lang w:val="en-NZ"/>
              </w:rPr>
            </w:pPr>
            <w:r w:rsidRPr="001E17F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F8" w:rsidP="001E17F8">
            <w:pPr>
              <w:pStyle w:val="BodyText"/>
            </w:pPr>
            <w:r w:rsidRPr="001E17F8">
              <w:t>Fabrication</w:t>
            </w:r>
          </w:p>
        </w:tc>
      </w:tr>
    </w:tbl>
    <w:p w:rsidR="00357EC3" w:rsidP="001E17F8">
      <w:pPr>
        <w:pStyle w:val="BodyText"/>
      </w:pPr>
    </w:p>
    <w:p w:rsidR="00357EC3" w:rsidP="001E17F8">
      <w:pPr>
        <w:pStyle w:val="BodyText"/>
      </w:pPr>
    </w:p>
    <w:p w:rsidR="00000000" w:rsidRPr="001E17F8" w:rsidP="001E17F8"/>
    <w:sectPr w:rsidSect="001E17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F8" w:rsidRPr="00357EC3" w:rsidP="00357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C3" w:rsidP="001E17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7EC3" w:rsidP="001E17F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7EC3" w:rsidP="001E17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F8" w:rsidRPr="00357EC3" w:rsidP="00357E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EC3" w:rsidRPr="002D2AF8" w:rsidP="001E17F8">
    <w:pPr>
      <w:pStyle w:val="Header"/>
      <w:framePr w:wrap="around"/>
    </w:pPr>
    <w:r>
      <w:fldChar w:fldCharType="begin"/>
    </w:r>
    <w:r>
      <w:instrText xml:space="preserve"> TITLE   \* MERGEFORMAT </w:instrText>
    </w:r>
    <w:r>
      <w:fldChar w:fldCharType="separate"/>
    </w:r>
    <w:r>
      <w:t>MEM05004C Perform routine oxy acetylene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357EC3" w:rsidP="001E17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8A9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509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7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7F8"/>
    <w:pPr>
      <w:spacing w:before="360" w:after="60"/>
      <w:outlineLvl w:val="0"/>
    </w:pPr>
    <w:rPr>
      <w:sz w:val="32"/>
    </w:rPr>
  </w:style>
  <w:style w:type="paragraph" w:styleId="Heading2">
    <w:name w:val="heading 2"/>
    <w:basedOn w:val="HeadingBase"/>
    <w:next w:val="BodyText"/>
    <w:link w:val="Heading2Char"/>
    <w:qFormat/>
    <w:rsid w:val="001E17F8"/>
    <w:pPr>
      <w:keepLines/>
      <w:spacing w:before="240" w:after="120"/>
      <w:outlineLvl w:val="1"/>
    </w:pPr>
    <w:rPr>
      <w:sz w:val="28"/>
      <w:szCs w:val="40"/>
    </w:rPr>
  </w:style>
  <w:style w:type="paragraph" w:styleId="Heading3">
    <w:name w:val="heading 3"/>
    <w:basedOn w:val="HeadingBase"/>
    <w:next w:val="BodyText"/>
    <w:link w:val="Heading3Char"/>
    <w:qFormat/>
    <w:rsid w:val="001E17F8"/>
    <w:pPr>
      <w:spacing w:before="180" w:after="120"/>
      <w:outlineLvl w:val="2"/>
    </w:pPr>
    <w:rPr>
      <w:spacing w:val="-10"/>
      <w:kern w:val="32"/>
    </w:rPr>
  </w:style>
  <w:style w:type="paragraph" w:styleId="Heading4">
    <w:name w:val="heading 4"/>
    <w:basedOn w:val="HeadingBase"/>
    <w:next w:val="BodyText"/>
    <w:link w:val="Heading4Char"/>
    <w:qFormat/>
    <w:rsid w:val="001E17F8"/>
    <w:pPr>
      <w:spacing w:before="160" w:after="120"/>
      <w:outlineLvl w:val="3"/>
    </w:pPr>
    <w:rPr>
      <w:sz w:val="22"/>
    </w:rPr>
  </w:style>
  <w:style w:type="paragraph" w:styleId="Heading5">
    <w:name w:val="heading 5"/>
    <w:basedOn w:val="HeadingBase"/>
    <w:next w:val="Normal"/>
    <w:link w:val="Heading5Char"/>
    <w:qFormat/>
    <w:rsid w:val="001E17F8"/>
    <w:pPr>
      <w:spacing w:before="80"/>
      <w:outlineLvl w:val="4"/>
    </w:pPr>
    <w:rPr>
      <w:color w:val="918585"/>
      <w:sz w:val="20"/>
    </w:rPr>
  </w:style>
  <w:style w:type="paragraph" w:styleId="Heading6">
    <w:name w:val="heading 6"/>
    <w:basedOn w:val="HeadingBase"/>
    <w:next w:val="Normal"/>
    <w:link w:val="Heading6Char"/>
    <w:qFormat/>
    <w:rsid w:val="001E17F8"/>
    <w:pPr>
      <w:spacing w:before="60"/>
      <w:outlineLvl w:val="5"/>
    </w:pPr>
    <w:rPr>
      <w:color w:val="918585"/>
      <w:sz w:val="20"/>
    </w:rPr>
  </w:style>
  <w:style w:type="paragraph" w:styleId="Heading7">
    <w:name w:val="heading 7"/>
    <w:basedOn w:val="Normal"/>
    <w:next w:val="Normal"/>
    <w:link w:val="Heading7Char"/>
    <w:qFormat/>
    <w:rsid w:val="001E17F8"/>
    <w:pPr>
      <w:ind w:left="720"/>
      <w:outlineLvl w:val="6"/>
    </w:pPr>
    <w:rPr>
      <w:i/>
    </w:rPr>
  </w:style>
  <w:style w:type="paragraph" w:styleId="Heading8">
    <w:name w:val="heading 8"/>
    <w:basedOn w:val="Normal"/>
    <w:next w:val="Normal"/>
    <w:link w:val="Heading8Char"/>
    <w:qFormat/>
    <w:rsid w:val="001E17F8"/>
    <w:pPr>
      <w:ind w:left="720"/>
      <w:outlineLvl w:val="7"/>
    </w:pPr>
    <w:rPr>
      <w:i/>
    </w:rPr>
  </w:style>
  <w:style w:type="paragraph" w:styleId="Heading9">
    <w:name w:val="heading 9"/>
    <w:basedOn w:val="Normal"/>
    <w:next w:val="Normal"/>
    <w:link w:val="Heading9Char"/>
    <w:qFormat/>
    <w:rsid w:val="001E17F8"/>
    <w:pPr>
      <w:ind w:left="720"/>
      <w:outlineLvl w:val="8"/>
    </w:pPr>
    <w:rPr>
      <w:i/>
    </w:rPr>
  </w:style>
  <w:style w:type="character" w:default="1" w:styleId="DefaultParagraphFont">
    <w:name w:val="Default Paragraph Font"/>
    <w:uiPriority w:val="1"/>
    <w:unhideWhenUsed/>
    <w:rsid w:val="001E17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7F8"/>
  </w:style>
  <w:style w:type="character" w:customStyle="1" w:styleId="Heading1Char">
    <w:name w:val="Heading 1 Char"/>
    <w:basedOn w:val="DefaultParagraphFont"/>
    <w:link w:val="Heading1"/>
    <w:rsid w:val="001E17F8"/>
    <w:rPr>
      <w:rFonts w:ascii="Times New Roman" w:eastAsia="Times New Roman" w:hAnsi="Times New Roman" w:cs="Times New Roman"/>
      <w:b/>
      <w:sz w:val="32"/>
      <w:szCs w:val="20"/>
      <w:lang w:eastAsia="en-US"/>
    </w:rPr>
  </w:style>
  <w:style w:type="paragraph" w:styleId="BodyText">
    <w:name w:val="Body Text"/>
    <w:basedOn w:val="Normal"/>
    <w:link w:val="BodyTextChar"/>
    <w:rsid w:val="001E17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7F8"/>
    <w:rPr>
      <w:rFonts w:ascii="Times New Roman" w:eastAsia="Times New Roman" w:hAnsi="Times New Roman" w:cs="Times New Roman"/>
      <w:sz w:val="24"/>
      <w:lang w:eastAsia="en-US"/>
    </w:rPr>
  </w:style>
  <w:style w:type="paragraph" w:styleId="List">
    <w:name w:val="List"/>
    <w:basedOn w:val="BodyText"/>
    <w:next w:val="BodyText"/>
    <w:rsid w:val="001E17F8"/>
    <w:pPr>
      <w:tabs>
        <w:tab w:val="left" w:pos="340"/>
      </w:tabs>
      <w:spacing w:before="60" w:after="60"/>
      <w:ind w:left="340" w:hanging="340"/>
    </w:pPr>
  </w:style>
  <w:style w:type="paragraph" w:styleId="ListBullet">
    <w:name w:val="List Bullet"/>
    <w:basedOn w:val="List"/>
    <w:rsid w:val="001E17F8"/>
    <w:pPr>
      <w:numPr>
        <w:numId w:val="12"/>
      </w:numPr>
      <w:tabs>
        <w:tab w:val="clear" w:pos="340"/>
      </w:tabs>
      <w:spacing w:before="40" w:after="40"/>
    </w:pPr>
  </w:style>
  <w:style w:type="character" w:customStyle="1" w:styleId="SpecialBold">
    <w:name w:val="Special Bold"/>
    <w:basedOn w:val="DefaultParagraphFont"/>
    <w:rsid w:val="001E17F8"/>
    <w:rPr>
      <w:b/>
      <w:spacing w:val="0"/>
    </w:rPr>
  </w:style>
  <w:style w:type="character" w:styleId="Emphasis">
    <w:name w:val="Emphasis"/>
    <w:basedOn w:val="DefaultParagraphFont"/>
    <w:qFormat/>
    <w:rsid w:val="001E17F8"/>
    <w:rPr>
      <w:i/>
    </w:rPr>
  </w:style>
  <w:style w:type="paragraph" w:customStyle="1" w:styleId="SuperHeading">
    <w:name w:val="SuperHeading"/>
    <w:basedOn w:val="Normal"/>
    <w:rsid w:val="001E17F8"/>
    <w:pPr>
      <w:spacing w:before="240" w:after="120"/>
      <w:outlineLvl w:val="0"/>
    </w:pPr>
    <w:rPr>
      <w:rFonts w:ascii="Times New Roman" w:hAnsi="Times New Roman"/>
      <w:b/>
      <w:sz w:val="32"/>
    </w:rPr>
  </w:style>
  <w:style w:type="paragraph" w:customStyle="1" w:styleId="AllowPageBreak">
    <w:name w:val="AllowPageBreak"/>
    <w:rsid w:val="001E17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7F8"/>
    <w:pPr>
      <w:tabs>
        <w:tab w:val="left" w:pos="680"/>
      </w:tabs>
      <w:spacing w:before="60" w:after="60"/>
      <w:ind w:left="680" w:hanging="340"/>
    </w:pPr>
  </w:style>
  <w:style w:type="character" w:customStyle="1" w:styleId="Heading2Char">
    <w:name w:val="Heading 2 Char"/>
    <w:basedOn w:val="DefaultParagraphFont"/>
    <w:link w:val="Heading2"/>
    <w:rsid w:val="001E17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7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7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7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7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7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7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7F8"/>
    <w:rPr>
      <w:rFonts w:ascii="Courier New" w:eastAsia="Times New Roman" w:hAnsi="Courier New" w:cs="Times New Roman"/>
      <w:i/>
      <w:szCs w:val="20"/>
      <w:lang w:eastAsia="en-US"/>
    </w:rPr>
  </w:style>
  <w:style w:type="paragraph" w:customStyle="1" w:styleId="HeadingBase">
    <w:name w:val="Heading Base"/>
    <w:rsid w:val="001E17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7F8"/>
    <w:pPr>
      <w:tabs>
        <w:tab w:val="right" w:leader="dot" w:pos="9072"/>
      </w:tabs>
      <w:ind w:left="567"/>
    </w:pPr>
    <w:rPr>
      <w:szCs w:val="22"/>
    </w:rPr>
  </w:style>
  <w:style w:type="paragraph" w:customStyle="1" w:styleId="TOCBase">
    <w:name w:val="TOC Base"/>
    <w:rsid w:val="001E17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7F8"/>
    <w:pPr>
      <w:tabs>
        <w:tab w:val="right" w:leader="dot" w:pos="9072"/>
      </w:tabs>
      <w:spacing w:before="40" w:after="40"/>
      <w:ind w:left="284"/>
    </w:pPr>
    <w:rPr>
      <w:rFonts w:ascii="Times New Roman" w:hAnsi="Times New Roman"/>
    </w:rPr>
  </w:style>
  <w:style w:type="paragraph" w:styleId="TOC1">
    <w:name w:val="toc 1"/>
    <w:basedOn w:val="TOCBase"/>
    <w:next w:val="Normal"/>
    <w:rsid w:val="001E17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7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7F8"/>
    <w:rPr>
      <w:rFonts w:ascii="Times New Roman" w:eastAsia="Times New Roman" w:hAnsi="Times New Roman" w:cs="Times New Roman"/>
      <w:sz w:val="16"/>
      <w:lang w:eastAsia="en-US"/>
    </w:rPr>
  </w:style>
  <w:style w:type="paragraph" w:styleId="Title">
    <w:name w:val="Title"/>
    <w:basedOn w:val="HeadingBase"/>
    <w:link w:val="TitleChar"/>
    <w:qFormat/>
    <w:rsid w:val="001E17F8"/>
    <w:pPr>
      <w:spacing w:before="5040"/>
      <w:jc w:val="center"/>
    </w:pPr>
    <w:rPr>
      <w:sz w:val="48"/>
      <w:szCs w:val="72"/>
      <w:lang w:val="en-US"/>
    </w:rPr>
  </w:style>
  <w:style w:type="character" w:customStyle="1" w:styleId="TitleChar">
    <w:name w:val="Title Char"/>
    <w:basedOn w:val="DefaultParagraphFont"/>
    <w:link w:val="Title"/>
    <w:rsid w:val="001E17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7F8"/>
    <w:pPr>
      <w:tabs>
        <w:tab w:val="left" w:pos="3600"/>
        <w:tab w:val="left" w:pos="3958"/>
      </w:tabs>
    </w:pPr>
  </w:style>
  <w:style w:type="paragraph" w:customStyle="1" w:styleId="Note">
    <w:name w:val="Note"/>
    <w:basedOn w:val="BodyText"/>
    <w:rsid w:val="001E17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7F8"/>
    <w:pPr>
      <w:framePr w:wrap="auto" w:hAnchor="text" w:y="6049"/>
    </w:pPr>
    <w:rPr>
      <w:color w:val="000000"/>
      <w:sz w:val="40"/>
    </w:rPr>
  </w:style>
  <w:style w:type="paragraph" w:customStyle="1" w:styleId="TOCTitle">
    <w:name w:val="TOCTitle"/>
    <w:basedOn w:val="Heading1"/>
    <w:rsid w:val="001E17F8"/>
    <w:pPr>
      <w:spacing w:after="240"/>
      <w:jc w:val="center"/>
      <w:outlineLvl w:val="9"/>
    </w:pPr>
    <w:rPr>
      <w:caps/>
    </w:rPr>
  </w:style>
  <w:style w:type="paragraph" w:customStyle="1" w:styleId="Version">
    <w:name w:val="Version"/>
    <w:rsid w:val="001E17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7F8"/>
    <w:pPr>
      <w:numPr>
        <w:numId w:val="13"/>
      </w:numPr>
      <w:tabs>
        <w:tab w:val="clear" w:pos="680"/>
      </w:tabs>
    </w:pPr>
  </w:style>
  <w:style w:type="paragraph" w:styleId="Index1">
    <w:name w:val="index 1"/>
    <w:basedOn w:val="Normal"/>
    <w:next w:val="Normal"/>
    <w:semiHidden/>
    <w:rsid w:val="001E17F8"/>
    <w:pPr>
      <w:keepNext w:val="0"/>
      <w:tabs>
        <w:tab w:val="right" w:pos="4176"/>
      </w:tabs>
      <w:ind w:left="198" w:hanging="198"/>
    </w:pPr>
    <w:rPr>
      <w:rFonts w:ascii="Garamond" w:hAnsi="Garamond"/>
    </w:rPr>
  </w:style>
  <w:style w:type="paragraph" w:styleId="IndexHeading">
    <w:name w:val="index heading"/>
    <w:basedOn w:val="Normal"/>
    <w:next w:val="Index1"/>
    <w:semiHidden/>
    <w:rsid w:val="001E17F8"/>
    <w:pPr>
      <w:spacing w:before="120" w:after="120"/>
    </w:pPr>
    <w:rPr>
      <w:rFonts w:ascii="Arial" w:hAnsi="Arial"/>
      <w:b/>
      <w:color w:val="918585"/>
      <w:sz w:val="24"/>
    </w:rPr>
  </w:style>
  <w:style w:type="paragraph" w:styleId="Header">
    <w:name w:val="header"/>
    <w:basedOn w:val="Normal"/>
    <w:link w:val="HeaderChar"/>
    <w:rsid w:val="001E17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7F8"/>
    <w:rPr>
      <w:rFonts w:ascii="Times New Roman" w:eastAsia="Times New Roman" w:hAnsi="Times New Roman" w:cs="Times New Roman"/>
      <w:sz w:val="16"/>
      <w:szCs w:val="20"/>
      <w:lang w:val="en-GB" w:eastAsia="en-US"/>
    </w:rPr>
  </w:style>
  <w:style w:type="paragraph" w:customStyle="1" w:styleId="Chapter">
    <w:name w:val="Chapter"/>
    <w:basedOn w:val="Normal"/>
    <w:rsid w:val="001E17F8"/>
    <w:pPr>
      <w:spacing w:before="240"/>
    </w:pPr>
    <w:rPr>
      <w:rFonts w:ascii="Times New Roman" w:hAnsi="Times New Roman"/>
      <w:smallCaps/>
      <w:spacing w:val="80"/>
      <w:sz w:val="28"/>
    </w:rPr>
  </w:style>
  <w:style w:type="paragraph" w:customStyle="1" w:styleId="InChapter">
    <w:name w:val="InChapter"/>
    <w:basedOn w:val="Heading3"/>
    <w:rsid w:val="001E17F8"/>
    <w:pPr>
      <w:spacing w:after="240"/>
      <w:outlineLvl w:val="9"/>
    </w:pPr>
    <w:rPr>
      <w:noProof/>
    </w:rPr>
  </w:style>
  <w:style w:type="paragraph" w:styleId="Index2">
    <w:name w:val="index 2"/>
    <w:basedOn w:val="Normal"/>
    <w:next w:val="Normal"/>
    <w:semiHidden/>
    <w:rsid w:val="001E17F8"/>
    <w:pPr>
      <w:tabs>
        <w:tab w:val="right" w:pos="4176"/>
      </w:tabs>
      <w:ind w:left="568" w:hanging="284"/>
    </w:pPr>
    <w:rPr>
      <w:rFonts w:ascii="Garamond" w:hAnsi="Garamond"/>
    </w:rPr>
  </w:style>
  <w:style w:type="paragraph" w:customStyle="1" w:styleId="Byline">
    <w:name w:val="Byline"/>
    <w:rsid w:val="001E17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7F8"/>
    <w:pPr>
      <w:tabs>
        <w:tab w:val="clear" w:pos="3600"/>
        <w:tab w:val="clear" w:pos="3958"/>
      </w:tabs>
      <w:jc w:val="right"/>
    </w:pPr>
  </w:style>
  <w:style w:type="paragraph" w:styleId="Caption">
    <w:name w:val="caption"/>
    <w:basedOn w:val="BodyText"/>
    <w:next w:val="Normal"/>
    <w:qFormat/>
    <w:rsid w:val="001E17F8"/>
    <w:pPr>
      <w:framePr w:w="2268" w:hSpace="181" w:vSpace="181" w:wrap="around" w:vAnchor="text" w:hAnchor="page" w:x="1135" w:y="285" w:anchorLock="1"/>
    </w:pPr>
    <w:rPr>
      <w:i/>
    </w:rPr>
  </w:style>
  <w:style w:type="paragraph" w:customStyle="1" w:styleId="MiniTOCTitle">
    <w:name w:val="MiniTOCTitle"/>
    <w:basedOn w:val="Heading4"/>
    <w:rsid w:val="001E17F8"/>
    <w:pPr>
      <w:spacing w:before="240"/>
      <w:outlineLvl w:val="9"/>
    </w:pPr>
    <w:rPr>
      <w:noProof/>
      <w:sz w:val="24"/>
    </w:rPr>
  </w:style>
  <w:style w:type="paragraph" w:customStyle="1" w:styleId="MiniTOCItem">
    <w:name w:val="MiniTOCItem"/>
    <w:basedOn w:val="ListBullet"/>
    <w:rsid w:val="001E17F8"/>
    <w:pPr>
      <w:numPr>
        <w:numId w:val="0"/>
      </w:numPr>
      <w:tabs>
        <w:tab w:val="right" w:leader="dot" w:pos="6521"/>
      </w:tabs>
      <w:spacing w:before="0" w:after="0"/>
    </w:pPr>
  </w:style>
  <w:style w:type="paragraph" w:customStyle="1" w:styleId="TOFTitle">
    <w:name w:val="TOFTitle"/>
    <w:basedOn w:val="TOCTitle"/>
    <w:rsid w:val="001E17F8"/>
  </w:style>
  <w:style w:type="paragraph" w:styleId="TableofFigures">
    <w:name w:val="table of figures"/>
    <w:basedOn w:val="Normal"/>
    <w:next w:val="Normal"/>
    <w:semiHidden/>
    <w:rsid w:val="001E17F8"/>
    <w:pPr>
      <w:tabs>
        <w:tab w:val="right" w:leader="dot" w:pos="9072"/>
      </w:tabs>
      <w:ind w:left="970" w:hanging="403"/>
    </w:pPr>
    <w:rPr>
      <w:rFonts w:ascii="Times New Roman" w:hAnsi="Times New Roman"/>
      <w:b/>
    </w:rPr>
  </w:style>
  <w:style w:type="paragraph" w:styleId="ListNumber">
    <w:name w:val="List Number"/>
    <w:basedOn w:val="List"/>
    <w:rsid w:val="001E17F8"/>
    <w:pPr>
      <w:numPr>
        <w:numId w:val="10"/>
      </w:numPr>
    </w:pPr>
  </w:style>
  <w:style w:type="character" w:customStyle="1" w:styleId="WingdingSymbols">
    <w:name w:val="Wingding Symbols"/>
    <w:rsid w:val="001E17F8"/>
    <w:rPr>
      <w:rFonts w:ascii="Wingdings" w:hAnsi="Wingdings"/>
    </w:rPr>
  </w:style>
  <w:style w:type="paragraph" w:customStyle="1" w:styleId="TableHeading">
    <w:name w:val="Table Heading"/>
    <w:basedOn w:val="HeadingBase"/>
    <w:rsid w:val="001E17F8"/>
    <w:pPr>
      <w:keepLines/>
      <w:pBdr>
        <w:bottom w:val="single" w:sz="6" w:space="1" w:color="918585"/>
      </w:pBdr>
      <w:spacing w:before="240"/>
    </w:pPr>
  </w:style>
  <w:style w:type="character" w:customStyle="1" w:styleId="HotSpot">
    <w:name w:val="HotSpot"/>
    <w:rsid w:val="001E17F8"/>
    <w:rPr>
      <w:color w:val="0033CC"/>
      <w:u w:val="none"/>
    </w:rPr>
  </w:style>
  <w:style w:type="paragraph" w:customStyle="1" w:styleId="BodyTextRight">
    <w:name w:val="Body Text Right"/>
    <w:basedOn w:val="BodyText"/>
    <w:rsid w:val="001E17F8"/>
    <w:pPr>
      <w:spacing w:before="0" w:after="0"/>
      <w:jc w:val="right"/>
    </w:pPr>
  </w:style>
  <w:style w:type="paragraph" w:styleId="Index3">
    <w:name w:val="index 3"/>
    <w:basedOn w:val="ListNumber2"/>
    <w:next w:val="Normal"/>
    <w:semiHidden/>
    <w:rsid w:val="001E17F8"/>
    <w:pPr>
      <w:numPr>
        <w:numId w:val="0"/>
      </w:numPr>
      <w:tabs>
        <w:tab w:val="right" w:leader="dot" w:pos="4176"/>
      </w:tabs>
    </w:pPr>
  </w:style>
  <w:style w:type="paragraph" w:styleId="ListNumber2">
    <w:name w:val="List Number 2"/>
    <w:basedOn w:val="List2"/>
    <w:rsid w:val="001E17F8"/>
    <w:pPr>
      <w:numPr>
        <w:numId w:val="9"/>
      </w:numPr>
      <w:tabs>
        <w:tab w:val="clear" w:pos="1060"/>
      </w:tabs>
    </w:pPr>
  </w:style>
  <w:style w:type="paragraph" w:customStyle="1" w:styleId="MarginNote">
    <w:name w:val="Margin Note"/>
    <w:basedOn w:val="BodyText"/>
    <w:rsid w:val="001E17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7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7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7F8"/>
    <w:rPr>
      <w:sz w:val="32"/>
    </w:rPr>
  </w:style>
  <w:style w:type="paragraph" w:customStyle="1" w:styleId="HeadingProcedure">
    <w:name w:val="Heading Procedure"/>
    <w:basedOn w:val="HeadingBase"/>
    <w:next w:val="Normal"/>
    <w:rsid w:val="001E17F8"/>
    <w:pPr>
      <w:tabs>
        <w:tab w:val="left" w:pos="0"/>
      </w:tabs>
      <w:spacing w:before="120" w:after="60"/>
    </w:pPr>
    <w:rPr>
      <w:i/>
      <w:color w:val="918585"/>
      <w:sz w:val="22"/>
    </w:rPr>
  </w:style>
  <w:style w:type="paragraph" w:customStyle="1" w:styleId="TableBodyText">
    <w:name w:val="Table Body Text"/>
    <w:basedOn w:val="BodyText"/>
    <w:rsid w:val="001E17F8"/>
    <w:pPr>
      <w:spacing w:before="60" w:after="60"/>
    </w:pPr>
  </w:style>
  <w:style w:type="paragraph" w:styleId="ListContinue">
    <w:name w:val="List Continue"/>
    <w:basedOn w:val="List"/>
    <w:rsid w:val="001E17F8"/>
    <w:pPr>
      <w:ind w:firstLine="0"/>
    </w:pPr>
  </w:style>
  <w:style w:type="paragraph" w:customStyle="1" w:styleId="ListNote">
    <w:name w:val="List Note"/>
    <w:basedOn w:val="List"/>
    <w:rsid w:val="001E17F8"/>
    <w:pPr>
      <w:pBdr>
        <w:top w:val="single" w:sz="6" w:space="2" w:color="918585"/>
        <w:bottom w:val="single" w:sz="6" w:space="2" w:color="918585"/>
      </w:pBdr>
      <w:tabs>
        <w:tab w:val="left" w:pos="1021"/>
      </w:tabs>
      <w:ind w:firstLine="0"/>
    </w:pPr>
  </w:style>
  <w:style w:type="paragraph" w:customStyle="1" w:styleId="Warning">
    <w:name w:val="Warning"/>
    <w:basedOn w:val="BodyText"/>
    <w:rsid w:val="001E17F8"/>
    <w:pPr>
      <w:shd w:val="clear" w:color="auto" w:fill="D9D9D9"/>
      <w:tabs>
        <w:tab w:val="left" w:pos="992"/>
      </w:tabs>
      <w:ind w:left="119" w:right="119"/>
    </w:pPr>
    <w:rPr>
      <w:sz w:val="20"/>
    </w:rPr>
  </w:style>
  <w:style w:type="paragraph" w:customStyle="1" w:styleId="MarginIcons">
    <w:name w:val="Margin Icons"/>
    <w:basedOn w:val="BodyText"/>
    <w:rsid w:val="001E17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7F8"/>
    <w:rPr>
      <w:rFonts w:ascii="Courier New" w:hAnsi="Courier New"/>
    </w:rPr>
  </w:style>
  <w:style w:type="paragraph" w:customStyle="1" w:styleId="NoteBullet">
    <w:name w:val="Note Bullet"/>
    <w:basedOn w:val="Note"/>
    <w:rsid w:val="001E17F8"/>
    <w:pPr>
      <w:tabs>
        <w:tab w:val="clear" w:pos="680"/>
      </w:tabs>
      <w:spacing w:before="60" w:after="60"/>
    </w:pPr>
  </w:style>
  <w:style w:type="paragraph" w:customStyle="1" w:styleId="SubHeading2">
    <w:name w:val="SubHeading2"/>
    <w:basedOn w:val="HeadingBase"/>
    <w:rsid w:val="001E17F8"/>
    <w:pPr>
      <w:spacing w:before="240" w:after="60"/>
    </w:pPr>
    <w:rPr>
      <w:sz w:val="20"/>
    </w:rPr>
  </w:style>
  <w:style w:type="paragraph" w:customStyle="1" w:styleId="SubHeading1">
    <w:name w:val="SubHeading1"/>
    <w:basedOn w:val="HeadingBase"/>
    <w:rsid w:val="001E17F8"/>
    <w:pPr>
      <w:spacing w:before="240" w:after="60"/>
    </w:pPr>
    <w:rPr>
      <w:color w:val="918585"/>
      <w:sz w:val="22"/>
    </w:rPr>
  </w:style>
  <w:style w:type="paragraph" w:customStyle="1" w:styleId="SideHeading">
    <w:name w:val="Side Heading"/>
    <w:basedOn w:val="HeadingBase"/>
    <w:rsid w:val="001E17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7F8"/>
    <w:pPr>
      <w:tabs>
        <w:tab w:val="num" w:pos="360"/>
      </w:tabs>
    </w:pPr>
  </w:style>
  <w:style w:type="paragraph" w:styleId="PlainText">
    <w:name w:val="Plain Text"/>
    <w:basedOn w:val="Normal"/>
    <w:link w:val="PlainTextChar"/>
    <w:rsid w:val="001E17F8"/>
    <w:rPr>
      <w:sz w:val="20"/>
    </w:rPr>
  </w:style>
  <w:style w:type="character" w:customStyle="1" w:styleId="PlainTextChar">
    <w:name w:val="Plain Text Char"/>
    <w:basedOn w:val="DefaultParagraphFont"/>
    <w:link w:val="PlainText"/>
    <w:rsid w:val="001E17F8"/>
    <w:rPr>
      <w:rFonts w:ascii="Courier New" w:eastAsia="Times New Roman" w:hAnsi="Courier New" w:cs="Times New Roman"/>
      <w:sz w:val="20"/>
      <w:szCs w:val="20"/>
      <w:lang w:eastAsia="en-US"/>
    </w:rPr>
  </w:style>
  <w:style w:type="character" w:customStyle="1" w:styleId="MenuOption">
    <w:name w:val="Menu Option"/>
    <w:basedOn w:val="DefaultParagraphFont"/>
    <w:rsid w:val="001E17F8"/>
    <w:rPr>
      <w:b/>
      <w:smallCaps/>
    </w:rPr>
  </w:style>
  <w:style w:type="paragraph" w:customStyle="1" w:styleId="TableListNumber">
    <w:name w:val="Table List Number"/>
    <w:basedOn w:val="ListNumber"/>
    <w:rsid w:val="001E17F8"/>
    <w:pPr>
      <w:numPr>
        <w:numId w:val="0"/>
      </w:numPr>
    </w:pPr>
  </w:style>
  <w:style w:type="paragraph" w:styleId="TOC4">
    <w:name w:val="toc 4"/>
    <w:basedOn w:val="TOCBase"/>
    <w:next w:val="Normal"/>
    <w:semiHidden/>
    <w:rsid w:val="001E17F8"/>
    <w:pPr>
      <w:tabs>
        <w:tab w:val="right" w:leader="dot" w:pos="9071"/>
      </w:tabs>
      <w:ind w:left="1701"/>
    </w:pPr>
  </w:style>
  <w:style w:type="paragraph" w:customStyle="1" w:styleId="ListAlpha">
    <w:name w:val="List Alpha"/>
    <w:basedOn w:val="List"/>
    <w:rsid w:val="001E17F8"/>
    <w:pPr>
      <w:numPr>
        <w:numId w:val="8"/>
      </w:numPr>
    </w:pPr>
  </w:style>
  <w:style w:type="paragraph" w:customStyle="1" w:styleId="ListAlpha2">
    <w:name w:val="List Alpha 2"/>
    <w:basedOn w:val="List2"/>
    <w:rsid w:val="001E17F8"/>
    <w:pPr>
      <w:numPr>
        <w:numId w:val="7"/>
      </w:numPr>
    </w:pPr>
  </w:style>
  <w:style w:type="paragraph" w:styleId="List3">
    <w:name w:val="List 3"/>
    <w:basedOn w:val="BodyText"/>
    <w:rsid w:val="001E17F8"/>
    <w:pPr>
      <w:tabs>
        <w:tab w:val="left" w:pos="1021"/>
      </w:tabs>
      <w:spacing w:before="60" w:after="60"/>
      <w:ind w:left="1020" w:hanging="340"/>
    </w:pPr>
  </w:style>
  <w:style w:type="paragraph" w:styleId="List4">
    <w:name w:val="List 4"/>
    <w:basedOn w:val="BodyText"/>
    <w:rsid w:val="001E17F8"/>
    <w:pPr>
      <w:tabs>
        <w:tab w:val="left" w:pos="1361"/>
      </w:tabs>
      <w:spacing w:before="60" w:after="60"/>
      <w:ind w:left="1361" w:hanging="340"/>
    </w:pPr>
  </w:style>
  <w:style w:type="paragraph" w:styleId="List5">
    <w:name w:val="List 5"/>
    <w:basedOn w:val="BodyText"/>
    <w:rsid w:val="001E17F8"/>
    <w:pPr>
      <w:tabs>
        <w:tab w:val="left" w:pos="1701"/>
      </w:tabs>
      <w:spacing w:before="60" w:after="60"/>
      <w:ind w:left="1701" w:hanging="340"/>
    </w:pPr>
  </w:style>
  <w:style w:type="paragraph" w:styleId="ListBullet3">
    <w:name w:val="List Bullet 3"/>
    <w:basedOn w:val="List3"/>
    <w:rsid w:val="001E17F8"/>
    <w:pPr>
      <w:numPr>
        <w:numId w:val="14"/>
      </w:numPr>
      <w:tabs>
        <w:tab w:val="clear" w:pos="1021"/>
      </w:tabs>
      <w:ind w:left="1037" w:hanging="357"/>
    </w:pPr>
  </w:style>
  <w:style w:type="paragraph" w:styleId="ListBullet4">
    <w:name w:val="List Bullet 4"/>
    <w:basedOn w:val="List4"/>
    <w:rsid w:val="001E17F8"/>
    <w:pPr>
      <w:numPr>
        <w:numId w:val="2"/>
      </w:numPr>
      <w:tabs>
        <w:tab w:val="clear" w:pos="1361"/>
      </w:tabs>
    </w:pPr>
  </w:style>
  <w:style w:type="paragraph" w:styleId="ListBullet5">
    <w:name w:val="List Bullet 5"/>
    <w:basedOn w:val="List5"/>
    <w:rsid w:val="001E17F8"/>
    <w:pPr>
      <w:numPr>
        <w:numId w:val="3"/>
      </w:numPr>
    </w:pPr>
  </w:style>
  <w:style w:type="paragraph" w:styleId="ListContinue2">
    <w:name w:val="List Continue 2"/>
    <w:basedOn w:val="List2"/>
    <w:rsid w:val="001E17F8"/>
    <w:pPr>
      <w:ind w:firstLine="0"/>
    </w:pPr>
  </w:style>
  <w:style w:type="paragraph" w:styleId="ListContinue3">
    <w:name w:val="List Continue 3"/>
    <w:basedOn w:val="List3"/>
    <w:rsid w:val="001E17F8"/>
    <w:pPr>
      <w:ind w:left="1021" w:firstLine="0"/>
    </w:pPr>
  </w:style>
  <w:style w:type="paragraph" w:styleId="ListContinue4">
    <w:name w:val="List Continue 4"/>
    <w:basedOn w:val="List4"/>
    <w:rsid w:val="001E17F8"/>
    <w:pPr>
      <w:ind w:firstLine="0"/>
    </w:pPr>
  </w:style>
  <w:style w:type="paragraph" w:styleId="ListContinue5">
    <w:name w:val="List Continue 5"/>
    <w:basedOn w:val="List5"/>
    <w:rsid w:val="001E17F8"/>
    <w:pPr>
      <w:ind w:firstLine="0"/>
    </w:pPr>
  </w:style>
  <w:style w:type="paragraph" w:styleId="ListNumber3">
    <w:name w:val="List Number 3"/>
    <w:basedOn w:val="List3"/>
    <w:rsid w:val="001E17F8"/>
    <w:pPr>
      <w:numPr>
        <w:numId w:val="4"/>
      </w:numPr>
    </w:pPr>
  </w:style>
  <w:style w:type="paragraph" w:styleId="ListNumber4">
    <w:name w:val="List Number 4"/>
    <w:basedOn w:val="List4"/>
    <w:rsid w:val="001E17F8"/>
    <w:pPr>
      <w:numPr>
        <w:numId w:val="5"/>
      </w:numPr>
    </w:pPr>
  </w:style>
  <w:style w:type="paragraph" w:styleId="ListNumber5">
    <w:name w:val="List Number 5"/>
    <w:basedOn w:val="List5"/>
    <w:rsid w:val="001E17F8"/>
    <w:pPr>
      <w:numPr>
        <w:numId w:val="6"/>
      </w:numPr>
    </w:pPr>
  </w:style>
  <w:style w:type="paragraph" w:styleId="BlockText">
    <w:name w:val="Block Text"/>
    <w:basedOn w:val="Normal"/>
    <w:rsid w:val="001E17F8"/>
    <w:pPr>
      <w:spacing w:after="120"/>
      <w:ind w:left="1440" w:right="1440"/>
    </w:pPr>
  </w:style>
  <w:style w:type="character" w:customStyle="1" w:styleId="Subscript">
    <w:name w:val="Subscript"/>
    <w:basedOn w:val="DefaultParagraphFont"/>
    <w:rsid w:val="001E17F8"/>
    <w:rPr>
      <w:sz w:val="16"/>
      <w:vertAlign w:val="subscript"/>
    </w:rPr>
  </w:style>
  <w:style w:type="character" w:customStyle="1" w:styleId="Superscript">
    <w:name w:val="Superscript"/>
    <w:basedOn w:val="DefaultParagraphFont"/>
    <w:rsid w:val="001E17F8"/>
    <w:rPr>
      <w:sz w:val="16"/>
      <w:vertAlign w:val="superscript"/>
    </w:rPr>
  </w:style>
  <w:style w:type="character" w:customStyle="1" w:styleId="Symbols">
    <w:name w:val="Symbols"/>
    <w:basedOn w:val="DefaultParagraphFont"/>
    <w:rsid w:val="001E17F8"/>
    <w:rPr>
      <w:rFonts w:ascii="Symbol" w:hAnsi="Symbol"/>
    </w:rPr>
  </w:style>
  <w:style w:type="character" w:customStyle="1" w:styleId="MenuOptions">
    <w:name w:val="Menu Options"/>
    <w:basedOn w:val="DefaultParagraphFont"/>
    <w:rsid w:val="001E17F8"/>
    <w:rPr>
      <w:rFonts w:ascii="Arial Narrow" w:hAnsi="Arial Narrow"/>
      <w:smallCaps/>
    </w:rPr>
  </w:style>
  <w:style w:type="character" w:customStyle="1" w:styleId="Buttons">
    <w:name w:val="Buttons"/>
    <w:basedOn w:val="DefaultParagraphFont"/>
    <w:rsid w:val="001E17F8"/>
    <w:rPr>
      <w:b/>
    </w:rPr>
  </w:style>
  <w:style w:type="character" w:customStyle="1" w:styleId="Underlined">
    <w:name w:val="Underlined"/>
    <w:basedOn w:val="DefaultParagraphFont"/>
    <w:rsid w:val="001E17F8"/>
    <w:rPr>
      <w:u w:val="single"/>
    </w:rPr>
  </w:style>
  <w:style w:type="paragraph" w:customStyle="1" w:styleId="TableBodyTextRight">
    <w:name w:val="Table Body Text Right"/>
    <w:basedOn w:val="TableBodyText"/>
    <w:rsid w:val="001E17F8"/>
    <w:pPr>
      <w:widowControl w:val="0"/>
      <w:autoSpaceDE w:val="0"/>
      <w:autoSpaceDN w:val="0"/>
      <w:adjustRightInd w:val="0"/>
      <w:jc w:val="right"/>
    </w:pPr>
    <w:rPr>
      <w:rFonts w:cs="Arial"/>
      <w:szCs w:val="18"/>
    </w:rPr>
  </w:style>
  <w:style w:type="paragraph" w:customStyle="1" w:styleId="CopyrightText">
    <w:name w:val="Copyright Text"/>
    <w:basedOn w:val="BodyText"/>
    <w:rsid w:val="001E17F8"/>
    <w:rPr>
      <w:sz w:val="18"/>
    </w:rPr>
  </w:style>
  <w:style w:type="paragraph" w:customStyle="1" w:styleId="BodySmallRight">
    <w:name w:val="Body Small Right"/>
    <w:basedOn w:val="BodyTextRight"/>
    <w:rsid w:val="001E17F8"/>
    <w:rPr>
      <w:sz w:val="18"/>
      <w:szCs w:val="18"/>
    </w:rPr>
  </w:style>
  <w:style w:type="paragraph" w:customStyle="1" w:styleId="MarginEdition">
    <w:name w:val="Margin Edition"/>
    <w:basedOn w:val="MarginNote"/>
    <w:rsid w:val="001E17F8"/>
    <w:pPr>
      <w:spacing w:before="0" w:after="0"/>
    </w:pPr>
    <w:rPr>
      <w:rFonts w:ascii="Times New Roman" w:hAnsi="Times New Roman"/>
      <w:color w:val="999999"/>
    </w:rPr>
  </w:style>
  <w:style w:type="paragraph" w:customStyle="1" w:styleId="Spacer">
    <w:name w:val="Spacer"/>
    <w:basedOn w:val="Normal"/>
    <w:rsid w:val="001E17F8"/>
    <w:rPr>
      <w:sz w:val="2"/>
      <w:szCs w:val="2"/>
    </w:rPr>
  </w:style>
  <w:style w:type="character" w:customStyle="1" w:styleId="Small">
    <w:name w:val="Small"/>
    <w:basedOn w:val="DefaultParagraphFont"/>
    <w:rsid w:val="001E17F8"/>
    <w:rPr>
      <w:sz w:val="16"/>
    </w:rPr>
  </w:style>
  <w:style w:type="paragraph" w:customStyle="1" w:styleId="WideTable">
    <w:name w:val="Wide Table"/>
    <w:basedOn w:val="Normal"/>
    <w:rsid w:val="001E17F8"/>
    <w:pPr>
      <w:ind w:left="-1418"/>
    </w:pPr>
    <w:rPr>
      <w:sz w:val="2"/>
      <w:szCs w:val="2"/>
    </w:rPr>
  </w:style>
  <w:style w:type="character" w:styleId="PageNumber">
    <w:name w:val="page number"/>
    <w:basedOn w:val="DefaultParagraphFont"/>
    <w:rsid w:val="001E17F8"/>
  </w:style>
  <w:style w:type="paragraph" w:styleId="Quote">
    <w:name w:val="Quote"/>
    <w:basedOn w:val="Heading1"/>
    <w:link w:val="QuoteChar"/>
    <w:qFormat/>
    <w:rsid w:val="001E17F8"/>
    <w:rPr>
      <w:b w:val="0"/>
      <w:sz w:val="72"/>
      <w:szCs w:val="72"/>
      <w:lang w:val="en-NZ"/>
    </w:rPr>
  </w:style>
  <w:style w:type="character" w:customStyle="1" w:styleId="QuoteChar">
    <w:name w:val="Quote Char"/>
    <w:basedOn w:val="DefaultParagraphFont"/>
    <w:link w:val="Quote"/>
    <w:rsid w:val="001E17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7F8"/>
    <w:pPr>
      <w:pageBreakBefore/>
    </w:pPr>
  </w:style>
  <w:style w:type="paragraph" w:customStyle="1" w:styleId="Border">
    <w:name w:val="Border"/>
    <w:basedOn w:val="Normal"/>
    <w:qFormat/>
    <w:rsid w:val="001E17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7F8"/>
    <w:rPr>
      <w:b/>
      <w:bCs/>
      <w:i/>
      <w:iCs/>
      <w:color w:val="auto"/>
    </w:rPr>
  </w:style>
  <w:style w:type="paragraph" w:styleId="IntenseQuote">
    <w:name w:val="Intense Quote"/>
    <w:basedOn w:val="Normal"/>
    <w:next w:val="Normal"/>
    <w:link w:val="IntenseQuoteChar"/>
    <w:uiPriority w:val="30"/>
    <w:qFormat/>
    <w:rsid w:val="001E17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7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7F8"/>
    <w:rPr>
      <w:smallCaps/>
      <w:color w:val="auto"/>
      <w:u w:val="single"/>
    </w:rPr>
  </w:style>
  <w:style w:type="character" w:styleId="IntenseReference">
    <w:name w:val="Intense Reference"/>
    <w:basedOn w:val="DefaultParagraphFont"/>
    <w:uiPriority w:val="32"/>
    <w:qFormat/>
    <w:rsid w:val="001E17F8"/>
    <w:rPr>
      <w:b/>
      <w:bCs/>
      <w:smallCaps/>
      <w:color w:val="auto"/>
      <w:spacing w:val="5"/>
      <w:u w:val="single"/>
    </w:rPr>
  </w:style>
  <w:style w:type="paragraph" w:customStyle="1" w:styleId="2ColumnHeading">
    <w:name w:val="2Column Heading"/>
    <w:basedOn w:val="BodyText"/>
    <w:qFormat/>
    <w:rsid w:val="001E17F8"/>
    <w:pPr>
      <w:spacing w:after="60"/>
      <w:ind w:left="-2268"/>
    </w:pPr>
    <w:rPr>
      <w:b/>
    </w:rPr>
  </w:style>
  <w:style w:type="paragraph" w:customStyle="1" w:styleId="Heading1TOC">
    <w:name w:val="Heading1 TOC"/>
    <w:basedOn w:val="Normal"/>
    <w:qFormat/>
    <w:rsid w:val="001E17F8"/>
    <w:pPr>
      <w:spacing w:before="240" w:after="120"/>
    </w:pPr>
    <w:rPr>
      <w:rFonts w:ascii="Times New Roman" w:hAnsi="Times New Roman"/>
      <w:b/>
      <w:sz w:val="32"/>
    </w:rPr>
  </w:style>
  <w:style w:type="paragraph" w:customStyle="1" w:styleId="Heading2TOC">
    <w:name w:val="Heading2 TOC"/>
    <w:basedOn w:val="Normal"/>
    <w:qFormat/>
    <w:rsid w:val="001E17F8"/>
    <w:pPr>
      <w:spacing w:before="240" w:after="60"/>
    </w:pPr>
    <w:rPr>
      <w:rFonts w:ascii="Times New Roman" w:hAnsi="Times New Roman"/>
      <w:b/>
      <w:sz w:val="28"/>
    </w:rPr>
  </w:style>
  <w:style w:type="character" w:customStyle="1" w:styleId="Underline">
    <w:name w:val="Underline"/>
    <w:basedOn w:val="DefaultParagraphFont"/>
    <w:qFormat/>
    <w:rsid w:val="001E17F8"/>
    <w:rPr>
      <w:u w:val="single"/>
    </w:rPr>
  </w:style>
  <w:style w:type="character" w:customStyle="1" w:styleId="BoldandItalics">
    <w:name w:val="Bold and Italics"/>
    <w:qFormat/>
    <w:rsid w:val="001E17F8"/>
    <w:rPr>
      <w:b/>
      <w:i/>
      <w:u w:val="none"/>
    </w:rPr>
  </w:style>
  <w:style w:type="paragraph" w:styleId="BalloonText">
    <w:name w:val="Balloon Text"/>
    <w:basedOn w:val="Normal"/>
    <w:link w:val="BalloonTextChar"/>
    <w:rsid w:val="001E17F8"/>
    <w:rPr>
      <w:rFonts w:ascii="Tahoma" w:hAnsi="Tahoma" w:cs="Tahoma"/>
      <w:sz w:val="16"/>
      <w:szCs w:val="16"/>
    </w:rPr>
  </w:style>
  <w:style w:type="character" w:customStyle="1" w:styleId="BalloonTextChar">
    <w:name w:val="Balloon Text Char"/>
    <w:basedOn w:val="DefaultParagraphFont"/>
    <w:link w:val="BalloonText"/>
    <w:rsid w:val="001E17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7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7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7F8"/>
    <w:rPr>
      <w:b/>
      <w:color w:val="660033"/>
      <w:spacing w:val="0"/>
    </w:rPr>
  </w:style>
  <w:style w:type="paragraph" w:customStyle="1" w:styleId="Nameditemlist">
    <w:name w:val="Named item list"/>
    <w:basedOn w:val="BodyText"/>
    <w:qFormat/>
    <w:rsid w:val="001E17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886</Words>
  <Characters>5437</Characters>
  <Application>Microsoft Office Word</Application>
  <DocSecurity>0</DocSecurity>
  <Lines>214</Lines>
  <Paragraphs>97</Paragraphs>
  <ScaleCrop>false</ScaleCrop>
  <Company>Author-it Software Corporation Ltd.</Company>
  <LinksUpToDate>false</LinksUpToDate>
  <CharactersWithSpaces>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MEM05004C Perform routine oxy acetylene welding</dc:title>
  <dc:subject>Approved</dc:subject>
  <dc:creator>Manufacturing Skills Australia</dc:creator>
  <cp:keywords>Release: 1</cp:keywords>
  <dc:description>Review Date: 12 April 2008</dc:description>
  <cp:lastModifiedBy>HSD_TPCMSd.prod</cp:lastModifiedBy>
  <cp:revision>3</cp:revision>
  <dcterms:created xsi:type="dcterms:W3CDTF">2016-08-21T23:45:00Z</dcterms:created>
  <dcterms:modified xsi:type="dcterms:W3CDTF">2016-08-21T23:45:00Z</dcterms:modified>
</cp:coreProperties>
</file>