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B11" w:rsidP="00881B11">
      <w:pPr>
        <w:pStyle w:val="Title"/>
      </w:pPr>
      <w:r>
        <w:fldChar w:fldCharType="begin"/>
      </w:r>
      <w:r>
        <w:instrText xml:space="preserve"> TITLE   \* MERGEFORMAT </w:instrText>
      </w:r>
      <w:r>
        <w:fldChar w:fldCharType="separate"/>
      </w:r>
      <w:r>
        <w:t>MEM05003B Perform soft soldering</w:t>
      </w:r>
      <w:r>
        <w:fldChar w:fldCharType="end"/>
      </w:r>
    </w:p>
    <w:p w:rsidR="00881B11" w:rsidP="00881B11">
      <w:pPr>
        <w:pStyle w:val="Version"/>
        <w:sectPr w:rsidSect="001A64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4FB" w:rsidP="001A64FB">
      <w:pPr>
        <w:pStyle w:val="SuperHeading"/>
      </w:pPr>
      <w:r w:rsidRPr="001A64FB">
        <w:t>MEM05003B Perform soft soldering</w:t>
      </w:r>
    </w:p>
    <w:p w:rsidR="00000000" w:rsidRPr="001A64FB" w:rsidP="001A64FB">
      <w:pPr>
        <w:pStyle w:val="Heading1"/>
      </w:pPr>
      <w:bookmarkStart w:id="1" w:name="O_271997"/>
      <w:bookmarkEnd w:id="1"/>
      <w:r w:rsidRPr="001A64FB">
        <w:t>Modification History</w:t>
      </w:r>
    </w:p>
    <w:p w:rsidR="00000000" w:rsidRPr="001A64FB" w:rsidP="001A64FB">
      <w:pPr>
        <w:pStyle w:val="BodyText"/>
      </w:pPr>
      <w:r w:rsidRPr="001A64FB">
        <w:t>Not Applicable</w:t>
      </w:r>
    </w:p>
    <w:p w:rsidR="00000000" w:rsidRPr="001A64FB" w:rsidP="001A64FB">
      <w:pPr>
        <w:pStyle w:val="AllowPageBreak"/>
      </w:pPr>
    </w:p>
    <w:p w:rsidR="00000000" w:rsidRPr="001A64FB" w:rsidP="001A64FB">
      <w:pPr>
        <w:pStyle w:val="Heading1"/>
      </w:pPr>
      <w:bookmarkStart w:id="2" w:name="O_210417"/>
      <w:bookmarkEnd w:id="2"/>
      <w:r w:rsidRPr="001A64FB">
        <w:t>Unit Descriptor</w:t>
      </w:r>
    </w:p>
    <w:tbl>
      <w:tblPr>
        <w:tblW w:w="0" w:type="auto"/>
        <w:tblLayout w:type="fixed"/>
        <w:tblCellMar>
          <w:left w:w="62" w:type="dxa"/>
          <w:right w:w="62" w:type="dxa"/>
        </w:tblCellMar>
        <w:tblLook w:val="0000"/>
      </w:tblPr>
      <w:tblGrid>
        <w:gridCol w:w="2665"/>
        <w:gridCol w:w="5857"/>
      </w:tblGrid>
      <w:tr w:rsidTr="00881B11">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This unit applies to performing soft soldering applications of ferrous and non-ferrous materials, using straightforward t</w:t>
            </w:r>
            <w:r w:rsidRPr="001A64FB">
              <w:t>echniques, where heat damage to components or finish of soldered joint is not critical.</w:t>
            </w:r>
          </w:p>
        </w:tc>
      </w:tr>
    </w:tbl>
    <w:p w:rsidR="00881B11" w:rsidP="001A64FB">
      <w:pPr>
        <w:pStyle w:val="BodyText"/>
      </w:pPr>
    </w:p>
    <w:p w:rsidR="00881B11" w:rsidP="001A64FB">
      <w:pPr>
        <w:pStyle w:val="BodyText"/>
      </w:pPr>
    </w:p>
    <w:p w:rsidR="00000000" w:rsidRPr="001A64FB" w:rsidP="001A64FB">
      <w:pPr>
        <w:pStyle w:val="Heading1"/>
      </w:pPr>
      <w:bookmarkStart w:id="3" w:name="O_210421"/>
      <w:bookmarkEnd w:id="3"/>
      <w:r w:rsidRPr="001A64FB">
        <w:t>Application of the Unit</w:t>
      </w:r>
    </w:p>
    <w:tbl>
      <w:tblPr>
        <w:tblW w:w="0" w:type="auto"/>
        <w:tblLayout w:type="fixed"/>
        <w:tblCellMar>
          <w:left w:w="62" w:type="dxa"/>
          <w:right w:w="62" w:type="dxa"/>
        </w:tblCellMar>
        <w:tblLook w:val="0000"/>
      </w:tblPr>
      <w:tblGrid>
        <w:gridCol w:w="2745"/>
        <w:gridCol w:w="5777"/>
      </w:tblGrid>
      <w:tr w:rsidTr="00881B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 xml:space="preserve">All work is undertaken to predetermined standards of quality, safety and procedures. </w:t>
            </w:r>
          </w:p>
          <w:p w:rsidR="00000000" w:rsidRPr="001A64FB" w:rsidP="001A64FB">
            <w:pPr>
              <w:pStyle w:val="BodyText"/>
            </w:pPr>
            <w:r w:rsidRPr="001A64FB">
              <w:t>Techniques of applying soft solder may include the use of soldering irons (all types) and direct flame or other heating devices. Preparation of materials includes cleaning, deburring, twisting of conductors and fluxing.</w:t>
            </w:r>
          </w:p>
          <w:p w:rsidR="00000000" w:rsidRPr="001A64FB" w:rsidP="001A64FB">
            <w:pPr>
              <w:pStyle w:val="BodyText"/>
            </w:pPr>
            <w:r w:rsidRPr="001A64FB">
              <w:t>Depending on the actual soldering jo</w:t>
            </w:r>
            <w:r w:rsidRPr="001A64FB">
              <w:t>b, hand and power tools and drawing and interpretation skills may be required. These are covered by units MEM18001C (Use hand tools), MEM18002B (Use power tools/hand held operations) and MEM12023A (Perform engineering measurements).</w:t>
            </w:r>
          </w:p>
          <w:p w:rsidR="00000000" w:rsidRPr="001A64FB" w:rsidP="001A64FB">
            <w:pPr>
              <w:pStyle w:val="BodyText"/>
            </w:pPr>
            <w:r w:rsidRPr="001A64FB">
              <w:t>This unit should not be</w:t>
            </w:r>
            <w:r w:rsidRPr="001A64FB">
              <w:t xml:space="preserve"> selected if Unit MEM05001B (Perform manual soldering/desoldering - electrical/electronic components) or Unit MEM10002B (Terminate and connect electrical wiring) has already been selected.</w:t>
            </w:r>
          </w:p>
          <w:p w:rsidR="00000000" w:rsidRPr="001A64FB" w:rsidP="001A64FB">
            <w:pPr>
              <w:pStyle w:val="BodyText"/>
            </w:pPr>
          </w:p>
          <w:p w:rsidR="00000000" w:rsidRPr="001A64FB" w:rsidP="001A64FB">
            <w:pPr>
              <w:pStyle w:val="BodyText"/>
            </w:pPr>
            <w:r w:rsidRPr="001A64FB">
              <w:rPr>
                <w:rStyle w:val="SpecialBold"/>
              </w:rPr>
              <w:t>Band</w:t>
            </w:r>
            <w:r w:rsidRPr="001A64FB">
              <w:t>:</w:t>
            </w:r>
            <w:r w:rsidRPr="001A64FB">
              <w:tab/>
            </w:r>
            <w:r w:rsidRPr="001A64FB">
              <w:rPr>
                <w:rStyle w:val="SpecialBold"/>
              </w:rPr>
              <w:t>A</w:t>
            </w:r>
          </w:p>
          <w:p w:rsidR="00000000" w:rsidRPr="001A64FB" w:rsidP="001A64FB">
            <w:pPr>
              <w:pStyle w:val="BodyText"/>
            </w:pPr>
            <w:r w:rsidRPr="001A64FB">
              <w:rPr>
                <w:rStyle w:val="SpecialBold"/>
              </w:rPr>
              <w:t>Unit Weight</w:t>
            </w:r>
            <w:r w:rsidRPr="001A64FB">
              <w:t>:</w:t>
            </w:r>
            <w:r w:rsidRPr="001A64FB">
              <w:tab/>
            </w:r>
            <w:r w:rsidRPr="001A64FB">
              <w:rPr>
                <w:rStyle w:val="SpecialBold"/>
              </w:rPr>
              <w:t>2</w:t>
            </w:r>
          </w:p>
        </w:tc>
      </w:tr>
    </w:tbl>
    <w:p w:rsidR="00881B11" w:rsidP="001A64FB">
      <w:pPr>
        <w:pStyle w:val="BodyText"/>
      </w:pPr>
    </w:p>
    <w:p w:rsidR="00881B11" w:rsidP="001A64FB">
      <w:pPr>
        <w:pStyle w:val="BodyText"/>
      </w:pPr>
    </w:p>
    <w:p w:rsidR="00000000" w:rsidRPr="001A64FB" w:rsidP="001A64FB">
      <w:pPr>
        <w:pStyle w:val="Heading1"/>
      </w:pPr>
      <w:bookmarkStart w:id="4" w:name="O_280257"/>
      <w:bookmarkEnd w:id="4"/>
      <w:r w:rsidRPr="001A64FB">
        <w:t>Licensing/Regulatory Information</w:t>
      </w:r>
    </w:p>
    <w:p w:rsidR="00000000" w:rsidRPr="001A64FB" w:rsidP="001A64FB">
      <w:pPr>
        <w:pStyle w:val="BodyText"/>
      </w:pPr>
      <w:r w:rsidRPr="001A64FB">
        <w:t>Not Applicable</w:t>
      </w:r>
    </w:p>
    <w:p w:rsidR="00000000" w:rsidRPr="001A64FB" w:rsidP="001A64FB">
      <w:pPr>
        <w:pStyle w:val="AllowPageBreak"/>
      </w:pPr>
    </w:p>
    <w:p w:rsidR="00000000" w:rsidRPr="001A64FB" w:rsidP="001A64FB">
      <w:pPr>
        <w:pStyle w:val="Heading1"/>
      </w:pPr>
      <w:bookmarkStart w:id="5" w:name="O_210419"/>
      <w:bookmarkEnd w:id="5"/>
      <w:r w:rsidRPr="001A64FB">
        <w:t>Pre-Requisites</w:t>
      </w:r>
    </w:p>
    <w:tbl>
      <w:tblPr>
        <w:tblW w:w="0" w:type="auto"/>
        <w:tblLayout w:type="fixed"/>
        <w:tblCellMar>
          <w:left w:w="62" w:type="dxa"/>
          <w:right w:w="62" w:type="dxa"/>
        </w:tblCellMar>
        <w:tblLook w:val="0000"/>
      </w:tblPr>
      <w:tblGrid>
        <w:gridCol w:w="2775"/>
        <w:gridCol w:w="1295"/>
        <w:gridCol w:w="4452"/>
      </w:tblGrid>
      <w:tr w:rsidTr="00881B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p>
        </w:tc>
      </w:tr>
      <w:tr w:rsidTr="00881B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p>
        </w:tc>
      </w:tr>
      <w:tr w:rsidTr="00881B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p>
        </w:tc>
      </w:tr>
    </w:tbl>
    <w:p w:rsidR="00881B11" w:rsidP="001A64FB">
      <w:pPr>
        <w:pStyle w:val="BodyText"/>
      </w:pPr>
    </w:p>
    <w:p w:rsidR="00881B11" w:rsidP="001A64FB">
      <w:pPr>
        <w:pStyle w:val="BodyText"/>
      </w:pPr>
    </w:p>
    <w:p w:rsidR="00000000" w:rsidRPr="001A64FB" w:rsidP="001A64FB">
      <w:pPr>
        <w:pStyle w:val="Heading1"/>
      </w:pPr>
      <w:bookmarkStart w:id="6" w:name="O_210418"/>
      <w:bookmarkEnd w:id="6"/>
      <w:r w:rsidRPr="001A64FB">
        <w:t>Employability Skills Information</w:t>
      </w:r>
    </w:p>
    <w:tbl>
      <w:tblPr>
        <w:tblW w:w="0" w:type="auto"/>
        <w:tblLayout w:type="fixed"/>
        <w:tblCellMar>
          <w:left w:w="62" w:type="dxa"/>
          <w:right w:w="62" w:type="dxa"/>
        </w:tblCellMar>
        <w:tblLook w:val="0000"/>
      </w:tblPr>
      <w:tblGrid>
        <w:gridCol w:w="2802"/>
        <w:gridCol w:w="5720"/>
      </w:tblGrid>
      <w:tr w:rsidTr="00881B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This unit contains employability skills.</w:t>
            </w:r>
          </w:p>
        </w:tc>
      </w:tr>
    </w:tbl>
    <w:p w:rsidR="00881B11" w:rsidP="001A64FB">
      <w:pPr>
        <w:pStyle w:val="BodyText"/>
      </w:pPr>
    </w:p>
    <w:p w:rsidR="00881B11" w:rsidP="001A64FB">
      <w:pPr>
        <w:pStyle w:val="BodyText"/>
      </w:pPr>
    </w:p>
    <w:p w:rsidR="00000000" w:rsidRPr="001A64FB" w:rsidP="001A64FB">
      <w:pPr>
        <w:pStyle w:val="Heading1"/>
      </w:pPr>
      <w:bookmarkStart w:id="7" w:name="O_290043"/>
      <w:bookmarkEnd w:id="7"/>
      <w:r w:rsidRPr="001A64FB">
        <w:t>Elements and Performance Criteria Pre-Content</w:t>
      </w:r>
    </w:p>
    <w:tbl>
      <w:tblPr>
        <w:tblW w:w="0" w:type="auto"/>
        <w:tblLayout w:type="fixed"/>
        <w:tblCellMar>
          <w:left w:w="62" w:type="dxa"/>
          <w:right w:w="62" w:type="dxa"/>
        </w:tblCellMar>
        <w:tblLook w:val="0000"/>
      </w:tblPr>
      <w:tblGrid>
        <w:gridCol w:w="2583"/>
        <w:gridCol w:w="5939"/>
      </w:tblGrid>
      <w:tr w:rsidTr="00881B1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 xml:space="preserve">Performance criteria describe the performance needed to demonstrate achievement of the element. Where bold italicised text is used, further </w:t>
            </w:r>
            <w:r w:rsidRPr="001A64FB">
              <w:t>information is detailed in the required skills and knowledge section and the range statement. Assessment of performance is to be consistent with the evidence guide.</w:t>
            </w:r>
          </w:p>
        </w:tc>
      </w:tr>
    </w:tbl>
    <w:p w:rsidR="00000000" w:rsidRPr="001A64FB" w:rsidP="001A64FB">
      <w:pPr>
        <w:pStyle w:val="BodyText"/>
      </w:pPr>
    </w:p>
    <w:p w:rsidR="00000000" w:rsidRPr="001A64FB" w:rsidP="001A64FB">
      <w:pPr>
        <w:pStyle w:val="AllowPageBreak"/>
      </w:pPr>
    </w:p>
    <w:p w:rsidR="00000000" w:rsidRPr="001A64FB" w:rsidP="001A64FB">
      <w:pPr>
        <w:pStyle w:val="Heading1"/>
      </w:pPr>
      <w:bookmarkStart w:id="8" w:name="O_236710"/>
      <w:bookmarkEnd w:id="8"/>
      <w:r w:rsidRPr="001A64FB">
        <w:t>Elements and Performance Criteria</w:t>
      </w:r>
    </w:p>
    <w:tbl>
      <w:tblPr>
        <w:tblW w:w="0" w:type="auto"/>
        <w:tblLayout w:type="fixed"/>
        <w:tblCellMar>
          <w:left w:w="62" w:type="dxa"/>
          <w:right w:w="62" w:type="dxa"/>
        </w:tblCellMar>
        <w:tblLook w:val="0000"/>
      </w:tblPr>
      <w:tblGrid>
        <w:gridCol w:w="2583"/>
        <w:gridCol w:w="5939"/>
      </w:tblGrid>
      <w:tr w:rsidTr="00881B11">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PERFORMANCE CRITERIA</w:t>
            </w:r>
          </w:p>
        </w:tc>
      </w:tr>
      <w:tr w:rsidTr="00881B1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List"/>
              <w:rPr>
                <w:lang w:val="en-NZ"/>
              </w:rPr>
            </w:pPr>
            <w:r w:rsidRPr="001A64FB">
              <w:t>1.</w:t>
            </w:r>
            <w:r w:rsidRPr="001A64FB">
              <w:tab/>
              <w:t>Ident</w:t>
            </w:r>
            <w:r w:rsidRPr="001A64FB">
              <w:t xml:space="preserve">ify job requirements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List2"/>
              <w:rPr>
                <w:lang w:val="en-NZ"/>
              </w:rPr>
            </w:pPr>
            <w:r w:rsidRPr="001A64FB">
              <w:t>1.1.</w:t>
            </w:r>
            <w:r w:rsidRPr="001A64FB">
              <w:tab/>
              <w:t>Soldering requirements are identified and correctly understood from job sheets or instructions.</w:t>
            </w:r>
          </w:p>
        </w:tc>
      </w:tr>
      <w:tr w:rsidTr="00881B1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List"/>
              <w:rPr>
                <w:lang w:val="en-NZ"/>
              </w:rPr>
            </w:pPr>
            <w:r w:rsidRPr="001A64FB">
              <w:t>2.</w:t>
            </w:r>
            <w:r w:rsidRPr="001A64FB">
              <w:tab/>
              <w:t xml:space="preserve">Undertake soft soldering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List2"/>
            </w:pPr>
            <w:r w:rsidRPr="001A64FB">
              <w:t>2.1.</w:t>
            </w:r>
            <w:r w:rsidRPr="001A64FB">
              <w:tab/>
              <w:t>Tools, equipment and consumables app</w:t>
            </w:r>
            <w:r w:rsidRPr="001A64FB">
              <w:t>ropriate to the task are assembled and prepared for use as required.</w:t>
            </w:r>
          </w:p>
          <w:p w:rsidR="00000000" w:rsidRPr="001A64FB" w:rsidP="001A64FB">
            <w:pPr>
              <w:pStyle w:val="List2"/>
            </w:pPr>
            <w:r w:rsidRPr="001A64FB">
              <w:t>2.2.</w:t>
            </w:r>
            <w:r w:rsidRPr="001A64FB">
              <w:tab/>
              <w:t>Materials to be soldered are prepared, arranged and checked as required, to ensure solder joint meets specifications.</w:t>
            </w:r>
          </w:p>
          <w:p w:rsidR="00000000" w:rsidRPr="001A64FB" w:rsidP="001A64FB">
            <w:pPr>
              <w:pStyle w:val="List2"/>
            </w:pPr>
            <w:r w:rsidRPr="001A64FB">
              <w:t>2.3.</w:t>
            </w:r>
            <w:r w:rsidRPr="001A64FB">
              <w:tab/>
              <w:t>Correct techniques are used to apply soft solder to standar</w:t>
            </w:r>
            <w:r w:rsidRPr="001A64FB">
              <w:t>d operating procedures.</w:t>
            </w:r>
          </w:p>
          <w:p w:rsidR="00000000" w:rsidRPr="001A64FB" w:rsidP="001A64FB">
            <w:pPr>
              <w:pStyle w:val="List2"/>
            </w:pPr>
            <w:r w:rsidRPr="001A64FB">
              <w:t>2.4.</w:t>
            </w:r>
            <w:r w:rsidRPr="001A64FB">
              <w:tab/>
              <w:t>Solder joint is cleaned and checked for conformance to specifications using standard operating procedures.</w:t>
            </w:r>
          </w:p>
        </w:tc>
      </w:tr>
    </w:tbl>
    <w:p w:rsidR="00881B11" w:rsidP="001A64FB">
      <w:pPr>
        <w:pStyle w:val="BodyText"/>
      </w:pPr>
    </w:p>
    <w:p w:rsidR="00881B11" w:rsidP="001A64FB">
      <w:pPr>
        <w:pStyle w:val="BodyText"/>
      </w:pPr>
    </w:p>
    <w:p w:rsidR="00000000" w:rsidRPr="001A64FB" w:rsidP="001A64FB">
      <w:pPr>
        <w:pStyle w:val="Heading1"/>
      </w:pPr>
      <w:bookmarkStart w:id="9" w:name="O_260660"/>
      <w:bookmarkEnd w:id="9"/>
      <w:r w:rsidRPr="001A64FB">
        <w:t>Required Skills and Knowledge</w:t>
      </w:r>
    </w:p>
    <w:tbl>
      <w:tblPr>
        <w:tblW w:w="0" w:type="auto"/>
        <w:tblLayout w:type="fixed"/>
        <w:tblCellMar>
          <w:left w:w="62" w:type="dxa"/>
          <w:right w:w="62" w:type="dxa"/>
        </w:tblCellMar>
        <w:tblLook w:val="0000"/>
      </w:tblPr>
      <w:tblGrid>
        <w:gridCol w:w="8522"/>
      </w:tblGrid>
      <w:tr w:rsidTr="00881B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REQUIRED SKILLS AND KNOWLEDGE</w:t>
            </w:r>
          </w:p>
        </w:tc>
      </w:tr>
      <w:tr w:rsidTr="00881B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This section describes the skills and knowledge required for this unit.</w:t>
            </w:r>
          </w:p>
        </w:tc>
      </w:tr>
      <w:tr w:rsidTr="0088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Required skills</w:t>
            </w:r>
          </w:p>
        </w:tc>
      </w:tr>
      <w:tr w:rsidTr="0088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Look for evidence that confirms skills in:</w:t>
            </w:r>
          </w:p>
          <w:p w:rsidR="00000000" w:rsidRPr="001A64FB" w:rsidP="001A64FB">
            <w:pPr>
              <w:pStyle w:val="ListBullet"/>
            </w:pPr>
            <w:r w:rsidRPr="001A64FB">
              <w:t>using soldering irons</w:t>
            </w:r>
          </w:p>
          <w:p w:rsidR="00000000" w:rsidRPr="001A64FB" w:rsidP="001A64FB">
            <w:pPr>
              <w:pStyle w:val="ListBullet"/>
            </w:pPr>
            <w:r w:rsidRPr="001A64FB">
              <w:t>using direct flame and other heating devices</w:t>
            </w:r>
          </w:p>
          <w:p w:rsidR="00000000" w:rsidRPr="001A64FB" w:rsidP="001A64FB">
            <w:pPr>
              <w:pStyle w:val="ListBullet"/>
            </w:pPr>
            <w:r w:rsidRPr="001A64FB">
              <w:t>reading and interpreting routine information on written job instructions, specifications and standard operating procedures</w:t>
            </w:r>
          </w:p>
          <w:p w:rsidR="00000000" w:rsidP="001A64FB">
            <w:pPr>
              <w:pStyle w:val="ListBullet"/>
              <w:rPr>
                <w:lang w:val="en-NZ"/>
              </w:rPr>
            </w:pPr>
            <w:r w:rsidRPr="001A64FB">
              <w:t>following oral instruction</w:t>
            </w:r>
          </w:p>
        </w:tc>
      </w:tr>
      <w:tr w:rsidTr="0088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Required knowledge</w:t>
            </w:r>
          </w:p>
        </w:tc>
      </w:tr>
      <w:tr w:rsidTr="0088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Look for evidence that confirms knowledge of:</w:t>
            </w:r>
          </w:p>
          <w:p w:rsidR="00000000" w:rsidRPr="001A64FB" w:rsidP="001A64FB">
            <w:pPr>
              <w:pStyle w:val="ListBullet"/>
            </w:pPr>
            <w:r w:rsidRPr="001A64FB">
              <w:t>the effect of material to be soft sold</w:t>
            </w:r>
            <w:r w:rsidRPr="001A64FB">
              <w:t>ered on the selection of consumables</w:t>
            </w:r>
          </w:p>
          <w:p w:rsidR="00000000" w:rsidRPr="001A64FB" w:rsidP="001A64FB">
            <w:pPr>
              <w:pStyle w:val="ListBullet"/>
            </w:pPr>
            <w:r w:rsidRPr="001A64FB">
              <w:t>the reasons for preparing surfaces prior to soldering</w:t>
            </w:r>
          </w:p>
          <w:p w:rsidR="00000000" w:rsidRPr="001A64FB" w:rsidP="001A64FB">
            <w:pPr>
              <w:pStyle w:val="ListBullet"/>
            </w:pPr>
            <w:r w:rsidRPr="001A64FB">
              <w:t>the procedures for rectifying defects in soldered joints</w:t>
            </w:r>
          </w:p>
          <w:p w:rsidR="00000000" w:rsidRPr="001A64FB" w:rsidP="001A64FB">
            <w:pPr>
              <w:pStyle w:val="ListBullet"/>
            </w:pPr>
            <w:r w:rsidRPr="001A64FB">
              <w:t>use and application of personal protective equipment for soft soldering</w:t>
            </w:r>
          </w:p>
          <w:p w:rsidR="00000000" w:rsidRPr="001A64FB" w:rsidP="001A64FB">
            <w:pPr>
              <w:pStyle w:val="ListBullet"/>
            </w:pPr>
            <w:r w:rsidRPr="001A64FB">
              <w:t>safe work practices and procedures</w:t>
            </w:r>
          </w:p>
        </w:tc>
      </w:tr>
    </w:tbl>
    <w:p w:rsidR="00881B11" w:rsidP="001A64FB">
      <w:pPr>
        <w:pStyle w:val="BodyText"/>
      </w:pPr>
    </w:p>
    <w:p w:rsidR="00881B11" w:rsidP="001A64FB">
      <w:pPr>
        <w:pStyle w:val="BodyText"/>
      </w:pPr>
    </w:p>
    <w:p w:rsidR="00000000" w:rsidRPr="001A64FB" w:rsidP="001A64FB">
      <w:pPr>
        <w:pStyle w:val="AllowPageBreak"/>
      </w:pPr>
    </w:p>
    <w:p w:rsidR="00000000" w:rsidRPr="001A64FB" w:rsidP="001A64FB">
      <w:pPr>
        <w:pStyle w:val="Heading1"/>
      </w:pPr>
      <w:bookmarkStart w:id="10" w:name="O_244694"/>
      <w:bookmarkEnd w:id="10"/>
      <w:r w:rsidRPr="001A64FB">
        <w:t>Evidence Guide</w:t>
      </w:r>
    </w:p>
    <w:tbl>
      <w:tblPr>
        <w:tblW w:w="9570" w:type="dxa"/>
        <w:tblLayout w:type="fixed"/>
        <w:tblCellMar>
          <w:left w:w="62" w:type="dxa"/>
          <w:right w:w="62" w:type="dxa"/>
        </w:tblCellMar>
        <w:tblLook w:val="0000"/>
      </w:tblPr>
      <w:tblGrid>
        <w:gridCol w:w="3908"/>
        <w:gridCol w:w="5662"/>
      </w:tblGrid>
      <w:tr w:rsidTr="00881B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EVIDENCE GUIDE</w:t>
            </w:r>
          </w:p>
        </w:tc>
      </w:tr>
      <w:tr w:rsidTr="00881B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 xml:space="preserve">The evidence guide provides advice on assessment and must be read in conjunction with the performance criteria, required skills and knowledge, </w:t>
            </w:r>
            <w:r w:rsidRPr="001A64FB">
              <w:t>range statement and the Assessment Guidelines for the Training Package.</w:t>
            </w:r>
          </w:p>
        </w:tc>
      </w:tr>
      <w:tr w:rsidTr="0088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 xml:space="preserve">A person who demonstrates competency in this unit must be able to perform soft soldering. </w:t>
            </w:r>
          </w:p>
        </w:tc>
      </w:tr>
      <w:tr w:rsidTr="0088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Critical aspects for assessment and evidence required to demonstrat</w:t>
            </w:r>
            <w:r w:rsidRPr="001A64FB">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Assessors must be satisfied that the candidate can competently and consistently perform all elements of the unit as specified by the criteria, including required knowledge, and be capable of applying the competency in new and diff</w:t>
            </w:r>
            <w:r w:rsidRPr="001A64FB">
              <w:t>erent situations and contexts.</w:t>
            </w:r>
          </w:p>
        </w:tc>
      </w:tr>
      <w:tr w:rsidTr="0088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 xml:space="preserve">This unit may be assessed on the job, off the job or a combination of both on and off the job. Where assessment occurs off the job, that is </w:t>
            </w:r>
            <w:r w:rsidRPr="001A64FB">
              <w:t>the candidate is not in productive work, then an appropriate simulation must be used where the range of conditions reflects realistic workplace situations. The competencies covered by this unit would be demonstrated by an individual working alone or as par</w:t>
            </w:r>
            <w:r w:rsidRPr="001A64FB">
              <w:t>t of a team. The assessment environment should not disadvantage the candidate.</w:t>
            </w:r>
          </w:p>
          <w:p w:rsidR="00000000" w:rsidP="001A64FB">
            <w:pPr>
              <w:pStyle w:val="BodyText"/>
              <w:rPr>
                <w:lang w:val="en-NZ"/>
              </w:rPr>
            </w:pPr>
            <w:r w:rsidRPr="001A64FB">
              <w:t>This unit could be assessed in conjunction with any other units addressing the safety, quality, communication materials handling, recording and reporting associated with perform</w:t>
            </w:r>
            <w:r w:rsidRPr="001A64FB">
              <w:t>ing soft soldering or other units requiring the exercise of the skills and knowledge covered by this unit.</w:t>
            </w:r>
          </w:p>
        </w:tc>
      </w:tr>
      <w:tr w:rsidTr="0088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 xml:space="preserve">Assessors should gather a range of evidence that is valid, sufficient, current and authentic. Evidence can be gathered through </w:t>
            </w:r>
            <w:r w:rsidRPr="001A64FB">
              <w:t>a variety of ways including direct observation, supervisor's reports, project work, samples and questioning. Questioning techniques should not require language, literacy and numeracy skills beyond those required in this unit of competency. The candidate mu</w:t>
            </w:r>
            <w:r w:rsidRPr="001A64FB">
              <w:t>st have access to all tools, equipment, materials and documentation required. The candidate must be permitted to refer to any relevant workplace procedures, product and manufacturing specifications, codes, standards, manuals and reference materials.</w:t>
            </w:r>
          </w:p>
        </w:tc>
      </w:tr>
      <w:tr w:rsidTr="0088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Guida</w:t>
            </w:r>
            <w:r w:rsidRPr="001A64FB">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p>
        </w:tc>
      </w:tr>
    </w:tbl>
    <w:p w:rsidR="00881B11" w:rsidP="001A64FB">
      <w:pPr>
        <w:pStyle w:val="BodyText"/>
      </w:pPr>
    </w:p>
    <w:p w:rsidR="00881B11" w:rsidP="001A64FB">
      <w:pPr>
        <w:pStyle w:val="BodyText"/>
      </w:pPr>
    </w:p>
    <w:p w:rsidR="00000000" w:rsidRPr="001A64FB" w:rsidP="001A64FB">
      <w:pPr>
        <w:pStyle w:val="Heading1"/>
      </w:pPr>
      <w:bookmarkStart w:id="11" w:name="O_252677"/>
      <w:bookmarkEnd w:id="11"/>
      <w:r w:rsidRPr="001A64FB">
        <w:t>Range Statement</w:t>
      </w:r>
    </w:p>
    <w:tbl>
      <w:tblPr>
        <w:tblW w:w="0" w:type="auto"/>
        <w:tblLayout w:type="fixed"/>
        <w:tblCellMar>
          <w:left w:w="62" w:type="dxa"/>
          <w:right w:w="62" w:type="dxa"/>
        </w:tblCellMar>
        <w:tblLook w:val="0000"/>
      </w:tblPr>
      <w:tblGrid>
        <w:gridCol w:w="3512"/>
        <w:gridCol w:w="5010"/>
      </w:tblGrid>
      <w:tr w:rsidTr="00881B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RANGE STATEMENT</w:t>
            </w:r>
          </w:p>
        </w:tc>
      </w:tr>
      <w:tr w:rsidTr="00881B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 xml:space="preserve">The range statement relates to the unit of competency as a whole. It allows for different work environments and situations that may affect </w:t>
            </w:r>
            <w:r w:rsidRPr="001A64FB">
              <w:t>performance. Bold italicised wording, if used in the performance criteria, is detailed below. Essential operating conditions that may be present with training and assessment (depending on the work situation, needs of the candidate, accessibility of the ite</w:t>
            </w:r>
            <w:r w:rsidRPr="001A64FB">
              <w:t>m, and local industry and regional contexts) may also be included.</w:t>
            </w:r>
          </w:p>
        </w:tc>
      </w:tr>
      <w:tr w:rsidTr="00881B1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Tools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t>Soldering irons (all types) and direct flame or other heating devices</w:t>
            </w:r>
          </w:p>
        </w:tc>
      </w:tr>
      <w:tr w:rsidTr="00881B1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Materials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Ferrous and non-ferrous</w:t>
            </w:r>
          </w:p>
        </w:tc>
      </w:tr>
    </w:tbl>
    <w:p w:rsidR="00881B11" w:rsidP="001A64FB">
      <w:pPr>
        <w:pStyle w:val="BodyText"/>
      </w:pPr>
    </w:p>
    <w:p w:rsidR="00881B11" w:rsidP="001A64FB">
      <w:pPr>
        <w:pStyle w:val="BodyText"/>
      </w:pPr>
    </w:p>
    <w:p w:rsidR="00000000" w:rsidRPr="001A64FB" w:rsidP="001A64FB">
      <w:pPr>
        <w:pStyle w:val="Heading1"/>
      </w:pPr>
      <w:bookmarkStart w:id="12" w:name="O_210423"/>
      <w:bookmarkEnd w:id="12"/>
      <w:r w:rsidRPr="001A64FB">
        <w:t>Unit Sector(s)</w:t>
      </w:r>
    </w:p>
    <w:tbl>
      <w:tblPr>
        <w:tblW w:w="0" w:type="auto"/>
        <w:tblLayout w:type="fixed"/>
        <w:tblCellMar>
          <w:left w:w="62" w:type="dxa"/>
          <w:right w:w="62" w:type="dxa"/>
        </w:tblCellMar>
        <w:tblLook w:val="0000"/>
      </w:tblPr>
      <w:tblGrid>
        <w:gridCol w:w="2654"/>
        <w:gridCol w:w="5868"/>
      </w:tblGrid>
      <w:tr w:rsidTr="00881B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p>
        </w:tc>
      </w:tr>
    </w:tbl>
    <w:p w:rsidR="00881B11" w:rsidP="001A64FB">
      <w:pPr>
        <w:pStyle w:val="BodyText"/>
      </w:pPr>
    </w:p>
    <w:p w:rsidR="00881B11" w:rsidP="001A64FB">
      <w:pPr>
        <w:pStyle w:val="BodyText"/>
      </w:pPr>
    </w:p>
    <w:p w:rsidR="00000000" w:rsidRPr="001A64FB" w:rsidP="001A64FB">
      <w:pPr>
        <w:pStyle w:val="Heading1"/>
      </w:pPr>
      <w:bookmarkStart w:id="13" w:name="O_210420"/>
      <w:bookmarkEnd w:id="13"/>
      <w:r w:rsidRPr="001A64FB">
        <w:t>Co-requisite units</w:t>
      </w:r>
    </w:p>
    <w:tbl>
      <w:tblPr>
        <w:tblW w:w="0" w:type="auto"/>
        <w:tblLayout w:type="fixed"/>
        <w:tblCellMar>
          <w:left w:w="62" w:type="dxa"/>
          <w:right w:w="62" w:type="dxa"/>
        </w:tblCellMar>
        <w:tblLook w:val="0000"/>
      </w:tblPr>
      <w:tblGrid>
        <w:gridCol w:w="2641"/>
        <w:gridCol w:w="1322"/>
        <w:gridCol w:w="4559"/>
      </w:tblGrid>
      <w:tr w:rsidTr="00881B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p>
        </w:tc>
      </w:tr>
      <w:tr w:rsidTr="00881B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p>
        </w:tc>
      </w:tr>
      <w:tr w:rsidTr="00881B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p>
        </w:tc>
      </w:tr>
    </w:tbl>
    <w:p w:rsidR="00881B11" w:rsidP="001A64FB">
      <w:pPr>
        <w:pStyle w:val="BodyText"/>
      </w:pPr>
    </w:p>
    <w:p w:rsidR="00881B11" w:rsidP="001A64FB">
      <w:pPr>
        <w:pStyle w:val="BodyText"/>
      </w:pPr>
    </w:p>
    <w:p w:rsidR="00000000" w:rsidRPr="001A64FB" w:rsidP="001A64FB">
      <w:pPr>
        <w:pStyle w:val="Heading1"/>
      </w:pPr>
      <w:bookmarkStart w:id="14" w:name="O_210422"/>
      <w:bookmarkEnd w:id="14"/>
      <w:r w:rsidRPr="001A64FB">
        <w:t>Competency field</w:t>
      </w:r>
    </w:p>
    <w:tbl>
      <w:tblPr>
        <w:tblW w:w="0" w:type="auto"/>
        <w:tblLayout w:type="fixed"/>
        <w:tblCellMar>
          <w:left w:w="62" w:type="dxa"/>
          <w:right w:w="62" w:type="dxa"/>
        </w:tblCellMar>
        <w:tblLook w:val="0000"/>
      </w:tblPr>
      <w:tblGrid>
        <w:gridCol w:w="2776"/>
        <w:gridCol w:w="5746"/>
      </w:tblGrid>
      <w:tr w:rsidTr="00881B1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4FB">
            <w:pPr>
              <w:pStyle w:val="BodyText"/>
              <w:rPr>
                <w:lang w:val="en-NZ"/>
              </w:rPr>
            </w:pPr>
            <w:r w:rsidRPr="001A64F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4FB" w:rsidP="001A64FB">
            <w:pPr>
              <w:pStyle w:val="BodyText"/>
            </w:pPr>
            <w:r w:rsidRPr="001A64FB">
              <w:t>Fabrication</w:t>
            </w:r>
          </w:p>
        </w:tc>
      </w:tr>
    </w:tbl>
    <w:p w:rsidR="00881B11" w:rsidP="001A64FB">
      <w:pPr>
        <w:pStyle w:val="BodyText"/>
      </w:pPr>
    </w:p>
    <w:p w:rsidR="00881B11" w:rsidP="001A64FB">
      <w:pPr>
        <w:pStyle w:val="BodyText"/>
      </w:pPr>
    </w:p>
    <w:p w:rsidR="00000000" w:rsidRPr="001A64FB" w:rsidP="001A64FB"/>
    <w:sectPr w:rsidSect="001A64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B11" w:rsidP="00881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11" w:rsidP="001A6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1B11" w:rsidP="001A64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1B11" w:rsidP="001A64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B11" w:rsidP="00881B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11" w:rsidP="001A64FB">
    <w:pPr>
      <w:pStyle w:val="Header"/>
      <w:framePr w:wrap="around"/>
    </w:pPr>
    <w:r>
      <w:fldChar w:fldCharType="begin"/>
    </w:r>
    <w:r>
      <w:instrText xml:space="preserve"> TITLE   \* MERGEFORMAT </w:instrText>
    </w:r>
    <w:r>
      <w:fldChar w:fldCharType="separate"/>
    </w:r>
    <w:r>
      <w:t>MEM05003B Perform soft soldering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B11" w:rsidP="001A64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88B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21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4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4FB"/>
    <w:pPr>
      <w:spacing w:before="360" w:after="60"/>
      <w:outlineLvl w:val="0"/>
    </w:pPr>
    <w:rPr>
      <w:sz w:val="32"/>
    </w:rPr>
  </w:style>
  <w:style w:type="paragraph" w:styleId="Heading2">
    <w:name w:val="heading 2"/>
    <w:basedOn w:val="HeadingBase"/>
    <w:next w:val="BodyText"/>
    <w:link w:val="Heading2Char"/>
    <w:qFormat/>
    <w:rsid w:val="001A64FB"/>
    <w:pPr>
      <w:keepLines/>
      <w:spacing w:before="240" w:after="120"/>
      <w:outlineLvl w:val="1"/>
    </w:pPr>
    <w:rPr>
      <w:sz w:val="28"/>
      <w:szCs w:val="40"/>
    </w:rPr>
  </w:style>
  <w:style w:type="paragraph" w:styleId="Heading3">
    <w:name w:val="heading 3"/>
    <w:basedOn w:val="HeadingBase"/>
    <w:next w:val="BodyText"/>
    <w:link w:val="Heading3Char"/>
    <w:qFormat/>
    <w:rsid w:val="001A64FB"/>
    <w:pPr>
      <w:spacing w:before="180" w:after="120"/>
      <w:outlineLvl w:val="2"/>
    </w:pPr>
    <w:rPr>
      <w:spacing w:val="-10"/>
      <w:kern w:val="32"/>
    </w:rPr>
  </w:style>
  <w:style w:type="paragraph" w:styleId="Heading4">
    <w:name w:val="heading 4"/>
    <w:basedOn w:val="HeadingBase"/>
    <w:next w:val="BodyText"/>
    <w:link w:val="Heading4Char"/>
    <w:qFormat/>
    <w:rsid w:val="001A64FB"/>
    <w:pPr>
      <w:spacing w:before="160" w:after="120"/>
      <w:outlineLvl w:val="3"/>
    </w:pPr>
    <w:rPr>
      <w:sz w:val="22"/>
    </w:rPr>
  </w:style>
  <w:style w:type="paragraph" w:styleId="Heading5">
    <w:name w:val="heading 5"/>
    <w:basedOn w:val="HeadingBase"/>
    <w:next w:val="Normal"/>
    <w:link w:val="Heading5Char"/>
    <w:qFormat/>
    <w:rsid w:val="001A64FB"/>
    <w:pPr>
      <w:spacing w:before="80"/>
      <w:outlineLvl w:val="4"/>
    </w:pPr>
    <w:rPr>
      <w:color w:val="918585"/>
      <w:sz w:val="20"/>
    </w:rPr>
  </w:style>
  <w:style w:type="paragraph" w:styleId="Heading6">
    <w:name w:val="heading 6"/>
    <w:basedOn w:val="HeadingBase"/>
    <w:next w:val="Normal"/>
    <w:link w:val="Heading6Char"/>
    <w:qFormat/>
    <w:rsid w:val="001A64FB"/>
    <w:pPr>
      <w:spacing w:before="60"/>
      <w:outlineLvl w:val="5"/>
    </w:pPr>
    <w:rPr>
      <w:color w:val="918585"/>
      <w:sz w:val="20"/>
    </w:rPr>
  </w:style>
  <w:style w:type="paragraph" w:styleId="Heading7">
    <w:name w:val="heading 7"/>
    <w:basedOn w:val="Normal"/>
    <w:next w:val="Normal"/>
    <w:link w:val="Heading7Char"/>
    <w:qFormat/>
    <w:rsid w:val="001A64FB"/>
    <w:pPr>
      <w:ind w:left="720"/>
      <w:outlineLvl w:val="6"/>
    </w:pPr>
    <w:rPr>
      <w:i/>
    </w:rPr>
  </w:style>
  <w:style w:type="paragraph" w:styleId="Heading8">
    <w:name w:val="heading 8"/>
    <w:basedOn w:val="Normal"/>
    <w:next w:val="Normal"/>
    <w:link w:val="Heading8Char"/>
    <w:qFormat/>
    <w:rsid w:val="001A64FB"/>
    <w:pPr>
      <w:ind w:left="720"/>
      <w:outlineLvl w:val="7"/>
    </w:pPr>
    <w:rPr>
      <w:i/>
    </w:rPr>
  </w:style>
  <w:style w:type="paragraph" w:styleId="Heading9">
    <w:name w:val="heading 9"/>
    <w:basedOn w:val="Normal"/>
    <w:next w:val="Normal"/>
    <w:link w:val="Heading9Char"/>
    <w:qFormat/>
    <w:rsid w:val="001A64FB"/>
    <w:pPr>
      <w:ind w:left="720"/>
      <w:outlineLvl w:val="8"/>
    </w:pPr>
    <w:rPr>
      <w:i/>
    </w:rPr>
  </w:style>
  <w:style w:type="character" w:default="1" w:styleId="DefaultParagraphFont">
    <w:name w:val="Default Paragraph Font"/>
    <w:uiPriority w:val="1"/>
    <w:unhideWhenUsed/>
    <w:rsid w:val="001A6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4FB"/>
  </w:style>
  <w:style w:type="character" w:customStyle="1" w:styleId="Heading1Char">
    <w:name w:val="Heading 1 Char"/>
    <w:link w:val="Heading1"/>
    <w:rsid w:val="001A64FB"/>
    <w:rPr>
      <w:rFonts w:ascii="Times New Roman" w:eastAsia="Times New Roman" w:hAnsi="Times New Roman" w:cs="Times New Roman"/>
      <w:b/>
      <w:sz w:val="32"/>
      <w:szCs w:val="20"/>
      <w:lang w:eastAsia="en-US"/>
    </w:rPr>
  </w:style>
  <w:style w:type="paragraph" w:styleId="BodyText">
    <w:name w:val="Body Text"/>
    <w:basedOn w:val="Normal"/>
    <w:link w:val="BodyTextChar"/>
    <w:rsid w:val="001A64FB"/>
    <w:pPr>
      <w:spacing w:before="120" w:after="120"/>
      <w:contextualSpacing/>
    </w:pPr>
    <w:rPr>
      <w:rFonts w:ascii="Times New Roman" w:hAnsi="Times New Roman"/>
      <w:sz w:val="24"/>
      <w:szCs w:val="22"/>
    </w:rPr>
  </w:style>
  <w:style w:type="character" w:customStyle="1" w:styleId="BodyTextChar">
    <w:name w:val="Body Text Char"/>
    <w:link w:val="BodyText"/>
    <w:rsid w:val="001A64FB"/>
    <w:rPr>
      <w:rFonts w:ascii="Times New Roman" w:eastAsia="Times New Roman" w:hAnsi="Times New Roman" w:cs="Times New Roman"/>
      <w:sz w:val="24"/>
      <w:lang w:val="en-US" w:eastAsia="en-US"/>
    </w:rPr>
  </w:style>
  <w:style w:type="paragraph" w:styleId="Footer">
    <w:name w:val="footer"/>
    <w:basedOn w:val="Normal"/>
    <w:link w:val="FooterChar"/>
    <w:rsid w:val="001A6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A64FB"/>
    <w:rPr>
      <w:rFonts w:ascii="Times New Roman" w:eastAsia="Times New Roman" w:hAnsi="Times New Roman" w:cs="Times New Roman"/>
      <w:sz w:val="16"/>
      <w:lang w:val="en-US" w:eastAsia="en-US"/>
    </w:rPr>
  </w:style>
  <w:style w:type="paragraph" w:styleId="List">
    <w:name w:val="List"/>
    <w:basedOn w:val="BodyText"/>
    <w:next w:val="BodyText"/>
    <w:rsid w:val="001A64FB"/>
    <w:pPr>
      <w:tabs>
        <w:tab w:val="left" w:pos="340"/>
      </w:tabs>
      <w:spacing w:before="60" w:after="60"/>
      <w:ind w:left="340" w:hanging="340"/>
    </w:pPr>
  </w:style>
  <w:style w:type="paragraph" w:styleId="ListBullet">
    <w:name w:val="List Bullet"/>
    <w:basedOn w:val="List"/>
    <w:rsid w:val="001A64FB"/>
    <w:pPr>
      <w:numPr>
        <w:numId w:val="12"/>
      </w:numPr>
      <w:tabs>
        <w:tab w:val="clear" w:pos="340"/>
      </w:tabs>
      <w:spacing w:before="40" w:after="40"/>
    </w:pPr>
  </w:style>
  <w:style w:type="character" w:customStyle="1" w:styleId="SpecialBold">
    <w:name w:val="Special Bold"/>
    <w:rsid w:val="001A64FB"/>
    <w:rPr>
      <w:b/>
      <w:spacing w:val="0"/>
    </w:rPr>
  </w:style>
  <w:style w:type="paragraph" w:styleId="Header">
    <w:name w:val="header"/>
    <w:basedOn w:val="Normal"/>
    <w:link w:val="HeaderChar"/>
    <w:rsid w:val="001A6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A64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64FB"/>
    <w:pPr>
      <w:spacing w:before="240" w:after="120"/>
      <w:outlineLvl w:val="0"/>
    </w:pPr>
    <w:rPr>
      <w:rFonts w:ascii="Times New Roman" w:hAnsi="Times New Roman"/>
      <w:b/>
      <w:sz w:val="28"/>
    </w:rPr>
  </w:style>
  <w:style w:type="paragraph" w:customStyle="1" w:styleId="AllowPageBreak">
    <w:name w:val="AllowPageBreak"/>
    <w:rsid w:val="001A64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64FB"/>
    <w:pPr>
      <w:tabs>
        <w:tab w:val="left" w:pos="680"/>
      </w:tabs>
      <w:spacing w:before="60" w:after="60"/>
      <w:ind w:left="680" w:hanging="340"/>
    </w:pPr>
  </w:style>
  <w:style w:type="character" w:customStyle="1" w:styleId="Heading2Char">
    <w:name w:val="Heading 2 Char"/>
    <w:link w:val="Heading2"/>
    <w:rsid w:val="001A64FB"/>
    <w:rPr>
      <w:rFonts w:ascii="Times New Roman" w:eastAsia="Times New Roman" w:hAnsi="Times New Roman" w:cs="Times New Roman"/>
      <w:b/>
      <w:sz w:val="28"/>
      <w:szCs w:val="40"/>
      <w:lang w:eastAsia="en-US"/>
    </w:rPr>
  </w:style>
  <w:style w:type="character" w:customStyle="1" w:styleId="Heading3Char">
    <w:name w:val="Heading 3 Char"/>
    <w:link w:val="Heading3"/>
    <w:rsid w:val="001A64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A64FB"/>
    <w:rPr>
      <w:rFonts w:ascii="Times New Roman" w:eastAsia="Times New Roman" w:hAnsi="Times New Roman" w:cs="Times New Roman"/>
      <w:b/>
      <w:szCs w:val="20"/>
      <w:lang w:eastAsia="en-US"/>
    </w:rPr>
  </w:style>
  <w:style w:type="character" w:customStyle="1" w:styleId="Heading5Char">
    <w:name w:val="Heading 5 Char"/>
    <w:link w:val="Heading5"/>
    <w:rsid w:val="001A64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A6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4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4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4FB"/>
    <w:rPr>
      <w:rFonts w:ascii="Courier New" w:eastAsia="Times New Roman" w:hAnsi="Courier New" w:cs="Times New Roman"/>
      <w:i/>
      <w:szCs w:val="20"/>
      <w:lang w:val="en-US" w:eastAsia="en-US"/>
    </w:rPr>
  </w:style>
  <w:style w:type="paragraph" w:customStyle="1" w:styleId="HeadingBase">
    <w:name w:val="Heading Base"/>
    <w:rsid w:val="001A6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4FB"/>
    <w:pPr>
      <w:tabs>
        <w:tab w:val="right" w:leader="dot" w:pos="9072"/>
      </w:tabs>
      <w:ind w:left="567"/>
    </w:pPr>
    <w:rPr>
      <w:szCs w:val="22"/>
    </w:rPr>
  </w:style>
  <w:style w:type="paragraph" w:customStyle="1" w:styleId="TOCBase">
    <w:name w:val="TOC Base"/>
    <w:rsid w:val="001A6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4FB"/>
    <w:pPr>
      <w:tabs>
        <w:tab w:val="right" w:leader="dot" w:pos="9072"/>
      </w:tabs>
      <w:spacing w:before="40" w:after="40"/>
      <w:ind w:left="284"/>
    </w:pPr>
    <w:rPr>
      <w:rFonts w:ascii="Times New Roman" w:hAnsi="Times New Roman"/>
    </w:rPr>
  </w:style>
  <w:style w:type="paragraph" w:styleId="TOC1">
    <w:name w:val="toc 1"/>
    <w:basedOn w:val="TOCBase"/>
    <w:next w:val="Normal"/>
    <w:rsid w:val="001A64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4FB"/>
    <w:pPr>
      <w:spacing w:before="5040"/>
      <w:jc w:val="center"/>
    </w:pPr>
    <w:rPr>
      <w:sz w:val="48"/>
      <w:szCs w:val="72"/>
      <w:lang w:val="en-US"/>
    </w:rPr>
  </w:style>
  <w:style w:type="character" w:customStyle="1" w:styleId="TitleChar">
    <w:name w:val="Title Char"/>
    <w:link w:val="Title"/>
    <w:rsid w:val="001A6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4FB"/>
    <w:pPr>
      <w:tabs>
        <w:tab w:val="left" w:pos="3600"/>
        <w:tab w:val="left" w:pos="3958"/>
      </w:tabs>
    </w:pPr>
  </w:style>
  <w:style w:type="paragraph" w:customStyle="1" w:styleId="Note">
    <w:name w:val="Note"/>
    <w:basedOn w:val="BodyText"/>
    <w:rsid w:val="001A6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4FB"/>
    <w:pPr>
      <w:framePr w:wrap="auto" w:hAnchor="text" w:y="6049"/>
    </w:pPr>
    <w:rPr>
      <w:color w:val="000000"/>
      <w:sz w:val="40"/>
    </w:rPr>
  </w:style>
  <w:style w:type="paragraph" w:customStyle="1" w:styleId="TOCTitle">
    <w:name w:val="TOCTitle"/>
    <w:basedOn w:val="Heading1"/>
    <w:rsid w:val="001A64FB"/>
    <w:pPr>
      <w:spacing w:after="240"/>
      <w:jc w:val="center"/>
      <w:outlineLvl w:val="9"/>
    </w:pPr>
    <w:rPr>
      <w:caps/>
    </w:rPr>
  </w:style>
  <w:style w:type="paragraph" w:customStyle="1" w:styleId="Version">
    <w:name w:val="Version"/>
    <w:rsid w:val="001A64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4FB"/>
    <w:pPr>
      <w:numPr>
        <w:numId w:val="13"/>
      </w:numPr>
      <w:tabs>
        <w:tab w:val="clear" w:pos="680"/>
      </w:tabs>
    </w:pPr>
  </w:style>
  <w:style w:type="paragraph" w:styleId="Index1">
    <w:name w:val="index 1"/>
    <w:basedOn w:val="Normal"/>
    <w:next w:val="Normal"/>
    <w:semiHidden/>
    <w:rsid w:val="001A64FB"/>
    <w:pPr>
      <w:keepNext w:val="0"/>
      <w:tabs>
        <w:tab w:val="right" w:pos="4176"/>
      </w:tabs>
      <w:ind w:left="198" w:hanging="198"/>
    </w:pPr>
    <w:rPr>
      <w:rFonts w:ascii="Garamond" w:hAnsi="Garamond"/>
    </w:rPr>
  </w:style>
  <w:style w:type="paragraph" w:styleId="IndexHeading">
    <w:name w:val="index heading"/>
    <w:basedOn w:val="Normal"/>
    <w:next w:val="Index1"/>
    <w:semiHidden/>
    <w:rsid w:val="001A64FB"/>
    <w:pPr>
      <w:spacing w:before="120" w:after="120"/>
    </w:pPr>
    <w:rPr>
      <w:rFonts w:ascii="Arial" w:hAnsi="Arial"/>
      <w:b/>
      <w:color w:val="918585"/>
      <w:sz w:val="24"/>
    </w:rPr>
  </w:style>
  <w:style w:type="paragraph" w:customStyle="1" w:styleId="Chapter">
    <w:name w:val="Chapter"/>
    <w:basedOn w:val="Normal"/>
    <w:rsid w:val="001A64FB"/>
    <w:pPr>
      <w:spacing w:before="240"/>
    </w:pPr>
    <w:rPr>
      <w:rFonts w:ascii="Times New Roman" w:hAnsi="Times New Roman"/>
      <w:smallCaps/>
      <w:spacing w:val="80"/>
      <w:sz w:val="28"/>
    </w:rPr>
  </w:style>
  <w:style w:type="paragraph" w:customStyle="1" w:styleId="InChapter">
    <w:name w:val="InChapter"/>
    <w:basedOn w:val="Heading3"/>
    <w:rsid w:val="001A64FB"/>
    <w:pPr>
      <w:spacing w:after="240"/>
      <w:outlineLvl w:val="9"/>
    </w:pPr>
    <w:rPr>
      <w:noProof/>
    </w:rPr>
  </w:style>
  <w:style w:type="paragraph" w:styleId="Index2">
    <w:name w:val="index 2"/>
    <w:basedOn w:val="Normal"/>
    <w:next w:val="Normal"/>
    <w:semiHidden/>
    <w:rsid w:val="001A64FB"/>
    <w:pPr>
      <w:tabs>
        <w:tab w:val="right" w:pos="4176"/>
      </w:tabs>
      <w:ind w:left="568" w:hanging="284"/>
    </w:pPr>
    <w:rPr>
      <w:rFonts w:ascii="Garamond" w:hAnsi="Garamond"/>
    </w:rPr>
  </w:style>
  <w:style w:type="paragraph" w:customStyle="1" w:styleId="Byline">
    <w:name w:val="Byline"/>
    <w:rsid w:val="001A6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4FB"/>
    <w:pPr>
      <w:tabs>
        <w:tab w:val="clear" w:pos="3600"/>
        <w:tab w:val="clear" w:pos="3958"/>
      </w:tabs>
      <w:jc w:val="right"/>
    </w:pPr>
  </w:style>
  <w:style w:type="character" w:styleId="Emphasis">
    <w:name w:val="Emphasis"/>
    <w:qFormat/>
    <w:rsid w:val="001A64FB"/>
    <w:rPr>
      <w:i/>
    </w:rPr>
  </w:style>
  <w:style w:type="paragraph" w:styleId="Caption">
    <w:name w:val="caption"/>
    <w:basedOn w:val="BodyText"/>
    <w:next w:val="Normal"/>
    <w:qFormat/>
    <w:rsid w:val="001A64FB"/>
    <w:pPr>
      <w:framePr w:w="2268" w:hSpace="181" w:vSpace="181" w:wrap="around" w:vAnchor="text" w:hAnchor="page" w:x="1135" w:y="285" w:anchorLock="1"/>
    </w:pPr>
    <w:rPr>
      <w:i/>
    </w:rPr>
  </w:style>
  <w:style w:type="paragraph" w:customStyle="1" w:styleId="MiniTOCTitle">
    <w:name w:val="MiniTOCTitle"/>
    <w:basedOn w:val="Heading4"/>
    <w:rsid w:val="001A64FB"/>
    <w:pPr>
      <w:spacing w:before="240"/>
      <w:outlineLvl w:val="9"/>
    </w:pPr>
    <w:rPr>
      <w:noProof/>
      <w:sz w:val="24"/>
    </w:rPr>
  </w:style>
  <w:style w:type="paragraph" w:customStyle="1" w:styleId="MiniTOCItem">
    <w:name w:val="MiniTOCItem"/>
    <w:basedOn w:val="ListBullet"/>
    <w:rsid w:val="001A64FB"/>
    <w:pPr>
      <w:numPr>
        <w:numId w:val="0"/>
      </w:numPr>
      <w:tabs>
        <w:tab w:val="right" w:leader="dot" w:pos="6521"/>
      </w:tabs>
      <w:spacing w:before="0" w:after="0"/>
    </w:pPr>
  </w:style>
  <w:style w:type="paragraph" w:customStyle="1" w:styleId="TOFTitle">
    <w:name w:val="TOFTitle"/>
    <w:basedOn w:val="TOCTitle"/>
    <w:rsid w:val="001A64FB"/>
  </w:style>
  <w:style w:type="paragraph" w:styleId="TableofFigures">
    <w:name w:val="table of figures"/>
    <w:basedOn w:val="Normal"/>
    <w:next w:val="Normal"/>
    <w:semiHidden/>
    <w:rsid w:val="001A64FB"/>
    <w:pPr>
      <w:tabs>
        <w:tab w:val="right" w:leader="dot" w:pos="9072"/>
      </w:tabs>
      <w:ind w:left="970" w:hanging="403"/>
    </w:pPr>
    <w:rPr>
      <w:rFonts w:ascii="Times New Roman" w:hAnsi="Times New Roman"/>
      <w:b/>
    </w:rPr>
  </w:style>
  <w:style w:type="paragraph" w:styleId="ListNumber">
    <w:name w:val="List Number"/>
    <w:basedOn w:val="List"/>
    <w:rsid w:val="001A64FB"/>
    <w:pPr>
      <w:numPr>
        <w:numId w:val="10"/>
      </w:numPr>
    </w:pPr>
  </w:style>
  <w:style w:type="character" w:customStyle="1" w:styleId="WingdingSymbols">
    <w:name w:val="Wingding Symbols"/>
    <w:rsid w:val="001A64FB"/>
    <w:rPr>
      <w:rFonts w:ascii="Wingdings" w:hAnsi="Wingdings"/>
    </w:rPr>
  </w:style>
  <w:style w:type="paragraph" w:customStyle="1" w:styleId="TableHeading">
    <w:name w:val="Table Heading"/>
    <w:basedOn w:val="HeadingBase"/>
    <w:rsid w:val="001A64FB"/>
    <w:pPr>
      <w:keepLines/>
      <w:pBdr>
        <w:bottom w:val="single" w:sz="6" w:space="1" w:color="918585"/>
      </w:pBdr>
      <w:spacing w:before="240"/>
    </w:pPr>
  </w:style>
  <w:style w:type="character" w:customStyle="1" w:styleId="HotSpot">
    <w:name w:val="HotSpot"/>
    <w:rsid w:val="001A64FB"/>
    <w:rPr>
      <w:color w:val="0033CC"/>
      <w:u w:val="none"/>
    </w:rPr>
  </w:style>
  <w:style w:type="paragraph" w:customStyle="1" w:styleId="BodyTextRight">
    <w:name w:val="Body Text Right"/>
    <w:basedOn w:val="BodyText"/>
    <w:rsid w:val="001A64FB"/>
    <w:pPr>
      <w:spacing w:before="0" w:after="0"/>
      <w:jc w:val="right"/>
    </w:pPr>
  </w:style>
  <w:style w:type="paragraph" w:styleId="Index3">
    <w:name w:val="index 3"/>
    <w:basedOn w:val="ListNumber2"/>
    <w:next w:val="Normal"/>
    <w:semiHidden/>
    <w:rsid w:val="001A64FB"/>
    <w:pPr>
      <w:numPr>
        <w:numId w:val="0"/>
      </w:numPr>
      <w:tabs>
        <w:tab w:val="right" w:leader="dot" w:pos="4176"/>
      </w:tabs>
    </w:pPr>
  </w:style>
  <w:style w:type="paragraph" w:styleId="ListNumber2">
    <w:name w:val="List Number 2"/>
    <w:basedOn w:val="List2"/>
    <w:rsid w:val="001A64FB"/>
    <w:pPr>
      <w:numPr>
        <w:numId w:val="9"/>
      </w:numPr>
      <w:tabs>
        <w:tab w:val="clear" w:pos="1060"/>
      </w:tabs>
    </w:pPr>
  </w:style>
  <w:style w:type="paragraph" w:customStyle="1" w:styleId="MarginNote">
    <w:name w:val="Margin Note"/>
    <w:basedOn w:val="BodyText"/>
    <w:rsid w:val="001A6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A64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4FB"/>
    <w:rPr>
      <w:sz w:val="32"/>
    </w:rPr>
  </w:style>
  <w:style w:type="paragraph" w:customStyle="1" w:styleId="HeadingProcedure">
    <w:name w:val="Heading Procedure"/>
    <w:basedOn w:val="HeadingBase"/>
    <w:next w:val="Normal"/>
    <w:rsid w:val="001A64FB"/>
    <w:pPr>
      <w:tabs>
        <w:tab w:val="left" w:pos="0"/>
      </w:tabs>
      <w:spacing w:before="120" w:after="60"/>
    </w:pPr>
    <w:rPr>
      <w:i/>
      <w:color w:val="918585"/>
      <w:sz w:val="22"/>
    </w:rPr>
  </w:style>
  <w:style w:type="paragraph" w:customStyle="1" w:styleId="TableBodyText">
    <w:name w:val="Table Body Text"/>
    <w:basedOn w:val="BodyText"/>
    <w:rsid w:val="001A64FB"/>
    <w:pPr>
      <w:spacing w:before="60" w:after="60"/>
    </w:pPr>
  </w:style>
  <w:style w:type="paragraph" w:styleId="ListContinue">
    <w:name w:val="List Continue"/>
    <w:basedOn w:val="List"/>
    <w:rsid w:val="001A64FB"/>
    <w:pPr>
      <w:ind w:firstLine="0"/>
    </w:pPr>
  </w:style>
  <w:style w:type="paragraph" w:customStyle="1" w:styleId="ListNote">
    <w:name w:val="List Note"/>
    <w:basedOn w:val="List"/>
    <w:rsid w:val="001A64FB"/>
    <w:pPr>
      <w:pBdr>
        <w:top w:val="single" w:sz="6" w:space="2" w:color="918585"/>
        <w:bottom w:val="single" w:sz="6" w:space="2" w:color="918585"/>
      </w:pBdr>
      <w:tabs>
        <w:tab w:val="left" w:pos="1021"/>
      </w:tabs>
      <w:ind w:firstLine="0"/>
    </w:pPr>
  </w:style>
  <w:style w:type="paragraph" w:customStyle="1" w:styleId="Warning">
    <w:name w:val="Warning"/>
    <w:basedOn w:val="BodyText"/>
    <w:rsid w:val="001A64FB"/>
    <w:pPr>
      <w:shd w:val="clear" w:color="auto" w:fill="D9D9D9"/>
      <w:tabs>
        <w:tab w:val="left" w:pos="992"/>
      </w:tabs>
      <w:ind w:left="119" w:right="119"/>
    </w:pPr>
    <w:rPr>
      <w:sz w:val="20"/>
    </w:rPr>
  </w:style>
  <w:style w:type="paragraph" w:customStyle="1" w:styleId="MarginIcons">
    <w:name w:val="Margin Icons"/>
    <w:basedOn w:val="BodyText"/>
    <w:rsid w:val="001A64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A64FB"/>
    <w:rPr>
      <w:rFonts w:ascii="Courier New" w:hAnsi="Courier New"/>
    </w:rPr>
  </w:style>
  <w:style w:type="paragraph" w:customStyle="1" w:styleId="NoteBullet">
    <w:name w:val="Note Bullet"/>
    <w:basedOn w:val="Note"/>
    <w:rsid w:val="001A64FB"/>
    <w:pPr>
      <w:tabs>
        <w:tab w:val="clear" w:pos="680"/>
      </w:tabs>
      <w:spacing w:before="60" w:after="60"/>
    </w:pPr>
  </w:style>
  <w:style w:type="paragraph" w:customStyle="1" w:styleId="SubHeading2">
    <w:name w:val="SubHeading2"/>
    <w:basedOn w:val="HeadingBase"/>
    <w:rsid w:val="001A64FB"/>
    <w:pPr>
      <w:spacing w:before="240" w:after="60"/>
    </w:pPr>
    <w:rPr>
      <w:sz w:val="20"/>
    </w:rPr>
  </w:style>
  <w:style w:type="paragraph" w:customStyle="1" w:styleId="SubHeading1">
    <w:name w:val="SubHeading1"/>
    <w:basedOn w:val="HeadingBase"/>
    <w:rsid w:val="001A64FB"/>
    <w:pPr>
      <w:spacing w:before="240" w:after="60"/>
    </w:pPr>
    <w:rPr>
      <w:color w:val="918585"/>
      <w:sz w:val="22"/>
    </w:rPr>
  </w:style>
  <w:style w:type="paragraph" w:customStyle="1" w:styleId="SideHeading">
    <w:name w:val="Side Heading"/>
    <w:basedOn w:val="HeadingBase"/>
    <w:rsid w:val="001A6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4FB"/>
    <w:pPr>
      <w:tabs>
        <w:tab w:val="num" w:pos="360"/>
      </w:tabs>
    </w:pPr>
  </w:style>
  <w:style w:type="paragraph" w:styleId="PlainText">
    <w:name w:val="Plain Text"/>
    <w:basedOn w:val="Normal"/>
    <w:link w:val="PlainTextChar"/>
    <w:rsid w:val="001A64FB"/>
    <w:rPr>
      <w:sz w:val="20"/>
    </w:rPr>
  </w:style>
  <w:style w:type="character" w:customStyle="1" w:styleId="PlainTextChar">
    <w:name w:val="Plain Text Char"/>
    <w:basedOn w:val="DefaultParagraphFont"/>
    <w:link w:val="PlainText"/>
    <w:rsid w:val="001A64FB"/>
    <w:rPr>
      <w:rFonts w:ascii="Courier New" w:eastAsia="Times New Roman" w:hAnsi="Courier New" w:cs="Times New Roman"/>
      <w:sz w:val="20"/>
      <w:szCs w:val="20"/>
      <w:lang w:val="en-US" w:eastAsia="en-US"/>
    </w:rPr>
  </w:style>
  <w:style w:type="character" w:customStyle="1" w:styleId="MenuOption">
    <w:name w:val="Menu Option"/>
    <w:rsid w:val="001A64FB"/>
    <w:rPr>
      <w:b/>
      <w:smallCaps/>
    </w:rPr>
  </w:style>
  <w:style w:type="paragraph" w:customStyle="1" w:styleId="TableListNumber">
    <w:name w:val="Table List Number"/>
    <w:basedOn w:val="ListNumber"/>
    <w:rsid w:val="001A64FB"/>
    <w:pPr>
      <w:numPr>
        <w:numId w:val="0"/>
      </w:numPr>
    </w:pPr>
  </w:style>
  <w:style w:type="paragraph" w:styleId="TOC4">
    <w:name w:val="toc 4"/>
    <w:basedOn w:val="TOCBase"/>
    <w:next w:val="Normal"/>
    <w:semiHidden/>
    <w:rsid w:val="001A64FB"/>
    <w:pPr>
      <w:tabs>
        <w:tab w:val="right" w:leader="dot" w:pos="9071"/>
      </w:tabs>
      <w:ind w:left="1701"/>
    </w:pPr>
  </w:style>
  <w:style w:type="paragraph" w:customStyle="1" w:styleId="ListAlpha">
    <w:name w:val="List Alpha"/>
    <w:basedOn w:val="List"/>
    <w:rsid w:val="001A64FB"/>
    <w:pPr>
      <w:numPr>
        <w:numId w:val="8"/>
      </w:numPr>
    </w:pPr>
  </w:style>
  <w:style w:type="paragraph" w:customStyle="1" w:styleId="ListAlpha2">
    <w:name w:val="List Alpha 2"/>
    <w:basedOn w:val="List2"/>
    <w:rsid w:val="001A64FB"/>
    <w:pPr>
      <w:numPr>
        <w:numId w:val="7"/>
      </w:numPr>
    </w:pPr>
  </w:style>
  <w:style w:type="paragraph" w:styleId="List3">
    <w:name w:val="List 3"/>
    <w:basedOn w:val="BodyText"/>
    <w:rsid w:val="001A64FB"/>
    <w:pPr>
      <w:tabs>
        <w:tab w:val="left" w:pos="1021"/>
      </w:tabs>
      <w:spacing w:before="60" w:after="60"/>
      <w:ind w:left="1020" w:hanging="340"/>
    </w:pPr>
  </w:style>
  <w:style w:type="paragraph" w:styleId="List4">
    <w:name w:val="List 4"/>
    <w:basedOn w:val="BodyText"/>
    <w:rsid w:val="001A64FB"/>
    <w:pPr>
      <w:tabs>
        <w:tab w:val="left" w:pos="1361"/>
      </w:tabs>
      <w:spacing w:before="60" w:after="60"/>
      <w:ind w:left="1361" w:hanging="340"/>
    </w:pPr>
  </w:style>
  <w:style w:type="paragraph" w:styleId="List5">
    <w:name w:val="List 5"/>
    <w:basedOn w:val="BodyText"/>
    <w:rsid w:val="001A64FB"/>
    <w:pPr>
      <w:tabs>
        <w:tab w:val="left" w:pos="1701"/>
      </w:tabs>
      <w:spacing w:before="60" w:after="60"/>
      <w:ind w:left="1701" w:hanging="340"/>
    </w:pPr>
  </w:style>
  <w:style w:type="paragraph" w:styleId="ListBullet3">
    <w:name w:val="List Bullet 3"/>
    <w:basedOn w:val="List3"/>
    <w:rsid w:val="001A64FB"/>
    <w:pPr>
      <w:numPr>
        <w:numId w:val="14"/>
      </w:numPr>
      <w:tabs>
        <w:tab w:val="clear" w:pos="1021"/>
      </w:tabs>
      <w:ind w:left="1037" w:hanging="357"/>
    </w:pPr>
  </w:style>
  <w:style w:type="paragraph" w:styleId="ListBullet4">
    <w:name w:val="List Bullet 4"/>
    <w:basedOn w:val="List4"/>
    <w:rsid w:val="001A64FB"/>
    <w:pPr>
      <w:numPr>
        <w:numId w:val="2"/>
      </w:numPr>
    </w:pPr>
  </w:style>
  <w:style w:type="paragraph" w:styleId="ListBullet5">
    <w:name w:val="List Bullet 5"/>
    <w:basedOn w:val="List5"/>
    <w:rsid w:val="001A64FB"/>
    <w:pPr>
      <w:numPr>
        <w:numId w:val="3"/>
      </w:numPr>
    </w:pPr>
  </w:style>
  <w:style w:type="paragraph" w:styleId="ListContinue2">
    <w:name w:val="List Continue 2"/>
    <w:basedOn w:val="List2"/>
    <w:rsid w:val="001A64FB"/>
    <w:pPr>
      <w:ind w:firstLine="0"/>
    </w:pPr>
  </w:style>
  <w:style w:type="paragraph" w:styleId="ListContinue3">
    <w:name w:val="List Continue 3"/>
    <w:basedOn w:val="List3"/>
    <w:rsid w:val="001A64FB"/>
    <w:pPr>
      <w:ind w:left="1021" w:firstLine="0"/>
    </w:pPr>
  </w:style>
  <w:style w:type="paragraph" w:styleId="ListContinue4">
    <w:name w:val="List Continue 4"/>
    <w:basedOn w:val="List4"/>
    <w:rsid w:val="001A64FB"/>
    <w:pPr>
      <w:ind w:firstLine="0"/>
    </w:pPr>
  </w:style>
  <w:style w:type="paragraph" w:styleId="ListContinue5">
    <w:name w:val="List Continue 5"/>
    <w:basedOn w:val="List5"/>
    <w:rsid w:val="001A64FB"/>
    <w:pPr>
      <w:ind w:firstLine="0"/>
    </w:pPr>
  </w:style>
  <w:style w:type="paragraph" w:styleId="ListNumber3">
    <w:name w:val="List Number 3"/>
    <w:basedOn w:val="List3"/>
    <w:rsid w:val="001A64FB"/>
    <w:pPr>
      <w:numPr>
        <w:numId w:val="4"/>
      </w:numPr>
    </w:pPr>
  </w:style>
  <w:style w:type="paragraph" w:styleId="ListNumber4">
    <w:name w:val="List Number 4"/>
    <w:basedOn w:val="List4"/>
    <w:rsid w:val="001A64FB"/>
    <w:pPr>
      <w:numPr>
        <w:numId w:val="5"/>
      </w:numPr>
    </w:pPr>
  </w:style>
  <w:style w:type="paragraph" w:styleId="ListNumber5">
    <w:name w:val="List Number 5"/>
    <w:basedOn w:val="List5"/>
    <w:rsid w:val="001A64FB"/>
    <w:pPr>
      <w:numPr>
        <w:numId w:val="6"/>
      </w:numPr>
    </w:pPr>
  </w:style>
  <w:style w:type="paragraph" w:styleId="BlockText">
    <w:name w:val="Block Text"/>
    <w:basedOn w:val="Normal"/>
    <w:rsid w:val="001A64FB"/>
    <w:pPr>
      <w:spacing w:after="120"/>
      <w:ind w:left="1440" w:right="1440"/>
    </w:pPr>
  </w:style>
  <w:style w:type="character" w:customStyle="1" w:styleId="Subscript">
    <w:name w:val="Subscript"/>
    <w:rsid w:val="001A64FB"/>
    <w:rPr>
      <w:sz w:val="16"/>
      <w:vertAlign w:val="subscript"/>
    </w:rPr>
  </w:style>
  <w:style w:type="character" w:customStyle="1" w:styleId="Superscript">
    <w:name w:val="Superscript"/>
    <w:rsid w:val="001A64FB"/>
    <w:rPr>
      <w:sz w:val="16"/>
      <w:vertAlign w:val="superscript"/>
    </w:rPr>
  </w:style>
  <w:style w:type="character" w:customStyle="1" w:styleId="Symbols">
    <w:name w:val="Symbols"/>
    <w:rsid w:val="001A64FB"/>
    <w:rPr>
      <w:rFonts w:ascii="Symbol" w:hAnsi="Symbol"/>
    </w:rPr>
  </w:style>
  <w:style w:type="character" w:customStyle="1" w:styleId="MenuOptions">
    <w:name w:val="Menu Options"/>
    <w:rsid w:val="001A64FB"/>
    <w:rPr>
      <w:rFonts w:ascii="Arial Narrow" w:hAnsi="Arial Narrow"/>
      <w:smallCaps/>
    </w:rPr>
  </w:style>
  <w:style w:type="character" w:customStyle="1" w:styleId="Buttons">
    <w:name w:val="Buttons"/>
    <w:rsid w:val="001A64FB"/>
    <w:rPr>
      <w:b/>
    </w:rPr>
  </w:style>
  <w:style w:type="character" w:customStyle="1" w:styleId="Underlined">
    <w:name w:val="Underlined"/>
    <w:rsid w:val="001A64FB"/>
    <w:rPr>
      <w:u w:val="single"/>
    </w:rPr>
  </w:style>
  <w:style w:type="paragraph" w:customStyle="1" w:styleId="TableBodyTextRight">
    <w:name w:val="Table Body Text Right"/>
    <w:basedOn w:val="TableBodyText"/>
    <w:rsid w:val="001A64FB"/>
    <w:pPr>
      <w:widowControl w:val="0"/>
      <w:autoSpaceDE w:val="0"/>
      <w:autoSpaceDN w:val="0"/>
      <w:adjustRightInd w:val="0"/>
      <w:jc w:val="right"/>
    </w:pPr>
    <w:rPr>
      <w:rFonts w:cs="Arial"/>
      <w:szCs w:val="18"/>
    </w:rPr>
  </w:style>
  <w:style w:type="paragraph" w:customStyle="1" w:styleId="CopyrightText">
    <w:name w:val="Copyright Text"/>
    <w:basedOn w:val="BodyText"/>
    <w:rsid w:val="001A64FB"/>
    <w:rPr>
      <w:sz w:val="18"/>
    </w:rPr>
  </w:style>
  <w:style w:type="paragraph" w:customStyle="1" w:styleId="BodySmallRight">
    <w:name w:val="Body Small Right"/>
    <w:basedOn w:val="BodyTextRight"/>
    <w:rsid w:val="001A64FB"/>
    <w:rPr>
      <w:sz w:val="18"/>
      <w:szCs w:val="18"/>
    </w:rPr>
  </w:style>
  <w:style w:type="paragraph" w:customStyle="1" w:styleId="MarginEdition">
    <w:name w:val="Margin Edition"/>
    <w:basedOn w:val="MarginNote"/>
    <w:rsid w:val="001A64FB"/>
    <w:pPr>
      <w:spacing w:before="0" w:after="0"/>
    </w:pPr>
    <w:rPr>
      <w:rFonts w:ascii="Times New Roman" w:hAnsi="Times New Roman"/>
      <w:color w:val="999999"/>
    </w:rPr>
  </w:style>
  <w:style w:type="paragraph" w:customStyle="1" w:styleId="Spacer">
    <w:name w:val="Spacer"/>
    <w:basedOn w:val="Normal"/>
    <w:rsid w:val="001A64FB"/>
    <w:rPr>
      <w:sz w:val="2"/>
      <w:szCs w:val="2"/>
    </w:rPr>
  </w:style>
  <w:style w:type="character" w:customStyle="1" w:styleId="Small">
    <w:name w:val="Small"/>
    <w:rsid w:val="001A64FB"/>
    <w:rPr>
      <w:sz w:val="16"/>
    </w:rPr>
  </w:style>
  <w:style w:type="paragraph" w:customStyle="1" w:styleId="WideTable">
    <w:name w:val="Wide Table"/>
    <w:basedOn w:val="Normal"/>
    <w:rsid w:val="001A64FB"/>
    <w:pPr>
      <w:ind w:left="-1418"/>
    </w:pPr>
    <w:rPr>
      <w:sz w:val="2"/>
      <w:szCs w:val="2"/>
    </w:rPr>
  </w:style>
  <w:style w:type="character" w:styleId="PageNumber">
    <w:name w:val="page number"/>
    <w:rsid w:val="001A64FB"/>
  </w:style>
  <w:style w:type="paragraph" w:styleId="Quote">
    <w:name w:val="Quote"/>
    <w:basedOn w:val="Heading1"/>
    <w:link w:val="QuoteChar"/>
    <w:qFormat/>
    <w:rsid w:val="001A64FB"/>
    <w:rPr>
      <w:b w:val="0"/>
      <w:sz w:val="72"/>
      <w:szCs w:val="72"/>
      <w:lang w:val="en-NZ"/>
    </w:rPr>
  </w:style>
  <w:style w:type="character" w:customStyle="1" w:styleId="QuoteChar">
    <w:name w:val="Quote Char"/>
    <w:link w:val="Quote"/>
    <w:rsid w:val="001A6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4FB"/>
    <w:pPr>
      <w:pageBreakBefore/>
    </w:pPr>
  </w:style>
  <w:style w:type="paragraph" w:customStyle="1" w:styleId="Border">
    <w:name w:val="Border"/>
    <w:basedOn w:val="Normal"/>
    <w:qFormat/>
    <w:rsid w:val="001A64FB"/>
    <w:pPr>
      <w:pBdr>
        <w:top w:val="single" w:sz="18" w:space="1" w:color="auto"/>
      </w:pBdr>
    </w:pPr>
    <w:rPr>
      <w:rFonts w:ascii="Times New Roman" w:hAnsi="Times New Roman"/>
      <w:color w:val="FFFFFF"/>
      <w:sz w:val="2"/>
    </w:rPr>
  </w:style>
  <w:style w:type="character" w:styleId="IntenseEmphasis">
    <w:name w:val="Intense Emphasis"/>
    <w:uiPriority w:val="21"/>
    <w:qFormat/>
    <w:rsid w:val="001A64FB"/>
    <w:rPr>
      <w:b/>
      <w:bCs/>
      <w:i/>
      <w:iCs/>
      <w:color w:val="auto"/>
    </w:rPr>
  </w:style>
  <w:style w:type="paragraph" w:styleId="IntenseQuote">
    <w:name w:val="Intense Quote"/>
    <w:basedOn w:val="Normal"/>
    <w:next w:val="Normal"/>
    <w:link w:val="IntenseQuoteChar"/>
    <w:uiPriority w:val="30"/>
    <w:qFormat/>
    <w:rsid w:val="001A64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A64FB"/>
    <w:rPr>
      <w:rFonts w:ascii="Courier New" w:eastAsia="Times New Roman" w:hAnsi="Courier New" w:cs="Times New Roman"/>
      <w:b/>
      <w:bCs/>
      <w:i/>
      <w:iCs/>
      <w:szCs w:val="20"/>
      <w:lang w:val="en-US" w:eastAsia="en-US"/>
    </w:rPr>
  </w:style>
  <w:style w:type="character" w:styleId="SubtleReference">
    <w:name w:val="Subtle Reference"/>
    <w:uiPriority w:val="31"/>
    <w:qFormat/>
    <w:rsid w:val="001A64FB"/>
    <w:rPr>
      <w:smallCaps/>
      <w:color w:val="auto"/>
      <w:u w:val="single"/>
    </w:rPr>
  </w:style>
  <w:style w:type="character" w:styleId="IntenseReference">
    <w:name w:val="Intense Reference"/>
    <w:uiPriority w:val="32"/>
    <w:qFormat/>
    <w:rsid w:val="001A64FB"/>
    <w:rPr>
      <w:b/>
      <w:bCs/>
      <w:smallCaps/>
      <w:color w:val="auto"/>
      <w:spacing w:val="5"/>
      <w:u w:val="single"/>
    </w:rPr>
  </w:style>
  <w:style w:type="paragraph" w:customStyle="1" w:styleId="2ColumnHeading">
    <w:name w:val="2Column Heading"/>
    <w:basedOn w:val="BodyText"/>
    <w:qFormat/>
    <w:rsid w:val="001A64FB"/>
    <w:pPr>
      <w:spacing w:after="60"/>
      <w:ind w:left="-2268"/>
    </w:pPr>
    <w:rPr>
      <w:b/>
    </w:rPr>
  </w:style>
  <w:style w:type="paragraph" w:customStyle="1" w:styleId="Heading1TOC">
    <w:name w:val="Heading1 TOC"/>
    <w:basedOn w:val="Normal"/>
    <w:qFormat/>
    <w:rsid w:val="001A64FB"/>
    <w:pPr>
      <w:spacing w:before="240" w:after="120"/>
    </w:pPr>
    <w:rPr>
      <w:rFonts w:ascii="Times New Roman" w:hAnsi="Times New Roman"/>
      <w:b/>
      <w:sz w:val="32"/>
    </w:rPr>
  </w:style>
  <w:style w:type="paragraph" w:customStyle="1" w:styleId="Heading2TOC">
    <w:name w:val="Heading2 TOC"/>
    <w:basedOn w:val="Normal"/>
    <w:qFormat/>
    <w:rsid w:val="001A64FB"/>
    <w:pPr>
      <w:spacing w:before="240" w:after="60"/>
    </w:pPr>
    <w:rPr>
      <w:rFonts w:ascii="Times New Roman" w:hAnsi="Times New Roman"/>
      <w:b/>
      <w:sz w:val="28"/>
    </w:rPr>
  </w:style>
  <w:style w:type="character" w:customStyle="1" w:styleId="Underline">
    <w:name w:val="Underline"/>
    <w:qFormat/>
    <w:rsid w:val="001A64FB"/>
    <w:rPr>
      <w:u w:val="single"/>
    </w:rPr>
  </w:style>
  <w:style w:type="character" w:customStyle="1" w:styleId="BoldandItalics">
    <w:name w:val="Bold and Italics"/>
    <w:qFormat/>
    <w:rsid w:val="001A64FB"/>
    <w:rPr>
      <w:b/>
      <w:i/>
      <w:u w:val="none"/>
    </w:rPr>
  </w:style>
  <w:style w:type="paragraph" w:styleId="BalloonText">
    <w:name w:val="Balloon Text"/>
    <w:basedOn w:val="Normal"/>
    <w:link w:val="BalloonTextChar"/>
    <w:rsid w:val="001A64FB"/>
    <w:rPr>
      <w:rFonts w:ascii="Tahoma" w:hAnsi="Tahoma" w:cs="Tahoma"/>
      <w:sz w:val="16"/>
      <w:szCs w:val="16"/>
    </w:rPr>
  </w:style>
  <w:style w:type="character" w:customStyle="1" w:styleId="BalloonTextChar">
    <w:name w:val="Balloon Text Char"/>
    <w:link w:val="BalloonText"/>
    <w:rsid w:val="001A64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4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A64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873</Words>
  <Characters>5286</Characters>
  <Application>Microsoft Office Word</Application>
  <DocSecurity>0</DocSecurity>
  <Lines>199</Lines>
  <Paragraphs>79</Paragraphs>
  <ScaleCrop>false</ScaleCrop>
  <Company>Author-it Software Corporation Ltd.</Company>
  <LinksUpToDate>false</LinksUpToDate>
  <CharactersWithSpaces>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MEM05003B Perform soft soldering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2012-05-27T01:28:00Z</dcterms:created>
  <dcterms:modified xsi:type="dcterms:W3CDTF">2012-05-27T01:28:00Z</dcterms:modified>
</cp:coreProperties>
</file>