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063" w:rsidP="00D90063">
      <w:pPr>
        <w:pStyle w:val="Title"/>
      </w:pPr>
      <w:r>
        <w:fldChar w:fldCharType="begin"/>
      </w:r>
      <w:r>
        <w:instrText xml:space="preserve"> TITLE   \* MERGEFORMAT </w:instrText>
      </w:r>
      <w:r>
        <w:fldChar w:fldCharType="separate"/>
      </w:r>
      <w:r>
        <w:t>MEM04022A Examine appropriateness of methoding for mould design</w:t>
      </w:r>
      <w:r>
        <w:fldChar w:fldCharType="end"/>
      </w:r>
    </w:p>
    <w:p w:rsidR="00D90063" w:rsidP="00D90063">
      <w:pPr>
        <w:pStyle w:val="Version"/>
        <w:sectPr w:rsidSect="00085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B19" w:rsidP="00085B19">
      <w:pPr>
        <w:pStyle w:val="SuperHeading"/>
      </w:pPr>
      <w:r w:rsidRPr="00085B19">
        <w:t>MEM04022A Examine appropriateness of methoding for mould design</w:t>
      </w:r>
    </w:p>
    <w:p w:rsidR="00000000" w:rsidRPr="00085B19" w:rsidP="00085B19">
      <w:pPr>
        <w:pStyle w:val="Heading1"/>
      </w:pPr>
      <w:bookmarkStart w:id="1" w:name="O_271993"/>
      <w:bookmarkEnd w:id="1"/>
      <w:r w:rsidRPr="00085B19">
        <w:t>Modification History</w:t>
      </w:r>
    </w:p>
    <w:p w:rsidR="00000000" w:rsidRPr="00085B19" w:rsidP="00085B19">
      <w:pPr>
        <w:pStyle w:val="BodyText"/>
      </w:pPr>
      <w:r w:rsidRPr="00085B19">
        <w:t>Not Applicable</w:t>
      </w:r>
    </w:p>
    <w:p w:rsidR="00000000" w:rsidRPr="00085B19" w:rsidP="00085B19">
      <w:pPr>
        <w:pStyle w:val="AllowPageBreak"/>
      </w:pPr>
    </w:p>
    <w:p w:rsidR="00000000" w:rsidRPr="00085B19" w:rsidP="00085B19">
      <w:pPr>
        <w:pStyle w:val="Heading1"/>
      </w:pPr>
      <w:bookmarkStart w:id="2" w:name="O_210389"/>
      <w:bookmarkEnd w:id="2"/>
      <w:r w:rsidRPr="00085B19">
        <w:t>Unit Descriptor</w:t>
      </w:r>
    </w:p>
    <w:tbl>
      <w:tblPr>
        <w:tblW w:w="0" w:type="auto"/>
        <w:tblLayout w:type="fixed"/>
        <w:tblCellMar>
          <w:left w:w="62" w:type="dxa"/>
          <w:right w:w="62" w:type="dxa"/>
        </w:tblCellMar>
        <w:tblLook w:val="0000"/>
      </w:tblPr>
      <w:tblGrid>
        <w:gridCol w:w="2670"/>
        <w:gridCol w:w="5852"/>
      </w:tblGrid>
      <w:tr w:rsidTr="00D9006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This unit of competency covers the skills and knowledge required to examine the methodi</w:t>
            </w:r>
            <w:r w:rsidRPr="00085B19">
              <w:t>ng (gating, running and feeding of castings) for mould designs using basic metallurgical techniques and skills.</w:t>
            </w:r>
          </w:p>
        </w:tc>
      </w:tr>
    </w:tbl>
    <w:p w:rsidR="00D90063" w:rsidP="00085B19">
      <w:pPr>
        <w:pStyle w:val="BodyText"/>
      </w:pPr>
    </w:p>
    <w:p w:rsidR="00D90063" w:rsidP="00085B19">
      <w:pPr>
        <w:pStyle w:val="BodyText"/>
      </w:pPr>
    </w:p>
    <w:p w:rsidR="00000000" w:rsidRPr="00085B19" w:rsidP="00085B19">
      <w:pPr>
        <w:pStyle w:val="Heading1"/>
      </w:pPr>
      <w:bookmarkStart w:id="3" w:name="O_210393"/>
      <w:bookmarkEnd w:id="3"/>
      <w:r w:rsidRPr="00085B19">
        <w:t>Application of the Unit</w:t>
      </w:r>
    </w:p>
    <w:tbl>
      <w:tblPr>
        <w:tblW w:w="0" w:type="auto"/>
        <w:tblLayout w:type="fixed"/>
        <w:tblCellMar>
          <w:left w:w="62" w:type="dxa"/>
          <w:right w:w="62" w:type="dxa"/>
        </w:tblCellMar>
        <w:tblLook w:val="0000"/>
      </w:tblPr>
      <w:tblGrid>
        <w:gridCol w:w="2745"/>
        <w:gridCol w:w="5777"/>
      </w:tblGrid>
      <w:tr w:rsidTr="00D9006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This unit of competency applies to a foundry tradesperson who has to examine the appropriateness of own or others methoding for a mould design using basic metallurgical skills and techniques supported by normal empirical trade skills. Work is performed und</w:t>
            </w:r>
            <w:r w:rsidRPr="00085B19">
              <w:t>er the general supervision of a metallurgist.</w:t>
            </w:r>
          </w:p>
          <w:p w:rsidR="00000000" w:rsidRPr="00085B19" w:rsidP="00085B19">
            <w:pPr>
              <w:pStyle w:val="BodyText"/>
            </w:pPr>
          </w:p>
          <w:p w:rsidR="00000000" w:rsidRPr="00085B19" w:rsidP="00085B19">
            <w:pPr>
              <w:pStyle w:val="BodyText"/>
            </w:pPr>
            <w:r w:rsidRPr="00085B19">
              <w:rPr>
                <w:rStyle w:val="SpecialBold"/>
              </w:rPr>
              <w:t>Band</w:t>
            </w:r>
            <w:r w:rsidRPr="00085B19">
              <w:t>:</w:t>
            </w:r>
            <w:r w:rsidRPr="00085B19">
              <w:tab/>
            </w:r>
            <w:r w:rsidRPr="00085B19">
              <w:rPr>
                <w:rStyle w:val="SpecialBold"/>
              </w:rPr>
              <w:t>B</w:t>
            </w:r>
          </w:p>
          <w:p w:rsidR="00000000" w:rsidRPr="00085B19" w:rsidP="00085B19">
            <w:pPr>
              <w:pStyle w:val="BodyText"/>
            </w:pPr>
            <w:r w:rsidRPr="00085B19">
              <w:rPr>
                <w:rStyle w:val="SpecialBold"/>
              </w:rPr>
              <w:t>Unit Weight</w:t>
            </w:r>
            <w:r w:rsidRPr="00085B19">
              <w:t>:</w:t>
            </w:r>
            <w:r w:rsidRPr="00085B19">
              <w:tab/>
            </w:r>
            <w:r w:rsidRPr="00085B19">
              <w:rPr>
                <w:rStyle w:val="SpecialBold"/>
              </w:rPr>
              <w:t>4</w:t>
            </w:r>
          </w:p>
        </w:tc>
      </w:tr>
    </w:tbl>
    <w:p w:rsidR="00D90063" w:rsidP="00085B19">
      <w:pPr>
        <w:pStyle w:val="BodyText"/>
      </w:pPr>
    </w:p>
    <w:p w:rsidR="00D90063" w:rsidP="00085B19">
      <w:pPr>
        <w:pStyle w:val="BodyText"/>
      </w:pPr>
    </w:p>
    <w:p w:rsidR="00000000" w:rsidRPr="00085B19" w:rsidP="00085B19">
      <w:pPr>
        <w:pStyle w:val="Heading1"/>
      </w:pPr>
      <w:bookmarkStart w:id="4" w:name="O_280253"/>
      <w:bookmarkEnd w:id="4"/>
      <w:r w:rsidRPr="00085B19">
        <w:t>Licensing/Regulatory Information</w:t>
      </w:r>
    </w:p>
    <w:p w:rsidR="00000000" w:rsidRPr="00085B19" w:rsidP="00085B19">
      <w:pPr>
        <w:pStyle w:val="BodyText"/>
      </w:pPr>
      <w:r w:rsidRPr="00085B19">
        <w:t>Not Applicable</w:t>
      </w:r>
    </w:p>
    <w:p w:rsidR="00000000" w:rsidRPr="00085B19" w:rsidP="00085B19">
      <w:pPr>
        <w:pStyle w:val="AllowPageBreak"/>
      </w:pPr>
    </w:p>
    <w:p w:rsidR="00000000" w:rsidRPr="00085B19" w:rsidP="00085B19">
      <w:pPr>
        <w:pStyle w:val="Heading1"/>
      </w:pPr>
      <w:bookmarkStart w:id="5" w:name="O_210391"/>
      <w:bookmarkEnd w:id="5"/>
      <w:r w:rsidRPr="00085B19">
        <w:t>Pre-Requisites</w:t>
      </w:r>
    </w:p>
    <w:tbl>
      <w:tblPr>
        <w:tblW w:w="0" w:type="auto"/>
        <w:tblLayout w:type="fixed"/>
        <w:tblCellMar>
          <w:left w:w="62" w:type="dxa"/>
          <w:right w:w="62" w:type="dxa"/>
        </w:tblCellMar>
        <w:tblLook w:val="0000"/>
      </w:tblPr>
      <w:tblGrid>
        <w:gridCol w:w="2702"/>
        <w:gridCol w:w="2390"/>
        <w:gridCol w:w="3430"/>
      </w:tblGrid>
      <w:tr w:rsidTr="00D90063">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p>
        </w:tc>
      </w:tr>
      <w:tr w:rsidTr="00D9006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Path 1</w:t>
            </w: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MSATCM304A</w:t>
            </w:r>
          </w:p>
        </w:tc>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 xml:space="preserve">Interpret basic binary phase diagrams </w:t>
            </w:r>
          </w:p>
        </w:tc>
      </w:tr>
      <w:tr w:rsidTr="00D9006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MEM04005C</w:t>
            </w:r>
          </w:p>
        </w:tc>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 xml:space="preserve">Produce moulds and cores by </w:t>
            </w:r>
            <w:r w:rsidRPr="00085B19">
              <w:t>hand (jobbing)</w:t>
            </w:r>
          </w:p>
        </w:tc>
      </w:tr>
      <w:tr w:rsidTr="00D9006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MEM09002B</w:t>
            </w:r>
          </w:p>
        </w:tc>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Interpret technical drawing</w:t>
            </w:r>
          </w:p>
        </w:tc>
      </w:tr>
      <w:tr w:rsidTr="00D90063">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MEM18001C</w:t>
            </w:r>
          </w:p>
        </w:tc>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Use hand tools</w:t>
            </w:r>
          </w:p>
        </w:tc>
      </w:tr>
    </w:tbl>
    <w:p w:rsidR="00D90063" w:rsidP="00085B19">
      <w:pPr>
        <w:pStyle w:val="BodyText"/>
      </w:pPr>
    </w:p>
    <w:p w:rsidR="00D90063" w:rsidP="00085B19">
      <w:pPr>
        <w:pStyle w:val="BodyText"/>
      </w:pPr>
    </w:p>
    <w:p w:rsidR="00000000" w:rsidRPr="00085B19" w:rsidP="00085B19">
      <w:pPr>
        <w:pStyle w:val="Heading1"/>
      </w:pPr>
      <w:bookmarkStart w:id="6" w:name="O_210390"/>
      <w:bookmarkEnd w:id="6"/>
      <w:r w:rsidRPr="00085B19">
        <w:t>Employability Skills Information</w:t>
      </w:r>
    </w:p>
    <w:tbl>
      <w:tblPr>
        <w:tblW w:w="0" w:type="auto"/>
        <w:tblLayout w:type="fixed"/>
        <w:tblCellMar>
          <w:left w:w="62" w:type="dxa"/>
          <w:right w:w="62" w:type="dxa"/>
        </w:tblCellMar>
        <w:tblLook w:val="0000"/>
      </w:tblPr>
      <w:tblGrid>
        <w:gridCol w:w="2802"/>
        <w:gridCol w:w="5720"/>
      </w:tblGrid>
      <w:tr w:rsidTr="00D900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This unit contains employability skills.</w:t>
            </w:r>
          </w:p>
        </w:tc>
      </w:tr>
    </w:tbl>
    <w:p w:rsidR="00D90063" w:rsidP="00085B19">
      <w:pPr>
        <w:pStyle w:val="BodyText"/>
      </w:pPr>
    </w:p>
    <w:p w:rsidR="00D90063" w:rsidP="00085B19">
      <w:pPr>
        <w:pStyle w:val="BodyText"/>
      </w:pPr>
    </w:p>
    <w:p w:rsidR="00000000" w:rsidRPr="00085B19" w:rsidP="00085B19">
      <w:pPr>
        <w:pStyle w:val="Heading1"/>
      </w:pPr>
      <w:bookmarkStart w:id="7" w:name="O_290039"/>
      <w:bookmarkEnd w:id="7"/>
      <w:r w:rsidRPr="00085B19">
        <w:t>Elements and Performance Criteria Pre-Content</w:t>
      </w:r>
    </w:p>
    <w:tbl>
      <w:tblPr>
        <w:tblW w:w="0" w:type="auto"/>
        <w:tblLayout w:type="fixed"/>
        <w:tblCellMar>
          <w:left w:w="62" w:type="dxa"/>
          <w:right w:w="62" w:type="dxa"/>
        </w:tblCellMar>
        <w:tblLook w:val="0000"/>
      </w:tblPr>
      <w:tblGrid>
        <w:gridCol w:w="2551"/>
        <w:gridCol w:w="5971"/>
      </w:tblGrid>
      <w:tr w:rsidTr="00D9006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Performance criteria describe the performance needed to demonstrate achievement of the element. Where bold italicised text is used, further info</w:t>
            </w:r>
            <w:r w:rsidRPr="00085B19">
              <w:t>rmation is detailed in the required skills and knowledge section and the range statement. Assessment of performance is to be consistent with the evidence guide.</w:t>
            </w:r>
          </w:p>
        </w:tc>
      </w:tr>
    </w:tbl>
    <w:p w:rsidR="00000000" w:rsidRPr="00085B19" w:rsidP="00085B19">
      <w:pPr>
        <w:pStyle w:val="BodyText"/>
      </w:pPr>
    </w:p>
    <w:p w:rsidR="00000000" w:rsidRPr="00085B19" w:rsidP="00085B19">
      <w:pPr>
        <w:pStyle w:val="AllowPageBreak"/>
      </w:pPr>
    </w:p>
    <w:p w:rsidR="00000000" w:rsidRPr="00085B19" w:rsidP="00085B19">
      <w:pPr>
        <w:pStyle w:val="Heading1"/>
      </w:pPr>
      <w:bookmarkStart w:id="8" w:name="O_236706"/>
      <w:bookmarkEnd w:id="8"/>
      <w:r w:rsidRPr="00085B19">
        <w:t>Elements and Performance Criteria</w:t>
      </w:r>
    </w:p>
    <w:tbl>
      <w:tblPr>
        <w:tblW w:w="0" w:type="auto"/>
        <w:tblLayout w:type="fixed"/>
        <w:tblCellMar>
          <w:left w:w="62" w:type="dxa"/>
          <w:right w:w="62" w:type="dxa"/>
        </w:tblCellMar>
        <w:tblLook w:val="0000"/>
      </w:tblPr>
      <w:tblGrid>
        <w:gridCol w:w="2551"/>
        <w:gridCol w:w="5971"/>
      </w:tblGrid>
      <w:tr w:rsidTr="00D9006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PERFORMANCE CRITERIA</w:t>
            </w:r>
          </w:p>
        </w:tc>
      </w:tr>
      <w:tr w:rsidTr="00D9006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List"/>
              <w:rPr>
                <w:lang w:val="en-NZ"/>
              </w:rPr>
            </w:pPr>
            <w:r w:rsidRPr="00085B19">
              <w:t>1.</w:t>
            </w:r>
            <w:r w:rsidRPr="00085B19">
              <w:tab/>
              <w:t>Iden</w:t>
            </w:r>
            <w:r w:rsidRPr="00085B19">
              <w:t>tify specification requirements for required casting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List2"/>
            </w:pPr>
            <w:r w:rsidRPr="00085B19">
              <w:t>1.1.</w:t>
            </w:r>
            <w:r w:rsidRPr="00085B19">
              <w:tab/>
              <w:t>Obtain all relevant job requirements and design specifications in accordance with workplace procedures</w:t>
            </w:r>
          </w:p>
          <w:p w:rsidR="00000000" w:rsidP="00085B19">
            <w:pPr>
              <w:pStyle w:val="List2"/>
              <w:rPr>
                <w:lang w:val="en-NZ"/>
              </w:rPr>
            </w:pPr>
            <w:r w:rsidRPr="00085B19">
              <w:t>1.2.</w:t>
            </w:r>
            <w:r w:rsidRPr="00085B19">
              <w:tab/>
              <w:t>Identify and interpret drawing requirements and specifications</w:t>
            </w:r>
          </w:p>
        </w:tc>
      </w:tr>
      <w:tr w:rsidTr="00D9006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List"/>
              <w:rPr>
                <w:lang w:val="en-NZ"/>
              </w:rPr>
            </w:pPr>
            <w:r w:rsidRPr="00085B19">
              <w:t>2.</w:t>
            </w:r>
            <w:r w:rsidRPr="00085B19">
              <w:tab/>
              <w:t>Evaluate proposed mould</w:t>
            </w:r>
            <w:r w:rsidRPr="00085B19">
              <w:t xml:space="preserve"> design for methoding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List2"/>
            </w:pPr>
            <w:r w:rsidRPr="00085B19">
              <w:t>2.1.</w:t>
            </w:r>
            <w:r w:rsidRPr="00085B19">
              <w:tab/>
              <w:t>Identify desired solidification process taking into account casting design, metal composition, mould design and specifications</w:t>
            </w:r>
          </w:p>
          <w:p w:rsidR="00000000" w:rsidRPr="00085B19" w:rsidP="00085B19">
            <w:pPr>
              <w:pStyle w:val="List2"/>
            </w:pPr>
            <w:r w:rsidRPr="00085B19">
              <w:t>2.2.</w:t>
            </w:r>
            <w:r w:rsidRPr="00085B19">
              <w:tab/>
              <w:t>Identify running, gating and feeding principles and techniques appropriate for the p</w:t>
            </w:r>
            <w:r w:rsidRPr="00085B19">
              <w:t>articular casting</w:t>
            </w:r>
          </w:p>
          <w:p w:rsidR="00000000" w:rsidRPr="00085B19" w:rsidP="00085B19">
            <w:pPr>
              <w:pStyle w:val="List2"/>
            </w:pPr>
            <w:r w:rsidRPr="00085B19">
              <w:t>2.3.</w:t>
            </w:r>
            <w:r w:rsidRPr="00085B19">
              <w:tab/>
              <w:t xml:space="preserve">Examine suitability of methoding if already selected including gating and the number, placement and sizing of feeders/risers </w:t>
            </w:r>
          </w:p>
          <w:p w:rsidR="00000000" w:rsidP="00085B19">
            <w:pPr>
              <w:pStyle w:val="List2"/>
              <w:rPr>
                <w:lang w:val="en-NZ"/>
              </w:rPr>
            </w:pPr>
            <w:r w:rsidRPr="00085B19">
              <w:t>2.4.</w:t>
            </w:r>
            <w:r w:rsidRPr="00085B19">
              <w:tab/>
              <w:t>Where required, enter data to facilitate the generation of a computer simulation of methoding and cast</w:t>
            </w:r>
            <w:r w:rsidRPr="00085B19">
              <w:t>ing process for later comparison to actual casting</w:t>
            </w:r>
          </w:p>
        </w:tc>
      </w:tr>
      <w:tr w:rsidTr="00D9006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List"/>
              <w:rPr>
                <w:lang w:val="en-NZ"/>
              </w:rPr>
            </w:pPr>
            <w:r w:rsidRPr="00085B19">
              <w:t>3.</w:t>
            </w:r>
            <w:r w:rsidRPr="00085B19">
              <w:tab/>
              <w:t>Report results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List2"/>
            </w:pPr>
            <w:r w:rsidRPr="00085B19">
              <w:t>3.1.</w:t>
            </w:r>
            <w:r w:rsidRPr="00085B19">
              <w:tab/>
              <w:t>Determine reporting requirements</w:t>
            </w:r>
          </w:p>
          <w:p w:rsidR="00000000" w:rsidRPr="00085B19" w:rsidP="00085B19">
            <w:pPr>
              <w:pStyle w:val="List2"/>
            </w:pPr>
            <w:r w:rsidRPr="00085B19">
              <w:t>3.2.</w:t>
            </w:r>
            <w:r w:rsidRPr="00085B19">
              <w:tab/>
              <w:t>Prepare reports in accordance with standard operating requirements</w:t>
            </w:r>
          </w:p>
          <w:p w:rsidR="00000000" w:rsidRPr="00085B19" w:rsidP="00085B19">
            <w:pPr>
              <w:pStyle w:val="List2"/>
            </w:pPr>
            <w:r w:rsidRPr="00085B19">
              <w:t>3.3.</w:t>
            </w:r>
            <w:r w:rsidRPr="00085B19">
              <w:tab/>
              <w:t>Circulate and file report to procedures</w:t>
            </w:r>
          </w:p>
          <w:p w:rsidR="00000000" w:rsidRPr="00085B19" w:rsidP="00085B19">
            <w:pPr>
              <w:pStyle w:val="List2"/>
            </w:pPr>
            <w:r w:rsidRPr="00085B19">
              <w:t>3.4.</w:t>
            </w:r>
            <w:r w:rsidRPr="00085B19">
              <w:tab/>
            </w:r>
            <w:r w:rsidRPr="00085B19">
              <w:t>Communicate suggestions for improvements directly to other team members where appropriate</w:t>
            </w:r>
          </w:p>
        </w:tc>
      </w:tr>
    </w:tbl>
    <w:p w:rsidR="00D90063" w:rsidP="00085B19">
      <w:pPr>
        <w:pStyle w:val="BodyText"/>
      </w:pPr>
    </w:p>
    <w:p w:rsidR="00D90063" w:rsidP="00085B19">
      <w:pPr>
        <w:pStyle w:val="BodyText"/>
      </w:pPr>
    </w:p>
    <w:p w:rsidR="00000000" w:rsidRPr="00085B19" w:rsidP="00085B19">
      <w:pPr>
        <w:pStyle w:val="Heading1"/>
      </w:pPr>
      <w:bookmarkStart w:id="9" w:name="O_260656"/>
      <w:bookmarkEnd w:id="9"/>
      <w:r w:rsidRPr="00085B19">
        <w:t>Required Skills and Knowledge</w:t>
      </w:r>
    </w:p>
    <w:tbl>
      <w:tblPr>
        <w:tblW w:w="0" w:type="auto"/>
        <w:tblLayout w:type="fixed"/>
        <w:tblCellMar>
          <w:left w:w="62" w:type="dxa"/>
          <w:right w:w="62" w:type="dxa"/>
        </w:tblCellMar>
        <w:tblLook w:val="0000"/>
      </w:tblPr>
      <w:tblGrid>
        <w:gridCol w:w="8522"/>
      </w:tblGrid>
      <w:tr w:rsidTr="00D900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REQUIRED SKILLS AND KNOWLEDGE</w:t>
            </w:r>
          </w:p>
        </w:tc>
      </w:tr>
      <w:tr w:rsidTr="00D900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This section describes the skills and knowledge required for this unit.</w:t>
            </w:r>
          </w:p>
        </w:tc>
      </w:tr>
      <w:tr w:rsidTr="00D90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Required skills</w:t>
            </w:r>
          </w:p>
        </w:tc>
      </w:tr>
      <w:tr w:rsidTr="00D90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Required skills include:</w:t>
            </w:r>
          </w:p>
          <w:p w:rsidR="00000000" w:rsidRPr="00085B19" w:rsidP="00085B19">
            <w:pPr>
              <w:pStyle w:val="ListBullet"/>
            </w:pPr>
            <w:r w:rsidRPr="00085B19">
              <w:t>applying scientific principles to foundry mould design</w:t>
            </w:r>
          </w:p>
          <w:p w:rsidR="00000000" w:rsidRPr="00085B19" w:rsidP="00085B19">
            <w:pPr>
              <w:pStyle w:val="ListBullet"/>
            </w:pPr>
            <w:r w:rsidRPr="00085B19">
              <w:t>examining mould designs using basic metallurgical skills and techniques to suit specific applications</w:t>
            </w:r>
          </w:p>
          <w:p w:rsidR="00000000" w:rsidRPr="00085B19" w:rsidP="00085B19">
            <w:pPr>
              <w:pStyle w:val="ListBullet"/>
            </w:pPr>
            <w:r w:rsidRPr="00085B19">
              <w:t>calculating mould runner and feeding systems</w:t>
            </w:r>
          </w:p>
          <w:p w:rsidR="00000000" w:rsidRPr="00085B19" w:rsidP="00085B19">
            <w:pPr>
              <w:pStyle w:val="ListBullet"/>
            </w:pPr>
            <w:r w:rsidRPr="00085B19">
              <w:t xml:space="preserve">selecting appropriate techniques and associated software and hardware </w:t>
            </w:r>
            <w:r w:rsidRPr="00085B19">
              <w:t>technologies to suit specific applicati</w:t>
            </w:r>
            <w:r w:rsidRPr="00085B19">
              <w:t>ons in foundry mould design</w:t>
            </w:r>
          </w:p>
          <w:p w:rsidR="00000000" w:rsidP="00085B19">
            <w:pPr>
              <w:pStyle w:val="ListBullet"/>
              <w:rPr>
                <w:lang w:val="en-NZ"/>
              </w:rPr>
            </w:pPr>
            <w:r w:rsidRPr="00085B19">
              <w:t>presenting methoding solution and any associated limitations to mould design referring to the original aim of the application and any relevant instructions from metallurgist</w:t>
            </w:r>
          </w:p>
        </w:tc>
      </w:tr>
      <w:tr w:rsidTr="00D90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Required knowledge</w:t>
            </w:r>
          </w:p>
        </w:tc>
      </w:tr>
      <w:tr w:rsidTr="00D900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Required knowledge includes:</w:t>
            </w:r>
          </w:p>
          <w:p w:rsidR="00000000" w:rsidRPr="00085B19" w:rsidP="00085B19">
            <w:pPr>
              <w:pStyle w:val="ListBullet"/>
            </w:pPr>
            <w:r w:rsidRPr="00085B19">
              <w:t>abi</w:t>
            </w:r>
            <w:r w:rsidRPr="00085B19">
              <w:t>lity to perform calculations related to methoding and feeding including:</w:t>
            </w:r>
          </w:p>
          <w:p w:rsidR="00000000" w:rsidRPr="00085B19" w:rsidP="00085B19">
            <w:pPr>
              <w:pStyle w:val="ListBullet2"/>
            </w:pPr>
            <w:r w:rsidRPr="00085B19">
              <w:t>measuring dimensions of runner systems</w:t>
            </w:r>
          </w:p>
          <w:p w:rsidR="00000000" w:rsidRPr="00085B19" w:rsidP="00085B19">
            <w:pPr>
              <w:pStyle w:val="ListBullet2"/>
            </w:pPr>
            <w:r w:rsidRPr="00085B19">
              <w:t>calculating cross-sectional areas of sprue, runners and ingates</w:t>
            </w:r>
          </w:p>
          <w:p w:rsidR="00000000" w:rsidRPr="00085B19" w:rsidP="00085B19">
            <w:pPr>
              <w:pStyle w:val="ListBullet2"/>
            </w:pPr>
            <w:r w:rsidRPr="00085B19">
              <w:t>volumes and dimensions of feeders</w:t>
            </w:r>
          </w:p>
          <w:p w:rsidR="00000000" w:rsidRPr="00085B19" w:rsidP="00085B19">
            <w:pPr>
              <w:pStyle w:val="ListBullet"/>
            </w:pPr>
            <w:r w:rsidRPr="00085B19">
              <w:t xml:space="preserve">the effects on solidification of: </w:t>
            </w:r>
          </w:p>
          <w:p w:rsidR="00000000" w:rsidRPr="00085B19" w:rsidP="00085B19">
            <w:pPr>
              <w:pStyle w:val="ListBullet2"/>
            </w:pPr>
            <w:r w:rsidRPr="00085B19">
              <w:t>nucleation</w:t>
            </w:r>
          </w:p>
          <w:p w:rsidR="00000000" w:rsidRPr="00085B19" w:rsidP="00085B19">
            <w:pPr>
              <w:pStyle w:val="ListBullet2"/>
            </w:pPr>
            <w:r w:rsidRPr="00085B19">
              <w:t>growth mechanisms (crystal and interfacial)</w:t>
            </w:r>
          </w:p>
          <w:p w:rsidR="00000000" w:rsidRPr="00085B19" w:rsidP="00085B19">
            <w:pPr>
              <w:pStyle w:val="ListBullet2"/>
            </w:pPr>
            <w:r w:rsidRPr="00085B19">
              <w:t>dendrite coherency</w:t>
            </w:r>
          </w:p>
          <w:p w:rsidR="00000000" w:rsidRPr="00085B19" w:rsidP="00085B19">
            <w:pPr>
              <w:pStyle w:val="ListBullet2"/>
            </w:pPr>
            <w:r w:rsidRPr="00085B19">
              <w:t>constitutional undercooling</w:t>
            </w:r>
          </w:p>
          <w:p w:rsidR="00000000" w:rsidRPr="00085B19" w:rsidP="00085B19">
            <w:pPr>
              <w:pStyle w:val="ListBullet2"/>
            </w:pPr>
            <w:r w:rsidRPr="00085B19">
              <w:t>superheat - effects, control and minimisation of excess heat</w:t>
            </w:r>
          </w:p>
          <w:p w:rsidR="00000000" w:rsidRPr="00085B19" w:rsidP="00085B19">
            <w:pPr>
              <w:pStyle w:val="ListBullet2"/>
            </w:pPr>
            <w:r w:rsidRPr="00085B19">
              <w:t>eutectic and peritectic solidification</w:t>
            </w:r>
          </w:p>
          <w:p w:rsidR="00000000" w:rsidRPr="00085B19" w:rsidP="00085B19">
            <w:pPr>
              <w:pStyle w:val="ListBullet2"/>
            </w:pPr>
            <w:r w:rsidRPr="00085B19">
              <w:t>grain structure</w:t>
            </w:r>
          </w:p>
          <w:p w:rsidR="00000000" w:rsidRPr="00085B19" w:rsidP="00085B19">
            <w:pPr>
              <w:pStyle w:val="ListBullet"/>
            </w:pPr>
            <w:r w:rsidRPr="00085B19">
              <w:t>the principles underpinning the effec</w:t>
            </w:r>
            <w:r w:rsidRPr="00085B19">
              <w:t>tive operation of running, gating and feeding systems including:</w:t>
            </w:r>
          </w:p>
          <w:p w:rsidR="00000000" w:rsidRPr="00085B19" w:rsidP="00085B19">
            <w:pPr>
              <w:pStyle w:val="ListBullet2"/>
            </w:pPr>
            <w:r w:rsidRPr="00085B19">
              <w:t>runner and gating principles (ratios)</w:t>
            </w:r>
          </w:p>
          <w:p w:rsidR="00000000" w:rsidRPr="00085B19" w:rsidP="00085B19">
            <w:pPr>
              <w:pStyle w:val="ListBullet2"/>
            </w:pPr>
            <w:r w:rsidRPr="00085B19">
              <w:t>determining type and placement of sprue, runners and ingates</w:t>
            </w:r>
          </w:p>
          <w:p w:rsidR="00000000" w:rsidRPr="00085B19" w:rsidP="00085B19">
            <w:pPr>
              <w:pStyle w:val="ListBullet2"/>
            </w:pPr>
            <w:r w:rsidRPr="00085B19">
              <w:t xml:space="preserve">inclusion control (slag and erosion) </w:t>
            </w:r>
          </w:p>
          <w:p w:rsidR="00000000" w:rsidRPr="00085B19" w:rsidP="00085B19">
            <w:pPr>
              <w:pStyle w:val="ListBullet2"/>
            </w:pPr>
            <w:r w:rsidRPr="00085B19">
              <w:t xml:space="preserve">calculations and effect of metal flow (lamellar and turbulent), velocity and temperature </w:t>
            </w:r>
          </w:p>
          <w:p w:rsidR="00000000" w:rsidRPr="00085B19" w:rsidP="00085B19">
            <w:pPr>
              <w:pStyle w:val="ListBullet2"/>
            </w:pPr>
            <w:r w:rsidRPr="00085B19">
              <w:t>calculation of feeder size</w:t>
            </w:r>
          </w:p>
          <w:p w:rsidR="00000000" w:rsidRPr="00085B19" w:rsidP="00085B19">
            <w:pPr>
              <w:pStyle w:val="ListBullet2"/>
            </w:pPr>
            <w:r w:rsidRPr="00085B19">
              <w:t xml:space="preserve">principles used in the determination of the location of feeders (end and feed zones, neighbourhood effect and feeding distances) including </w:t>
            </w:r>
            <w:r w:rsidRPr="00085B19">
              <w:t>effect on solidification</w:t>
            </w:r>
          </w:p>
          <w:p w:rsidR="00000000" w:rsidRPr="00085B19" w:rsidP="00085B19">
            <w:pPr>
              <w:pStyle w:val="ListBullet2"/>
            </w:pPr>
            <w:r w:rsidRPr="00085B19">
              <w:t>exothermic and insulating feeding aids (sleeves and topping)</w:t>
            </w:r>
          </w:p>
          <w:p w:rsidR="00000000" w:rsidRPr="00085B19" w:rsidP="00085B19">
            <w:pPr>
              <w:pStyle w:val="ListBullet2"/>
            </w:pPr>
            <w:r w:rsidRPr="00085B19">
              <w:t>feeding mechanisms (liquid, mass, interdendritic, burst and solid)</w:t>
            </w:r>
          </w:p>
          <w:p w:rsidR="00000000" w:rsidRPr="00085B19" w:rsidP="00085B19">
            <w:pPr>
              <w:pStyle w:val="ListBullet2"/>
            </w:pPr>
            <w:r w:rsidRPr="00085B19">
              <w:t xml:space="preserve">use of computer packages (runner and feeder calculations and mould simulations) including benefits and </w:t>
            </w:r>
            <w:r w:rsidRPr="00085B19">
              <w:t>limitations</w:t>
            </w:r>
          </w:p>
          <w:p w:rsidR="00000000" w:rsidRPr="00085B19" w:rsidP="00085B19">
            <w:pPr>
              <w:pStyle w:val="ListBullet2"/>
            </w:pPr>
            <w:r w:rsidRPr="00085B19">
              <w:t>yield calculations</w:t>
            </w:r>
          </w:p>
          <w:p w:rsidR="00000000" w:rsidRPr="00085B19" w:rsidP="00085B19">
            <w:pPr>
              <w:pStyle w:val="ListBullet"/>
            </w:pPr>
            <w:r w:rsidRPr="00085B19">
              <w:t>risk management strategies to minimise defect formation and the methods for minimising:</w:t>
            </w:r>
          </w:p>
          <w:p w:rsidR="00000000" w:rsidRPr="00085B19" w:rsidP="00085B19">
            <w:pPr>
              <w:pStyle w:val="ListBullet2"/>
            </w:pPr>
            <w:r w:rsidRPr="00085B19">
              <w:t>shrinkage</w:t>
            </w:r>
          </w:p>
          <w:p w:rsidR="00000000" w:rsidRPr="00085B19" w:rsidP="00085B19">
            <w:pPr>
              <w:pStyle w:val="ListBullet2"/>
            </w:pPr>
            <w:r w:rsidRPr="00085B19">
              <w:t>porosity</w:t>
            </w:r>
          </w:p>
          <w:p w:rsidR="00000000" w:rsidRPr="00085B19" w:rsidP="00085B19">
            <w:pPr>
              <w:pStyle w:val="ListBullet2"/>
            </w:pPr>
            <w:r w:rsidRPr="00085B19">
              <w:t>segregation</w:t>
            </w:r>
          </w:p>
          <w:p w:rsidR="00000000" w:rsidRPr="00085B19" w:rsidP="00085B19">
            <w:pPr>
              <w:pStyle w:val="ListBullet2"/>
            </w:pPr>
            <w:r w:rsidRPr="00085B19">
              <w:t>hot tearing</w:t>
            </w:r>
          </w:p>
          <w:p w:rsidR="00000000" w:rsidRPr="00085B19" w:rsidP="00085B19">
            <w:pPr>
              <w:pStyle w:val="ListBullet2"/>
            </w:pPr>
            <w:r w:rsidRPr="00085B19">
              <w:t>shear</w:t>
            </w:r>
          </w:p>
        </w:tc>
      </w:tr>
    </w:tbl>
    <w:p w:rsidR="00D90063" w:rsidP="00085B19">
      <w:pPr>
        <w:pStyle w:val="BodyText"/>
      </w:pPr>
    </w:p>
    <w:p w:rsidR="00D90063" w:rsidP="00085B19">
      <w:pPr>
        <w:pStyle w:val="BodyText"/>
      </w:pPr>
    </w:p>
    <w:p w:rsidR="00000000" w:rsidRPr="00085B19" w:rsidP="00085B19">
      <w:pPr>
        <w:pStyle w:val="AllowPageBreak"/>
      </w:pPr>
    </w:p>
    <w:p w:rsidR="00000000" w:rsidRPr="00085B19" w:rsidP="00085B19">
      <w:pPr>
        <w:pStyle w:val="Heading1"/>
      </w:pPr>
      <w:bookmarkStart w:id="10" w:name="O_244690"/>
      <w:bookmarkEnd w:id="10"/>
      <w:r w:rsidRPr="00085B19">
        <w:t>Evidence Guide</w:t>
      </w:r>
    </w:p>
    <w:tbl>
      <w:tblPr>
        <w:tblW w:w="9570" w:type="dxa"/>
        <w:tblLayout w:type="fixed"/>
        <w:tblCellMar>
          <w:left w:w="62" w:type="dxa"/>
          <w:right w:w="62" w:type="dxa"/>
        </w:tblCellMar>
        <w:tblLook w:val="0000"/>
      </w:tblPr>
      <w:tblGrid>
        <w:gridCol w:w="3908"/>
        <w:gridCol w:w="5662"/>
      </w:tblGrid>
      <w:tr w:rsidTr="00D900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EVIDENCE GUIDE</w:t>
            </w:r>
          </w:p>
        </w:tc>
      </w:tr>
      <w:tr w:rsidTr="00D900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The evidence guide provides advice on assessment and must be read in conjunction with the performance criteria, required skills and knowledge, range statement and the Assessment Guidelines for the Training Package.</w:t>
            </w:r>
          </w:p>
        </w:tc>
      </w:tr>
      <w:tr w:rsidTr="00D90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Evidence should be provided from the evaluation of a number of moulds. Evidence must be provided of manual calculations and compared to computer program results.</w:t>
            </w:r>
          </w:p>
        </w:tc>
      </w:tr>
      <w:tr w:rsidTr="00D90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Assessors should ensure that candidates can competently and consistently:</w:t>
            </w:r>
          </w:p>
          <w:p w:rsidR="00000000" w:rsidRPr="00085B19" w:rsidP="00085B19">
            <w:pPr>
              <w:pStyle w:val="ListBullet"/>
            </w:pPr>
            <w:r w:rsidRPr="00085B19">
              <w:t>calculate manually and by use of computer programs runner and feeding systems for casting designs within defined design parameters</w:t>
            </w:r>
          </w:p>
          <w:p w:rsidR="00000000" w:rsidRPr="00085B19" w:rsidP="00085B19">
            <w:pPr>
              <w:pStyle w:val="ListBullet"/>
            </w:pPr>
            <w:r w:rsidRPr="00085B19">
              <w:t xml:space="preserve">examine mould designs for suitability against job </w:t>
            </w:r>
            <w:r w:rsidRPr="00085B19">
              <w:t>specifications</w:t>
            </w:r>
          </w:p>
          <w:p w:rsidR="00000000" w:rsidRPr="00085B19" w:rsidP="00085B19">
            <w:pPr>
              <w:pStyle w:val="ListBullet"/>
            </w:pPr>
            <w:r w:rsidRPr="00085B19">
              <w:t>understand the interplay between moulds, cores, gating and feeding</w:t>
            </w:r>
          </w:p>
          <w:p w:rsidR="00000000" w:rsidRPr="00085B19" w:rsidP="00085B19">
            <w:pPr>
              <w:pStyle w:val="ListBullet"/>
            </w:pPr>
            <w:r w:rsidRPr="00085B19">
              <w:t>examine the resulting casting for success of gating and feeding</w:t>
            </w:r>
          </w:p>
          <w:p w:rsidR="00000000" w:rsidP="00085B19">
            <w:pPr>
              <w:pStyle w:val="ListBullet"/>
              <w:rPr>
                <w:lang w:val="en-NZ"/>
              </w:rPr>
            </w:pPr>
            <w:r w:rsidRPr="00085B19">
              <w:t>compare casting results with computer simulated predictions.</w:t>
            </w:r>
          </w:p>
        </w:tc>
      </w:tr>
      <w:tr w:rsidTr="00D90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085B19" w:rsidP="00085B19">
            <w:pPr>
              <w:pStyle w:val="BodyText"/>
            </w:pPr>
            <w:r w:rsidRPr="00085B19">
              <w:t>Whe</w:t>
            </w:r>
            <w:r w:rsidRPr="00085B19">
              <w:t>re applicable, reasonable adjustment must be made to work environments and training situations to accommodate ethnicity, age, gender, demographics and disability.</w:t>
            </w:r>
          </w:p>
          <w:p w:rsidR="00000000" w:rsidP="00085B19">
            <w:pPr>
              <w:pStyle w:val="BodyText"/>
              <w:rPr>
                <w:lang w:val="en-NZ"/>
              </w:rPr>
            </w:pPr>
            <w:r w:rsidRPr="00085B19">
              <w:t>Access must be provided to appropriate learning and/or assessment support when required. Wher</w:t>
            </w:r>
            <w:r w:rsidRPr="00085B19">
              <w:t>e applicable, physical resources should include equipment modified for people with disabilities.</w:t>
            </w:r>
          </w:p>
        </w:tc>
      </w:tr>
      <w:tr w:rsidTr="00D90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Assessment must satisfy the endorsed assessment guidelines of the MEM05 Metal and Engineering Training Package.</w:t>
            </w:r>
          </w:p>
          <w:p w:rsidR="00000000" w:rsidRPr="00085B19" w:rsidP="00085B19">
            <w:pPr>
              <w:pStyle w:val="BodyText"/>
            </w:pPr>
            <w:r w:rsidRPr="00085B19">
              <w:t>Assessment methods must confirm consistency and accuracy of performance (over time and in a range of workplace relevant contexts) together with application of underpinning knowledge.</w:t>
            </w:r>
          </w:p>
          <w:p w:rsidR="00000000" w:rsidRPr="00085B19" w:rsidP="00085B19">
            <w:pPr>
              <w:pStyle w:val="BodyText"/>
            </w:pPr>
            <w:r w:rsidRPr="00085B19">
              <w:t>Assessment methods must be by direct observation of tasks and include que</w:t>
            </w:r>
            <w:r w:rsidRPr="00085B19">
              <w:t>stioning on underpinning knowledge to ensure its correct interpretation and application.</w:t>
            </w:r>
          </w:p>
          <w:p w:rsidR="00000000" w:rsidRPr="00085B19" w:rsidP="00085B19">
            <w:pPr>
              <w:pStyle w:val="BodyText"/>
            </w:pPr>
            <w:r w:rsidRPr="00085B19">
              <w:t>Assessment may be applied under project related conditions (real or simulated) and require evidence of process.</w:t>
            </w:r>
          </w:p>
          <w:p w:rsidR="00000000" w:rsidRPr="00085B19" w:rsidP="00085B19">
            <w:pPr>
              <w:pStyle w:val="BodyText"/>
            </w:pPr>
            <w:r w:rsidRPr="00085B19">
              <w:t>Assessment must confirm a reasonable inference that com</w:t>
            </w:r>
            <w:r w:rsidRPr="00085B19">
              <w:t>petency is able not only to be satisfied under the particular circumstance, but is able to be transferred to other circumstances.</w:t>
            </w:r>
          </w:p>
          <w:p w:rsidR="00000000" w:rsidP="00085B19">
            <w:pPr>
              <w:pStyle w:val="BodyText"/>
              <w:rPr>
                <w:lang w:val="en-NZ"/>
              </w:rPr>
            </w:pPr>
            <w:r w:rsidRPr="00085B19">
              <w:t>Assessment may be in conjunction with assessment of other units of competency where required.</w:t>
            </w:r>
          </w:p>
        </w:tc>
      </w:tr>
      <w:tr w:rsidTr="00D900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Guidance information for assess</w:t>
            </w:r>
            <w:r w:rsidRPr="00085B19">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Assessment processes and techniques must be culturally appropriate and appropriate to the language and literacy capacity of the candidate and the work being performed.</w:t>
            </w:r>
          </w:p>
        </w:tc>
      </w:tr>
    </w:tbl>
    <w:p w:rsidR="00D90063" w:rsidP="00085B19">
      <w:pPr>
        <w:pStyle w:val="BodyText"/>
      </w:pPr>
    </w:p>
    <w:p w:rsidR="00D90063" w:rsidP="00085B19">
      <w:pPr>
        <w:pStyle w:val="BodyText"/>
      </w:pPr>
    </w:p>
    <w:p w:rsidR="00000000" w:rsidRPr="00085B19" w:rsidP="00085B19">
      <w:pPr>
        <w:pStyle w:val="Heading1"/>
      </w:pPr>
      <w:bookmarkStart w:id="11" w:name="O_252673"/>
      <w:bookmarkEnd w:id="11"/>
      <w:r w:rsidRPr="00085B19">
        <w:t>Range Statement</w:t>
      </w:r>
    </w:p>
    <w:tbl>
      <w:tblPr>
        <w:tblW w:w="0" w:type="auto"/>
        <w:tblLayout w:type="fixed"/>
        <w:tblCellMar>
          <w:left w:w="62" w:type="dxa"/>
          <w:right w:w="62" w:type="dxa"/>
        </w:tblCellMar>
        <w:tblLook w:val="0000"/>
      </w:tblPr>
      <w:tblGrid>
        <w:gridCol w:w="3540"/>
        <w:gridCol w:w="4982"/>
      </w:tblGrid>
      <w:tr w:rsidTr="00D900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RANGE STATEMENT</w:t>
            </w:r>
          </w:p>
        </w:tc>
      </w:tr>
      <w:tr w:rsidTr="00D900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The range statement relates to the unit of competency as a whole. It allows for different work environments and situations that may affect performance. Bold italicised wording, if used in the performance criteria, is detailed below. Essential operating con</w:t>
            </w:r>
            <w:r w:rsidRPr="00085B19">
              <w:t>ditions that may be present with training and assessment (depending on the work situation, needs of the candidate, accessibility of the item, and local industry and regional contexts) may also be included.</w:t>
            </w:r>
          </w:p>
        </w:tc>
      </w:tr>
      <w:tr w:rsidTr="00D90063">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Codes of practice</w:t>
            </w:r>
            <w:r w:rsidRPr="00085B19">
              <w:t>/</w:t>
            </w:r>
            <w:r w:rsidRPr="00085B19">
              <w:rPr>
                <w:rStyle w:val="SpecialBold"/>
              </w:rPr>
              <w:t>standards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t>Where reference is m</w:t>
            </w:r>
            <w:r w:rsidRPr="00085B19">
              <w:t>ade to industry codes of practice and/or Australian/international standards, it is expected that the latest version will be used</w:t>
            </w:r>
          </w:p>
        </w:tc>
      </w:tr>
      <w:tr w:rsidTr="00D90063">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Size and number of feeder heads and gating</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 xml:space="preserve">Calculation of the size of feeder heads and gating includes manual calculation and </w:t>
            </w:r>
            <w:r w:rsidRPr="00085B19">
              <w:t>use of computer programs within defined design parameters</w:t>
            </w:r>
          </w:p>
        </w:tc>
      </w:tr>
    </w:tbl>
    <w:p w:rsidR="00D90063" w:rsidP="00085B19">
      <w:pPr>
        <w:pStyle w:val="BodyText"/>
      </w:pPr>
    </w:p>
    <w:p w:rsidR="00D90063" w:rsidP="00085B19">
      <w:pPr>
        <w:pStyle w:val="BodyText"/>
      </w:pPr>
    </w:p>
    <w:p w:rsidR="00000000" w:rsidRPr="00085B19" w:rsidP="00085B19">
      <w:pPr>
        <w:pStyle w:val="Heading1"/>
      </w:pPr>
      <w:bookmarkStart w:id="12" w:name="O_210395"/>
      <w:bookmarkEnd w:id="12"/>
      <w:r w:rsidRPr="00085B19">
        <w:t>Unit Sector(s)</w:t>
      </w:r>
    </w:p>
    <w:tbl>
      <w:tblPr>
        <w:tblW w:w="0" w:type="auto"/>
        <w:tblLayout w:type="fixed"/>
        <w:tblCellMar>
          <w:left w:w="62" w:type="dxa"/>
          <w:right w:w="62" w:type="dxa"/>
        </w:tblCellMar>
        <w:tblLook w:val="0000"/>
      </w:tblPr>
      <w:tblGrid>
        <w:gridCol w:w="2654"/>
        <w:gridCol w:w="5868"/>
      </w:tblGrid>
      <w:tr w:rsidTr="00D9006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p>
        </w:tc>
      </w:tr>
    </w:tbl>
    <w:p w:rsidR="00D90063" w:rsidP="00085B19">
      <w:pPr>
        <w:pStyle w:val="BodyText"/>
      </w:pPr>
    </w:p>
    <w:p w:rsidR="00D90063" w:rsidP="00085B19">
      <w:pPr>
        <w:pStyle w:val="BodyText"/>
      </w:pPr>
    </w:p>
    <w:p w:rsidR="00000000" w:rsidRPr="00085B19" w:rsidP="00085B19">
      <w:pPr>
        <w:pStyle w:val="Heading1"/>
      </w:pPr>
      <w:bookmarkStart w:id="13" w:name="O_210392"/>
      <w:bookmarkEnd w:id="13"/>
      <w:r w:rsidRPr="00085B19">
        <w:t>Co-requisite units</w:t>
      </w:r>
    </w:p>
    <w:tbl>
      <w:tblPr>
        <w:tblW w:w="0" w:type="auto"/>
        <w:tblLayout w:type="fixed"/>
        <w:tblCellMar>
          <w:left w:w="62" w:type="dxa"/>
          <w:right w:w="62" w:type="dxa"/>
        </w:tblCellMar>
        <w:tblLook w:val="0000"/>
      </w:tblPr>
      <w:tblGrid>
        <w:gridCol w:w="2641"/>
        <w:gridCol w:w="1322"/>
        <w:gridCol w:w="4559"/>
      </w:tblGrid>
      <w:tr w:rsidTr="00D900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p>
        </w:tc>
      </w:tr>
      <w:tr w:rsidTr="00D900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p>
        </w:tc>
      </w:tr>
      <w:tr w:rsidTr="00D900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p>
        </w:tc>
      </w:tr>
    </w:tbl>
    <w:p w:rsidR="00D90063" w:rsidP="00085B19">
      <w:pPr>
        <w:pStyle w:val="BodyText"/>
      </w:pPr>
    </w:p>
    <w:p w:rsidR="00D90063" w:rsidP="00085B19">
      <w:pPr>
        <w:pStyle w:val="BodyText"/>
      </w:pPr>
    </w:p>
    <w:p w:rsidR="00000000" w:rsidRPr="00085B19" w:rsidP="00085B19">
      <w:pPr>
        <w:pStyle w:val="Heading1"/>
      </w:pPr>
      <w:bookmarkStart w:id="14" w:name="O_210394"/>
      <w:bookmarkEnd w:id="14"/>
      <w:r w:rsidRPr="00085B19">
        <w:t>Competency field</w:t>
      </w:r>
    </w:p>
    <w:tbl>
      <w:tblPr>
        <w:tblW w:w="0" w:type="auto"/>
        <w:tblLayout w:type="fixed"/>
        <w:tblCellMar>
          <w:left w:w="62" w:type="dxa"/>
          <w:right w:w="62" w:type="dxa"/>
        </w:tblCellMar>
        <w:tblLook w:val="0000"/>
      </w:tblPr>
      <w:tblGrid>
        <w:gridCol w:w="2778"/>
        <w:gridCol w:w="5744"/>
      </w:tblGrid>
      <w:tr w:rsidTr="00D9006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B19">
            <w:pPr>
              <w:pStyle w:val="BodyText"/>
              <w:rPr>
                <w:lang w:val="en-NZ"/>
              </w:rPr>
            </w:pPr>
            <w:r w:rsidRPr="00085B1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B19" w:rsidP="00085B19">
            <w:pPr>
              <w:pStyle w:val="BodyText"/>
            </w:pPr>
            <w:r w:rsidRPr="00085B19">
              <w:t>Casting and moulding</w:t>
            </w:r>
          </w:p>
        </w:tc>
      </w:tr>
    </w:tbl>
    <w:p w:rsidR="00D90063" w:rsidP="00085B19">
      <w:pPr>
        <w:pStyle w:val="BodyText"/>
      </w:pPr>
    </w:p>
    <w:p w:rsidR="00D90063" w:rsidP="00085B19">
      <w:pPr>
        <w:pStyle w:val="BodyText"/>
      </w:pPr>
    </w:p>
    <w:p w:rsidR="00000000" w:rsidRPr="00085B19" w:rsidP="00085B19"/>
    <w:sectPr w:rsidSect="00085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063" w:rsidP="00D90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63" w:rsidP="00085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0063" w:rsidP="00085B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0063" w:rsidP="00085B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063" w:rsidP="00D900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063" w:rsidP="00085B19">
    <w:pPr>
      <w:pStyle w:val="Header"/>
      <w:framePr w:wrap="around"/>
    </w:pPr>
    <w:r>
      <w:fldChar w:fldCharType="begin"/>
    </w:r>
    <w:r>
      <w:instrText xml:space="preserve"> TITLE   \* MERGEFORMAT </w:instrText>
    </w:r>
    <w:r>
      <w:fldChar w:fldCharType="separate"/>
    </w:r>
    <w:r>
      <w:t>MEM04022A Examine appropriateness of methoding for mould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063" w:rsidP="00085B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23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A81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88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B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5B19"/>
    <w:pPr>
      <w:spacing w:before="360" w:after="60"/>
      <w:outlineLvl w:val="0"/>
    </w:pPr>
    <w:rPr>
      <w:sz w:val="32"/>
    </w:rPr>
  </w:style>
  <w:style w:type="paragraph" w:styleId="Heading2">
    <w:name w:val="heading 2"/>
    <w:basedOn w:val="HeadingBase"/>
    <w:next w:val="BodyText"/>
    <w:link w:val="Heading2Char"/>
    <w:qFormat/>
    <w:rsid w:val="00085B19"/>
    <w:pPr>
      <w:keepLines/>
      <w:spacing w:before="240" w:after="120"/>
      <w:outlineLvl w:val="1"/>
    </w:pPr>
    <w:rPr>
      <w:sz w:val="28"/>
      <w:szCs w:val="40"/>
    </w:rPr>
  </w:style>
  <w:style w:type="paragraph" w:styleId="Heading3">
    <w:name w:val="heading 3"/>
    <w:basedOn w:val="HeadingBase"/>
    <w:next w:val="BodyText"/>
    <w:link w:val="Heading3Char"/>
    <w:qFormat/>
    <w:rsid w:val="00085B19"/>
    <w:pPr>
      <w:spacing w:before="180" w:after="120"/>
      <w:outlineLvl w:val="2"/>
    </w:pPr>
    <w:rPr>
      <w:spacing w:val="-10"/>
      <w:kern w:val="32"/>
    </w:rPr>
  </w:style>
  <w:style w:type="paragraph" w:styleId="Heading4">
    <w:name w:val="heading 4"/>
    <w:basedOn w:val="HeadingBase"/>
    <w:next w:val="BodyText"/>
    <w:link w:val="Heading4Char"/>
    <w:qFormat/>
    <w:rsid w:val="00085B19"/>
    <w:pPr>
      <w:spacing w:before="160" w:after="120"/>
      <w:outlineLvl w:val="3"/>
    </w:pPr>
    <w:rPr>
      <w:sz w:val="22"/>
    </w:rPr>
  </w:style>
  <w:style w:type="paragraph" w:styleId="Heading5">
    <w:name w:val="heading 5"/>
    <w:basedOn w:val="HeadingBase"/>
    <w:next w:val="Normal"/>
    <w:link w:val="Heading5Char"/>
    <w:qFormat/>
    <w:rsid w:val="00085B19"/>
    <w:pPr>
      <w:spacing w:before="80"/>
      <w:outlineLvl w:val="4"/>
    </w:pPr>
    <w:rPr>
      <w:color w:val="918585"/>
      <w:sz w:val="20"/>
    </w:rPr>
  </w:style>
  <w:style w:type="paragraph" w:styleId="Heading6">
    <w:name w:val="heading 6"/>
    <w:basedOn w:val="HeadingBase"/>
    <w:next w:val="Normal"/>
    <w:link w:val="Heading6Char"/>
    <w:qFormat/>
    <w:rsid w:val="00085B19"/>
    <w:pPr>
      <w:spacing w:before="60"/>
      <w:outlineLvl w:val="5"/>
    </w:pPr>
    <w:rPr>
      <w:color w:val="918585"/>
      <w:sz w:val="20"/>
    </w:rPr>
  </w:style>
  <w:style w:type="paragraph" w:styleId="Heading7">
    <w:name w:val="heading 7"/>
    <w:basedOn w:val="Normal"/>
    <w:next w:val="Normal"/>
    <w:link w:val="Heading7Char"/>
    <w:qFormat/>
    <w:rsid w:val="00085B19"/>
    <w:pPr>
      <w:ind w:left="720"/>
      <w:outlineLvl w:val="6"/>
    </w:pPr>
    <w:rPr>
      <w:i/>
    </w:rPr>
  </w:style>
  <w:style w:type="paragraph" w:styleId="Heading8">
    <w:name w:val="heading 8"/>
    <w:basedOn w:val="Normal"/>
    <w:next w:val="Normal"/>
    <w:link w:val="Heading8Char"/>
    <w:qFormat/>
    <w:rsid w:val="00085B19"/>
    <w:pPr>
      <w:ind w:left="720"/>
      <w:outlineLvl w:val="7"/>
    </w:pPr>
    <w:rPr>
      <w:i/>
    </w:rPr>
  </w:style>
  <w:style w:type="paragraph" w:styleId="Heading9">
    <w:name w:val="heading 9"/>
    <w:basedOn w:val="Normal"/>
    <w:next w:val="Normal"/>
    <w:link w:val="Heading9Char"/>
    <w:qFormat/>
    <w:rsid w:val="00085B19"/>
    <w:pPr>
      <w:ind w:left="720"/>
      <w:outlineLvl w:val="8"/>
    </w:pPr>
    <w:rPr>
      <w:i/>
    </w:rPr>
  </w:style>
  <w:style w:type="character" w:default="1" w:styleId="DefaultParagraphFont">
    <w:name w:val="Default Paragraph Font"/>
    <w:uiPriority w:val="1"/>
    <w:unhideWhenUsed/>
    <w:rsid w:val="00085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B19"/>
  </w:style>
  <w:style w:type="character" w:customStyle="1" w:styleId="Heading1Char">
    <w:name w:val="Heading 1 Char"/>
    <w:basedOn w:val="DefaultParagraphFont"/>
    <w:link w:val="Heading1"/>
    <w:rsid w:val="00085B19"/>
    <w:rPr>
      <w:rFonts w:ascii="Times New Roman" w:eastAsia="Times New Roman" w:hAnsi="Times New Roman" w:cs="Times New Roman"/>
      <w:b/>
      <w:sz w:val="32"/>
      <w:szCs w:val="20"/>
      <w:lang w:eastAsia="en-US"/>
    </w:rPr>
  </w:style>
  <w:style w:type="paragraph" w:styleId="BodyText">
    <w:name w:val="Body Text"/>
    <w:basedOn w:val="Normal"/>
    <w:link w:val="BodyTextChar"/>
    <w:rsid w:val="00085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B19"/>
    <w:rPr>
      <w:rFonts w:ascii="Times New Roman" w:eastAsia="Times New Roman" w:hAnsi="Times New Roman" w:cs="Times New Roman"/>
      <w:sz w:val="24"/>
      <w:lang w:val="en-US" w:eastAsia="en-US"/>
    </w:rPr>
  </w:style>
  <w:style w:type="paragraph" w:styleId="Footer">
    <w:name w:val="footer"/>
    <w:basedOn w:val="Normal"/>
    <w:link w:val="FooterChar"/>
    <w:rsid w:val="00085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B19"/>
    <w:rPr>
      <w:rFonts w:ascii="Times New Roman" w:eastAsia="Times New Roman" w:hAnsi="Times New Roman" w:cs="Times New Roman"/>
      <w:sz w:val="16"/>
      <w:lang w:val="en-US" w:eastAsia="en-US"/>
    </w:rPr>
  </w:style>
  <w:style w:type="paragraph" w:styleId="List">
    <w:name w:val="List"/>
    <w:basedOn w:val="BodyText"/>
    <w:next w:val="BodyText"/>
    <w:rsid w:val="00085B19"/>
    <w:pPr>
      <w:tabs>
        <w:tab w:val="left" w:pos="340"/>
      </w:tabs>
      <w:spacing w:before="60" w:after="60"/>
      <w:ind w:left="340" w:hanging="340"/>
    </w:pPr>
  </w:style>
  <w:style w:type="paragraph" w:styleId="ListBullet">
    <w:name w:val="List Bullet"/>
    <w:basedOn w:val="List"/>
    <w:rsid w:val="00085B19"/>
    <w:pPr>
      <w:numPr>
        <w:numId w:val="13"/>
      </w:numPr>
      <w:tabs>
        <w:tab w:val="clear" w:pos="340"/>
      </w:tabs>
      <w:spacing w:before="40" w:after="40"/>
    </w:pPr>
  </w:style>
  <w:style w:type="character" w:customStyle="1" w:styleId="SpecialBold">
    <w:name w:val="Special Bold"/>
    <w:basedOn w:val="DefaultParagraphFont"/>
    <w:rsid w:val="00085B19"/>
    <w:rPr>
      <w:b/>
      <w:spacing w:val="0"/>
    </w:rPr>
  </w:style>
  <w:style w:type="paragraph" w:styleId="ListBullet2">
    <w:name w:val="List Bullet 2"/>
    <w:basedOn w:val="List2"/>
    <w:rsid w:val="00085B19"/>
    <w:pPr>
      <w:numPr>
        <w:numId w:val="14"/>
      </w:numPr>
      <w:tabs>
        <w:tab w:val="clear" w:pos="680"/>
      </w:tabs>
    </w:pPr>
  </w:style>
  <w:style w:type="paragraph" w:styleId="Header">
    <w:name w:val="header"/>
    <w:basedOn w:val="Normal"/>
    <w:link w:val="HeaderChar"/>
    <w:rsid w:val="00085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B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5B19"/>
    <w:pPr>
      <w:spacing w:before="240" w:after="120"/>
      <w:outlineLvl w:val="0"/>
    </w:pPr>
    <w:rPr>
      <w:rFonts w:ascii="Times New Roman" w:hAnsi="Times New Roman"/>
      <w:b/>
      <w:sz w:val="28"/>
    </w:rPr>
  </w:style>
  <w:style w:type="paragraph" w:customStyle="1" w:styleId="AllowPageBreak">
    <w:name w:val="AllowPageBreak"/>
    <w:rsid w:val="00085B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B19"/>
    <w:pPr>
      <w:tabs>
        <w:tab w:val="left" w:pos="680"/>
      </w:tabs>
      <w:spacing w:before="60" w:after="60"/>
      <w:ind w:left="680" w:hanging="340"/>
    </w:pPr>
  </w:style>
  <w:style w:type="character" w:customStyle="1" w:styleId="Heading2Char">
    <w:name w:val="Heading 2 Char"/>
    <w:basedOn w:val="DefaultParagraphFont"/>
    <w:link w:val="Heading2"/>
    <w:rsid w:val="00085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B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5B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5B19"/>
    <w:rPr>
      <w:rFonts w:ascii="Courier New" w:eastAsia="Times New Roman" w:hAnsi="Courier New" w:cs="Times New Roman"/>
      <w:i/>
      <w:szCs w:val="20"/>
      <w:lang w:val="en-US" w:eastAsia="en-US"/>
    </w:rPr>
  </w:style>
  <w:style w:type="paragraph" w:customStyle="1" w:styleId="HeadingBase">
    <w:name w:val="Heading Base"/>
    <w:rsid w:val="00085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B19"/>
    <w:pPr>
      <w:tabs>
        <w:tab w:val="right" w:leader="dot" w:pos="9072"/>
      </w:tabs>
      <w:ind w:left="567"/>
    </w:pPr>
    <w:rPr>
      <w:szCs w:val="22"/>
    </w:rPr>
  </w:style>
  <w:style w:type="paragraph" w:customStyle="1" w:styleId="TOCBase">
    <w:name w:val="TOC Base"/>
    <w:rsid w:val="00085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B19"/>
    <w:pPr>
      <w:tabs>
        <w:tab w:val="right" w:leader="dot" w:pos="9072"/>
      </w:tabs>
      <w:spacing w:before="40" w:after="40"/>
      <w:ind w:left="284"/>
    </w:pPr>
    <w:rPr>
      <w:rFonts w:ascii="Times New Roman" w:hAnsi="Times New Roman"/>
    </w:rPr>
  </w:style>
  <w:style w:type="paragraph" w:styleId="TOC1">
    <w:name w:val="toc 1"/>
    <w:basedOn w:val="TOCBase"/>
    <w:next w:val="Normal"/>
    <w:rsid w:val="00085B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B19"/>
    <w:pPr>
      <w:spacing w:before="5040"/>
      <w:jc w:val="center"/>
    </w:pPr>
    <w:rPr>
      <w:sz w:val="48"/>
      <w:szCs w:val="72"/>
      <w:lang w:val="en-US"/>
    </w:rPr>
  </w:style>
  <w:style w:type="character" w:customStyle="1" w:styleId="TitleChar">
    <w:name w:val="Title Char"/>
    <w:basedOn w:val="DefaultParagraphFont"/>
    <w:link w:val="Title"/>
    <w:rsid w:val="00085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B19"/>
    <w:pPr>
      <w:tabs>
        <w:tab w:val="left" w:pos="3600"/>
        <w:tab w:val="left" w:pos="3958"/>
      </w:tabs>
    </w:pPr>
  </w:style>
  <w:style w:type="paragraph" w:customStyle="1" w:styleId="Note">
    <w:name w:val="Note"/>
    <w:basedOn w:val="BodyText"/>
    <w:rsid w:val="00085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B19"/>
    <w:pPr>
      <w:framePr w:wrap="auto" w:hAnchor="text" w:y="6049"/>
    </w:pPr>
    <w:rPr>
      <w:color w:val="000000"/>
      <w:sz w:val="40"/>
    </w:rPr>
  </w:style>
  <w:style w:type="paragraph" w:customStyle="1" w:styleId="TOCTitle">
    <w:name w:val="TOCTitle"/>
    <w:basedOn w:val="Heading1"/>
    <w:rsid w:val="00085B19"/>
    <w:pPr>
      <w:spacing w:after="240"/>
      <w:jc w:val="center"/>
      <w:outlineLvl w:val="9"/>
    </w:pPr>
    <w:rPr>
      <w:caps/>
    </w:rPr>
  </w:style>
  <w:style w:type="paragraph" w:customStyle="1" w:styleId="Version">
    <w:name w:val="Version"/>
    <w:rsid w:val="00085B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B19"/>
    <w:pPr>
      <w:keepNext w:val="0"/>
      <w:tabs>
        <w:tab w:val="right" w:pos="4176"/>
      </w:tabs>
      <w:ind w:left="198" w:hanging="198"/>
    </w:pPr>
    <w:rPr>
      <w:rFonts w:ascii="Garamond" w:hAnsi="Garamond"/>
    </w:rPr>
  </w:style>
  <w:style w:type="paragraph" w:styleId="IndexHeading">
    <w:name w:val="index heading"/>
    <w:basedOn w:val="Normal"/>
    <w:next w:val="Index1"/>
    <w:semiHidden/>
    <w:rsid w:val="00085B19"/>
    <w:pPr>
      <w:spacing w:before="120" w:after="120"/>
    </w:pPr>
    <w:rPr>
      <w:rFonts w:ascii="Arial" w:hAnsi="Arial"/>
      <w:b/>
      <w:color w:val="918585"/>
      <w:sz w:val="24"/>
    </w:rPr>
  </w:style>
  <w:style w:type="paragraph" w:customStyle="1" w:styleId="Chapter">
    <w:name w:val="Chapter"/>
    <w:basedOn w:val="Normal"/>
    <w:rsid w:val="00085B19"/>
    <w:pPr>
      <w:spacing w:before="240"/>
    </w:pPr>
    <w:rPr>
      <w:rFonts w:ascii="Times New Roman" w:hAnsi="Times New Roman"/>
      <w:smallCaps/>
      <w:spacing w:val="80"/>
      <w:sz w:val="28"/>
    </w:rPr>
  </w:style>
  <w:style w:type="paragraph" w:customStyle="1" w:styleId="InChapter">
    <w:name w:val="InChapter"/>
    <w:basedOn w:val="Heading3"/>
    <w:rsid w:val="00085B19"/>
    <w:pPr>
      <w:spacing w:after="240"/>
      <w:outlineLvl w:val="9"/>
    </w:pPr>
    <w:rPr>
      <w:noProof/>
    </w:rPr>
  </w:style>
  <w:style w:type="paragraph" w:styleId="Index2">
    <w:name w:val="index 2"/>
    <w:basedOn w:val="Normal"/>
    <w:next w:val="Normal"/>
    <w:semiHidden/>
    <w:rsid w:val="00085B19"/>
    <w:pPr>
      <w:tabs>
        <w:tab w:val="right" w:pos="4176"/>
      </w:tabs>
      <w:ind w:left="568" w:hanging="284"/>
    </w:pPr>
    <w:rPr>
      <w:rFonts w:ascii="Garamond" w:hAnsi="Garamond"/>
    </w:rPr>
  </w:style>
  <w:style w:type="paragraph" w:customStyle="1" w:styleId="Byline">
    <w:name w:val="Byline"/>
    <w:rsid w:val="00085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B19"/>
    <w:pPr>
      <w:tabs>
        <w:tab w:val="clear" w:pos="3600"/>
        <w:tab w:val="clear" w:pos="3958"/>
      </w:tabs>
      <w:jc w:val="right"/>
    </w:pPr>
  </w:style>
  <w:style w:type="character" w:styleId="Emphasis">
    <w:name w:val="Emphasis"/>
    <w:basedOn w:val="DefaultParagraphFont"/>
    <w:qFormat/>
    <w:rsid w:val="00085B19"/>
    <w:rPr>
      <w:i/>
    </w:rPr>
  </w:style>
  <w:style w:type="paragraph" w:styleId="Caption">
    <w:name w:val="caption"/>
    <w:basedOn w:val="BodyText"/>
    <w:next w:val="Normal"/>
    <w:qFormat/>
    <w:rsid w:val="00085B19"/>
    <w:pPr>
      <w:framePr w:w="2268" w:hSpace="181" w:vSpace="181" w:wrap="around" w:vAnchor="text" w:hAnchor="page" w:x="1135" w:y="285" w:anchorLock="1"/>
    </w:pPr>
    <w:rPr>
      <w:i/>
    </w:rPr>
  </w:style>
  <w:style w:type="paragraph" w:customStyle="1" w:styleId="MiniTOCTitle">
    <w:name w:val="MiniTOCTitle"/>
    <w:basedOn w:val="Heading4"/>
    <w:rsid w:val="00085B19"/>
    <w:pPr>
      <w:spacing w:before="240"/>
      <w:outlineLvl w:val="9"/>
    </w:pPr>
    <w:rPr>
      <w:noProof/>
      <w:sz w:val="24"/>
    </w:rPr>
  </w:style>
  <w:style w:type="paragraph" w:customStyle="1" w:styleId="MiniTOCItem">
    <w:name w:val="MiniTOCItem"/>
    <w:basedOn w:val="ListBullet"/>
    <w:rsid w:val="00085B19"/>
    <w:pPr>
      <w:numPr>
        <w:numId w:val="0"/>
      </w:numPr>
      <w:tabs>
        <w:tab w:val="right" w:leader="dot" w:pos="6521"/>
      </w:tabs>
      <w:spacing w:before="0" w:after="0"/>
    </w:pPr>
  </w:style>
  <w:style w:type="paragraph" w:customStyle="1" w:styleId="TOFTitle">
    <w:name w:val="TOFTitle"/>
    <w:basedOn w:val="TOCTitle"/>
    <w:rsid w:val="00085B19"/>
  </w:style>
  <w:style w:type="paragraph" w:styleId="TableofFigures">
    <w:name w:val="table of figures"/>
    <w:basedOn w:val="Normal"/>
    <w:next w:val="Normal"/>
    <w:semiHidden/>
    <w:rsid w:val="00085B19"/>
    <w:pPr>
      <w:tabs>
        <w:tab w:val="right" w:leader="dot" w:pos="9072"/>
      </w:tabs>
      <w:ind w:left="970" w:hanging="403"/>
    </w:pPr>
    <w:rPr>
      <w:rFonts w:ascii="Times New Roman" w:hAnsi="Times New Roman"/>
      <w:b/>
    </w:rPr>
  </w:style>
  <w:style w:type="paragraph" w:styleId="ListNumber">
    <w:name w:val="List Number"/>
    <w:basedOn w:val="List"/>
    <w:rsid w:val="00085B19"/>
    <w:pPr>
      <w:numPr>
        <w:numId w:val="11"/>
      </w:numPr>
    </w:pPr>
  </w:style>
  <w:style w:type="character" w:customStyle="1" w:styleId="WingdingSymbols">
    <w:name w:val="Wingding Symbols"/>
    <w:rsid w:val="00085B19"/>
    <w:rPr>
      <w:rFonts w:ascii="Wingdings" w:hAnsi="Wingdings"/>
    </w:rPr>
  </w:style>
  <w:style w:type="paragraph" w:customStyle="1" w:styleId="TableHeading">
    <w:name w:val="Table Heading"/>
    <w:basedOn w:val="HeadingBase"/>
    <w:rsid w:val="00085B19"/>
    <w:pPr>
      <w:keepLines/>
      <w:pBdr>
        <w:bottom w:val="single" w:sz="6" w:space="1" w:color="918585"/>
      </w:pBdr>
      <w:spacing w:before="240"/>
    </w:pPr>
  </w:style>
  <w:style w:type="character" w:customStyle="1" w:styleId="HotSpot">
    <w:name w:val="HotSpot"/>
    <w:rsid w:val="00085B19"/>
    <w:rPr>
      <w:color w:val="0033CC"/>
      <w:u w:val="none"/>
    </w:rPr>
  </w:style>
  <w:style w:type="paragraph" w:customStyle="1" w:styleId="BodyTextRight">
    <w:name w:val="Body Text Right"/>
    <w:basedOn w:val="BodyText"/>
    <w:rsid w:val="00085B19"/>
    <w:pPr>
      <w:spacing w:before="0" w:after="0"/>
      <w:jc w:val="right"/>
    </w:pPr>
  </w:style>
  <w:style w:type="paragraph" w:styleId="Index3">
    <w:name w:val="index 3"/>
    <w:basedOn w:val="ListNumber2"/>
    <w:next w:val="Normal"/>
    <w:semiHidden/>
    <w:rsid w:val="00085B19"/>
    <w:pPr>
      <w:numPr>
        <w:numId w:val="0"/>
      </w:numPr>
      <w:tabs>
        <w:tab w:val="right" w:leader="dot" w:pos="4176"/>
      </w:tabs>
    </w:pPr>
  </w:style>
  <w:style w:type="paragraph" w:styleId="ListNumber2">
    <w:name w:val="List Number 2"/>
    <w:basedOn w:val="List2"/>
    <w:rsid w:val="00085B19"/>
    <w:pPr>
      <w:numPr>
        <w:numId w:val="10"/>
      </w:numPr>
      <w:tabs>
        <w:tab w:val="clear" w:pos="1060"/>
      </w:tabs>
    </w:pPr>
  </w:style>
  <w:style w:type="paragraph" w:customStyle="1" w:styleId="MarginNote">
    <w:name w:val="Margin Note"/>
    <w:basedOn w:val="BodyText"/>
    <w:rsid w:val="00085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B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5B19"/>
    <w:rPr>
      <w:sz w:val="32"/>
    </w:rPr>
  </w:style>
  <w:style w:type="paragraph" w:customStyle="1" w:styleId="HeadingProcedure">
    <w:name w:val="Heading Procedure"/>
    <w:basedOn w:val="HeadingBase"/>
    <w:next w:val="Normal"/>
    <w:rsid w:val="00085B19"/>
    <w:pPr>
      <w:tabs>
        <w:tab w:val="left" w:pos="0"/>
      </w:tabs>
      <w:spacing w:before="120" w:after="60"/>
    </w:pPr>
    <w:rPr>
      <w:i/>
      <w:color w:val="918585"/>
      <w:sz w:val="22"/>
    </w:rPr>
  </w:style>
  <w:style w:type="paragraph" w:customStyle="1" w:styleId="TableBodyText">
    <w:name w:val="Table Body Text"/>
    <w:basedOn w:val="BodyText"/>
    <w:rsid w:val="00085B19"/>
    <w:pPr>
      <w:spacing w:before="60" w:after="60"/>
    </w:pPr>
  </w:style>
  <w:style w:type="paragraph" w:styleId="ListContinue">
    <w:name w:val="List Continue"/>
    <w:basedOn w:val="List"/>
    <w:rsid w:val="00085B19"/>
    <w:pPr>
      <w:ind w:firstLine="0"/>
    </w:pPr>
  </w:style>
  <w:style w:type="paragraph" w:customStyle="1" w:styleId="ListNote">
    <w:name w:val="List Note"/>
    <w:basedOn w:val="List"/>
    <w:rsid w:val="00085B19"/>
    <w:pPr>
      <w:pBdr>
        <w:top w:val="single" w:sz="6" w:space="2" w:color="918585"/>
        <w:bottom w:val="single" w:sz="6" w:space="2" w:color="918585"/>
      </w:pBdr>
      <w:tabs>
        <w:tab w:val="left" w:pos="1021"/>
      </w:tabs>
      <w:ind w:firstLine="0"/>
    </w:pPr>
  </w:style>
  <w:style w:type="paragraph" w:customStyle="1" w:styleId="Warning">
    <w:name w:val="Warning"/>
    <w:basedOn w:val="BodyText"/>
    <w:rsid w:val="00085B19"/>
    <w:pPr>
      <w:shd w:val="clear" w:color="auto" w:fill="D9D9D9"/>
      <w:tabs>
        <w:tab w:val="left" w:pos="992"/>
      </w:tabs>
      <w:ind w:left="119" w:right="119"/>
    </w:pPr>
    <w:rPr>
      <w:sz w:val="20"/>
    </w:rPr>
  </w:style>
  <w:style w:type="paragraph" w:customStyle="1" w:styleId="MarginIcons">
    <w:name w:val="Margin Icons"/>
    <w:basedOn w:val="BodyText"/>
    <w:rsid w:val="00085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B19"/>
    <w:rPr>
      <w:rFonts w:ascii="Courier New" w:hAnsi="Courier New"/>
    </w:rPr>
  </w:style>
  <w:style w:type="paragraph" w:customStyle="1" w:styleId="NoteBullet">
    <w:name w:val="Note Bullet"/>
    <w:basedOn w:val="Note"/>
    <w:rsid w:val="00085B19"/>
    <w:pPr>
      <w:tabs>
        <w:tab w:val="clear" w:pos="680"/>
      </w:tabs>
      <w:spacing w:before="60" w:after="60"/>
    </w:pPr>
  </w:style>
  <w:style w:type="paragraph" w:customStyle="1" w:styleId="SubHeading2">
    <w:name w:val="SubHeading2"/>
    <w:basedOn w:val="HeadingBase"/>
    <w:rsid w:val="00085B19"/>
    <w:pPr>
      <w:spacing w:before="240" w:after="60"/>
    </w:pPr>
    <w:rPr>
      <w:sz w:val="20"/>
    </w:rPr>
  </w:style>
  <w:style w:type="paragraph" w:customStyle="1" w:styleId="SubHeading1">
    <w:name w:val="SubHeading1"/>
    <w:basedOn w:val="HeadingBase"/>
    <w:rsid w:val="00085B19"/>
    <w:pPr>
      <w:spacing w:before="240" w:after="60"/>
    </w:pPr>
    <w:rPr>
      <w:color w:val="918585"/>
      <w:sz w:val="22"/>
    </w:rPr>
  </w:style>
  <w:style w:type="paragraph" w:customStyle="1" w:styleId="SideHeading">
    <w:name w:val="Side Heading"/>
    <w:basedOn w:val="HeadingBase"/>
    <w:rsid w:val="00085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B19"/>
    <w:pPr>
      <w:numPr>
        <w:numId w:val="12"/>
      </w:numPr>
    </w:pPr>
  </w:style>
  <w:style w:type="paragraph" w:styleId="PlainText">
    <w:name w:val="Plain Text"/>
    <w:basedOn w:val="Normal"/>
    <w:link w:val="PlainTextChar"/>
    <w:rsid w:val="00085B19"/>
    <w:rPr>
      <w:sz w:val="20"/>
    </w:rPr>
  </w:style>
  <w:style w:type="character" w:customStyle="1" w:styleId="PlainTextChar">
    <w:name w:val="Plain Text Char"/>
    <w:basedOn w:val="DefaultParagraphFont"/>
    <w:link w:val="PlainText"/>
    <w:rsid w:val="00085B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5B19"/>
    <w:rPr>
      <w:b/>
      <w:smallCaps/>
    </w:rPr>
  </w:style>
  <w:style w:type="paragraph" w:customStyle="1" w:styleId="TableListNumber">
    <w:name w:val="Table List Number"/>
    <w:basedOn w:val="ListNumber"/>
    <w:rsid w:val="00085B19"/>
    <w:pPr>
      <w:numPr>
        <w:numId w:val="0"/>
      </w:numPr>
    </w:pPr>
  </w:style>
  <w:style w:type="paragraph" w:styleId="TOC4">
    <w:name w:val="toc 4"/>
    <w:basedOn w:val="TOCBase"/>
    <w:next w:val="Normal"/>
    <w:semiHidden/>
    <w:rsid w:val="00085B19"/>
    <w:pPr>
      <w:tabs>
        <w:tab w:val="right" w:leader="dot" w:pos="9071"/>
      </w:tabs>
      <w:ind w:left="1701"/>
    </w:pPr>
  </w:style>
  <w:style w:type="paragraph" w:customStyle="1" w:styleId="ListAlpha">
    <w:name w:val="List Alpha"/>
    <w:basedOn w:val="List"/>
    <w:rsid w:val="00085B19"/>
    <w:pPr>
      <w:numPr>
        <w:numId w:val="9"/>
      </w:numPr>
    </w:pPr>
  </w:style>
  <w:style w:type="paragraph" w:customStyle="1" w:styleId="ListAlpha2">
    <w:name w:val="List Alpha 2"/>
    <w:basedOn w:val="List2"/>
    <w:rsid w:val="00085B19"/>
    <w:pPr>
      <w:numPr>
        <w:numId w:val="8"/>
      </w:numPr>
    </w:pPr>
  </w:style>
  <w:style w:type="paragraph" w:styleId="List3">
    <w:name w:val="List 3"/>
    <w:basedOn w:val="BodyText"/>
    <w:rsid w:val="00085B19"/>
    <w:pPr>
      <w:tabs>
        <w:tab w:val="left" w:pos="1021"/>
      </w:tabs>
      <w:spacing w:before="60" w:after="60"/>
      <w:ind w:left="1020" w:hanging="340"/>
    </w:pPr>
  </w:style>
  <w:style w:type="paragraph" w:styleId="List4">
    <w:name w:val="List 4"/>
    <w:basedOn w:val="BodyText"/>
    <w:rsid w:val="00085B19"/>
    <w:pPr>
      <w:tabs>
        <w:tab w:val="left" w:pos="1361"/>
      </w:tabs>
      <w:spacing w:before="60" w:after="60"/>
      <w:ind w:left="1361" w:hanging="340"/>
    </w:pPr>
  </w:style>
  <w:style w:type="paragraph" w:styleId="List5">
    <w:name w:val="List 5"/>
    <w:basedOn w:val="BodyText"/>
    <w:rsid w:val="00085B19"/>
    <w:pPr>
      <w:tabs>
        <w:tab w:val="left" w:pos="1701"/>
      </w:tabs>
      <w:spacing w:before="60" w:after="60"/>
      <w:ind w:left="1701" w:hanging="340"/>
    </w:pPr>
  </w:style>
  <w:style w:type="paragraph" w:styleId="ListBullet3">
    <w:name w:val="List Bullet 3"/>
    <w:basedOn w:val="List3"/>
    <w:rsid w:val="00085B19"/>
    <w:pPr>
      <w:numPr>
        <w:numId w:val="15"/>
      </w:numPr>
      <w:tabs>
        <w:tab w:val="clear" w:pos="1021"/>
      </w:tabs>
      <w:ind w:left="1037" w:hanging="357"/>
    </w:pPr>
  </w:style>
  <w:style w:type="paragraph" w:styleId="ListBullet4">
    <w:name w:val="List Bullet 4"/>
    <w:basedOn w:val="List4"/>
    <w:rsid w:val="00085B19"/>
    <w:pPr>
      <w:numPr>
        <w:numId w:val="3"/>
      </w:numPr>
    </w:pPr>
  </w:style>
  <w:style w:type="paragraph" w:styleId="ListBullet5">
    <w:name w:val="List Bullet 5"/>
    <w:basedOn w:val="List5"/>
    <w:rsid w:val="00085B19"/>
    <w:pPr>
      <w:numPr>
        <w:numId w:val="4"/>
      </w:numPr>
    </w:pPr>
  </w:style>
  <w:style w:type="paragraph" w:styleId="ListContinue2">
    <w:name w:val="List Continue 2"/>
    <w:basedOn w:val="List2"/>
    <w:rsid w:val="00085B19"/>
    <w:pPr>
      <w:ind w:firstLine="0"/>
    </w:pPr>
  </w:style>
  <w:style w:type="paragraph" w:styleId="ListContinue3">
    <w:name w:val="List Continue 3"/>
    <w:basedOn w:val="List3"/>
    <w:rsid w:val="00085B19"/>
    <w:pPr>
      <w:ind w:left="1021" w:firstLine="0"/>
    </w:pPr>
  </w:style>
  <w:style w:type="paragraph" w:styleId="ListContinue4">
    <w:name w:val="List Continue 4"/>
    <w:basedOn w:val="List4"/>
    <w:rsid w:val="00085B19"/>
    <w:pPr>
      <w:ind w:firstLine="0"/>
    </w:pPr>
  </w:style>
  <w:style w:type="paragraph" w:styleId="ListContinue5">
    <w:name w:val="List Continue 5"/>
    <w:basedOn w:val="List5"/>
    <w:rsid w:val="00085B19"/>
    <w:pPr>
      <w:ind w:firstLine="0"/>
    </w:pPr>
  </w:style>
  <w:style w:type="paragraph" w:styleId="ListNumber3">
    <w:name w:val="List Number 3"/>
    <w:basedOn w:val="List3"/>
    <w:rsid w:val="00085B19"/>
    <w:pPr>
      <w:numPr>
        <w:numId w:val="5"/>
      </w:numPr>
    </w:pPr>
  </w:style>
  <w:style w:type="paragraph" w:styleId="ListNumber4">
    <w:name w:val="List Number 4"/>
    <w:basedOn w:val="List4"/>
    <w:rsid w:val="00085B19"/>
    <w:pPr>
      <w:numPr>
        <w:numId w:val="6"/>
      </w:numPr>
    </w:pPr>
  </w:style>
  <w:style w:type="paragraph" w:styleId="ListNumber5">
    <w:name w:val="List Number 5"/>
    <w:basedOn w:val="List5"/>
    <w:rsid w:val="00085B19"/>
    <w:pPr>
      <w:numPr>
        <w:numId w:val="7"/>
      </w:numPr>
    </w:pPr>
  </w:style>
  <w:style w:type="paragraph" w:styleId="BlockText">
    <w:name w:val="Block Text"/>
    <w:basedOn w:val="Normal"/>
    <w:rsid w:val="00085B19"/>
    <w:pPr>
      <w:spacing w:after="120"/>
      <w:ind w:left="1440" w:right="1440"/>
    </w:pPr>
  </w:style>
  <w:style w:type="character" w:customStyle="1" w:styleId="Subscript">
    <w:name w:val="Subscript"/>
    <w:basedOn w:val="DefaultParagraphFont"/>
    <w:rsid w:val="00085B19"/>
    <w:rPr>
      <w:sz w:val="16"/>
      <w:vertAlign w:val="subscript"/>
    </w:rPr>
  </w:style>
  <w:style w:type="character" w:customStyle="1" w:styleId="Superscript">
    <w:name w:val="Superscript"/>
    <w:basedOn w:val="DefaultParagraphFont"/>
    <w:rsid w:val="00085B19"/>
    <w:rPr>
      <w:sz w:val="16"/>
      <w:vertAlign w:val="superscript"/>
    </w:rPr>
  </w:style>
  <w:style w:type="character" w:customStyle="1" w:styleId="Symbols">
    <w:name w:val="Symbols"/>
    <w:basedOn w:val="DefaultParagraphFont"/>
    <w:rsid w:val="00085B19"/>
    <w:rPr>
      <w:rFonts w:ascii="Symbol" w:hAnsi="Symbol"/>
    </w:rPr>
  </w:style>
  <w:style w:type="character" w:customStyle="1" w:styleId="MenuOptions">
    <w:name w:val="Menu Options"/>
    <w:basedOn w:val="DefaultParagraphFont"/>
    <w:rsid w:val="00085B19"/>
    <w:rPr>
      <w:rFonts w:ascii="Arial Narrow" w:hAnsi="Arial Narrow"/>
      <w:smallCaps/>
    </w:rPr>
  </w:style>
  <w:style w:type="character" w:customStyle="1" w:styleId="Buttons">
    <w:name w:val="Buttons"/>
    <w:basedOn w:val="DefaultParagraphFont"/>
    <w:rsid w:val="00085B19"/>
    <w:rPr>
      <w:b/>
    </w:rPr>
  </w:style>
  <w:style w:type="character" w:customStyle="1" w:styleId="Underlined">
    <w:name w:val="Underlined"/>
    <w:basedOn w:val="DefaultParagraphFont"/>
    <w:rsid w:val="00085B19"/>
    <w:rPr>
      <w:u w:val="single"/>
    </w:rPr>
  </w:style>
  <w:style w:type="paragraph" w:customStyle="1" w:styleId="TableBodyTextRight">
    <w:name w:val="Table Body Text Right"/>
    <w:basedOn w:val="TableBodyText"/>
    <w:rsid w:val="00085B19"/>
    <w:pPr>
      <w:widowControl w:val="0"/>
      <w:autoSpaceDE w:val="0"/>
      <w:autoSpaceDN w:val="0"/>
      <w:adjustRightInd w:val="0"/>
      <w:jc w:val="right"/>
    </w:pPr>
    <w:rPr>
      <w:rFonts w:cs="Arial"/>
      <w:szCs w:val="18"/>
    </w:rPr>
  </w:style>
  <w:style w:type="paragraph" w:customStyle="1" w:styleId="CopyrightText">
    <w:name w:val="Copyright Text"/>
    <w:basedOn w:val="BodyText"/>
    <w:rsid w:val="00085B19"/>
    <w:rPr>
      <w:sz w:val="18"/>
    </w:rPr>
  </w:style>
  <w:style w:type="paragraph" w:customStyle="1" w:styleId="BodySmallRight">
    <w:name w:val="Body Small Right"/>
    <w:basedOn w:val="BodyTextRight"/>
    <w:rsid w:val="00085B19"/>
    <w:rPr>
      <w:sz w:val="18"/>
      <w:szCs w:val="18"/>
    </w:rPr>
  </w:style>
  <w:style w:type="paragraph" w:customStyle="1" w:styleId="MarginEdition">
    <w:name w:val="Margin Edition"/>
    <w:basedOn w:val="MarginNote"/>
    <w:rsid w:val="00085B19"/>
    <w:pPr>
      <w:spacing w:before="0" w:after="0"/>
    </w:pPr>
    <w:rPr>
      <w:rFonts w:ascii="Times New Roman" w:hAnsi="Times New Roman"/>
      <w:color w:val="999999"/>
    </w:rPr>
  </w:style>
  <w:style w:type="paragraph" w:customStyle="1" w:styleId="Spacer">
    <w:name w:val="Spacer"/>
    <w:basedOn w:val="Normal"/>
    <w:rsid w:val="00085B19"/>
    <w:rPr>
      <w:sz w:val="2"/>
      <w:szCs w:val="2"/>
    </w:rPr>
  </w:style>
  <w:style w:type="character" w:customStyle="1" w:styleId="Small">
    <w:name w:val="Small"/>
    <w:basedOn w:val="DefaultParagraphFont"/>
    <w:rsid w:val="00085B19"/>
    <w:rPr>
      <w:sz w:val="16"/>
    </w:rPr>
  </w:style>
  <w:style w:type="paragraph" w:customStyle="1" w:styleId="WideTable">
    <w:name w:val="Wide Table"/>
    <w:basedOn w:val="Normal"/>
    <w:rsid w:val="00085B19"/>
    <w:pPr>
      <w:ind w:left="-1418"/>
    </w:pPr>
    <w:rPr>
      <w:sz w:val="2"/>
      <w:szCs w:val="2"/>
    </w:rPr>
  </w:style>
  <w:style w:type="character" w:styleId="PageNumber">
    <w:name w:val="page number"/>
    <w:basedOn w:val="DefaultParagraphFont"/>
    <w:rsid w:val="00085B19"/>
  </w:style>
  <w:style w:type="paragraph" w:styleId="Quote">
    <w:name w:val="Quote"/>
    <w:basedOn w:val="Heading1"/>
    <w:link w:val="QuoteChar"/>
    <w:qFormat/>
    <w:rsid w:val="00085B19"/>
    <w:rPr>
      <w:b w:val="0"/>
      <w:sz w:val="72"/>
      <w:szCs w:val="72"/>
      <w:lang w:val="en-NZ"/>
    </w:rPr>
  </w:style>
  <w:style w:type="character" w:customStyle="1" w:styleId="QuoteChar">
    <w:name w:val="Quote Char"/>
    <w:basedOn w:val="DefaultParagraphFont"/>
    <w:link w:val="Quote"/>
    <w:rsid w:val="00085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B19"/>
    <w:pPr>
      <w:pageBreakBefore/>
    </w:pPr>
  </w:style>
  <w:style w:type="paragraph" w:customStyle="1" w:styleId="Border">
    <w:name w:val="Border"/>
    <w:basedOn w:val="Normal"/>
    <w:qFormat/>
    <w:rsid w:val="00085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B19"/>
    <w:rPr>
      <w:b/>
      <w:bCs/>
      <w:i/>
      <w:iCs/>
      <w:color w:val="auto"/>
    </w:rPr>
  </w:style>
  <w:style w:type="paragraph" w:styleId="IntenseQuote">
    <w:name w:val="Intense Quote"/>
    <w:basedOn w:val="Normal"/>
    <w:next w:val="Normal"/>
    <w:link w:val="IntenseQuoteChar"/>
    <w:uiPriority w:val="30"/>
    <w:qFormat/>
    <w:rsid w:val="00085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B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5B19"/>
    <w:rPr>
      <w:smallCaps/>
      <w:color w:val="auto"/>
      <w:u w:val="single"/>
    </w:rPr>
  </w:style>
  <w:style w:type="character" w:styleId="IntenseReference">
    <w:name w:val="Intense Reference"/>
    <w:basedOn w:val="DefaultParagraphFont"/>
    <w:uiPriority w:val="32"/>
    <w:qFormat/>
    <w:rsid w:val="00085B19"/>
    <w:rPr>
      <w:b/>
      <w:bCs/>
      <w:smallCaps/>
      <w:color w:val="auto"/>
      <w:spacing w:val="5"/>
      <w:u w:val="single"/>
    </w:rPr>
  </w:style>
  <w:style w:type="paragraph" w:customStyle="1" w:styleId="2ColumnHeading">
    <w:name w:val="2Column Heading"/>
    <w:basedOn w:val="BodyText"/>
    <w:qFormat/>
    <w:rsid w:val="00085B19"/>
    <w:pPr>
      <w:spacing w:after="60"/>
      <w:ind w:left="-2268"/>
    </w:pPr>
    <w:rPr>
      <w:b/>
    </w:rPr>
  </w:style>
  <w:style w:type="paragraph" w:customStyle="1" w:styleId="Heading1TOC">
    <w:name w:val="Heading1 TOC"/>
    <w:basedOn w:val="Normal"/>
    <w:qFormat/>
    <w:rsid w:val="00085B19"/>
    <w:pPr>
      <w:spacing w:before="240" w:after="120"/>
    </w:pPr>
    <w:rPr>
      <w:rFonts w:ascii="Times New Roman" w:hAnsi="Times New Roman"/>
      <w:b/>
      <w:sz w:val="32"/>
    </w:rPr>
  </w:style>
  <w:style w:type="paragraph" w:customStyle="1" w:styleId="Heading2TOC">
    <w:name w:val="Heading2 TOC"/>
    <w:basedOn w:val="Normal"/>
    <w:qFormat/>
    <w:rsid w:val="00085B19"/>
    <w:pPr>
      <w:spacing w:before="240" w:after="60"/>
    </w:pPr>
    <w:rPr>
      <w:rFonts w:ascii="Times New Roman" w:hAnsi="Times New Roman"/>
      <w:b/>
      <w:sz w:val="28"/>
    </w:rPr>
  </w:style>
  <w:style w:type="character" w:customStyle="1" w:styleId="Underline">
    <w:name w:val="Underline"/>
    <w:basedOn w:val="DefaultParagraphFont"/>
    <w:qFormat/>
    <w:rsid w:val="00085B19"/>
    <w:rPr>
      <w:u w:val="single"/>
    </w:rPr>
  </w:style>
  <w:style w:type="character" w:customStyle="1" w:styleId="BoldandItalics">
    <w:name w:val="Bold and Italics"/>
    <w:qFormat/>
    <w:rsid w:val="00085B19"/>
    <w:rPr>
      <w:b/>
      <w:i/>
      <w:u w:val="none"/>
    </w:rPr>
  </w:style>
  <w:style w:type="paragraph" w:styleId="BalloonText">
    <w:name w:val="Balloon Text"/>
    <w:basedOn w:val="Normal"/>
    <w:link w:val="BalloonTextChar"/>
    <w:rsid w:val="00085B19"/>
    <w:rPr>
      <w:rFonts w:ascii="Tahoma" w:hAnsi="Tahoma" w:cs="Tahoma"/>
      <w:sz w:val="16"/>
      <w:szCs w:val="16"/>
    </w:rPr>
  </w:style>
  <w:style w:type="character" w:customStyle="1" w:styleId="BalloonTextChar">
    <w:name w:val="Balloon Text Char"/>
    <w:basedOn w:val="DefaultParagraphFont"/>
    <w:link w:val="BalloonText"/>
    <w:rsid w:val="00085B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5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B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1161</Words>
  <Characters>7384</Characters>
  <Application>Microsoft Office Word</Application>
  <DocSecurity>0</DocSecurity>
  <Lines>266</Lines>
  <Paragraphs>128</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MEM04022A Examine appropriateness of methoding for mould design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2012-05-27T01:27:00Z</dcterms:created>
  <dcterms:modified xsi:type="dcterms:W3CDTF">2012-05-27T01:27:00Z</dcterms:modified>
</cp:coreProperties>
</file>