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2AE" w:rsidP="003212AE">
      <w:pPr>
        <w:pStyle w:val="Title"/>
      </w:pPr>
      <w:r>
        <w:fldChar w:fldCharType="begin"/>
      </w:r>
      <w:r>
        <w:instrText xml:space="preserve"> TITLE   \* MERGEFORMAT </w:instrText>
      </w:r>
      <w:r>
        <w:fldChar w:fldCharType="separate"/>
      </w:r>
      <w:r>
        <w:t>MEM04019B Perform refractory installation and repair</w:t>
      </w:r>
      <w:r>
        <w:fldChar w:fldCharType="end"/>
      </w:r>
    </w:p>
    <w:p w:rsidR="003212AE" w:rsidP="003212AE">
      <w:pPr>
        <w:pStyle w:val="Version"/>
        <w:sectPr w:rsidSect="00CF3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C42" w:rsidP="00CF3C42">
      <w:pPr>
        <w:pStyle w:val="SuperHeading"/>
      </w:pPr>
      <w:r w:rsidRPr="00CF3C42">
        <w:t>MEM04019B Perform refractory installation and repair</w:t>
      </w:r>
    </w:p>
    <w:p w:rsidR="00000000" w:rsidRPr="00CF3C42" w:rsidP="00CF3C42">
      <w:pPr>
        <w:pStyle w:val="Heading1"/>
      </w:pPr>
      <w:bookmarkStart w:id="1" w:name="O_271990"/>
      <w:bookmarkEnd w:id="1"/>
      <w:r w:rsidRPr="00CF3C42">
        <w:t>Modification History</w:t>
      </w:r>
    </w:p>
    <w:p w:rsidR="00000000" w:rsidRPr="00CF3C42" w:rsidP="00CF3C42">
      <w:pPr>
        <w:pStyle w:val="BodyText"/>
      </w:pPr>
      <w:r w:rsidRPr="00CF3C42">
        <w:t>Not Applicable</w:t>
      </w:r>
    </w:p>
    <w:p w:rsidR="00000000" w:rsidRPr="00CF3C42" w:rsidP="00CF3C42">
      <w:pPr>
        <w:pStyle w:val="AllowPageBreak"/>
      </w:pPr>
    </w:p>
    <w:p w:rsidR="00000000" w:rsidRPr="00CF3C42" w:rsidP="00CF3C42">
      <w:pPr>
        <w:pStyle w:val="Heading1"/>
      </w:pPr>
      <w:bookmarkStart w:id="2" w:name="O_210368"/>
      <w:bookmarkEnd w:id="2"/>
      <w:r w:rsidRPr="00CF3C42">
        <w:t>Unit Descriptor</w:t>
      </w:r>
    </w:p>
    <w:tbl>
      <w:tblPr>
        <w:tblW w:w="0" w:type="auto"/>
        <w:tblLayout w:type="fixed"/>
        <w:tblCellMar>
          <w:left w:w="62" w:type="dxa"/>
          <w:right w:w="62" w:type="dxa"/>
        </w:tblCellMar>
        <w:tblLook w:val="0000"/>
      </w:tblPr>
      <w:tblGrid>
        <w:gridCol w:w="2656"/>
        <w:gridCol w:w="5866"/>
      </w:tblGrid>
      <w:tr w:rsidTr="003212AE">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This unit covers repairing and installing/replacing refractory.</w:t>
            </w:r>
          </w:p>
        </w:tc>
      </w:tr>
    </w:tbl>
    <w:p w:rsidR="003212AE" w:rsidP="00CF3C42">
      <w:pPr>
        <w:pStyle w:val="BodyText"/>
      </w:pPr>
    </w:p>
    <w:p w:rsidR="003212AE" w:rsidP="00CF3C42">
      <w:pPr>
        <w:pStyle w:val="BodyText"/>
      </w:pPr>
    </w:p>
    <w:p w:rsidR="00000000" w:rsidRPr="00CF3C42" w:rsidP="00CF3C42">
      <w:pPr>
        <w:pStyle w:val="Heading1"/>
      </w:pPr>
      <w:bookmarkStart w:id="3" w:name="O_210372"/>
      <w:bookmarkEnd w:id="3"/>
      <w:r w:rsidRPr="00CF3C42">
        <w:t>Application of the Unit</w:t>
      </w:r>
    </w:p>
    <w:tbl>
      <w:tblPr>
        <w:tblW w:w="0" w:type="auto"/>
        <w:tblLayout w:type="fixed"/>
        <w:tblCellMar>
          <w:left w:w="62" w:type="dxa"/>
          <w:right w:w="62" w:type="dxa"/>
        </w:tblCellMar>
        <w:tblLook w:val="0000"/>
      </w:tblPr>
      <w:tblGrid>
        <w:gridCol w:w="2745"/>
        <w:gridCol w:w="5777"/>
      </w:tblGrid>
      <w:tr w:rsidTr="003212A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This unit applies to the repair and replacement of all types of refractory, including relining furnaces, treatment vessels, ladles and launders, and covers material which can be machine rammed, hand rammed, f</w:t>
            </w:r>
            <w:r w:rsidRPr="00CF3C42">
              <w:t xml:space="preserve">orked or vibrated. </w:t>
            </w:r>
          </w:p>
          <w:p w:rsidR="00000000" w:rsidRPr="00CF3C42" w:rsidP="00CF3C42">
            <w:pPr>
              <w:pStyle w:val="BodyText"/>
            </w:pPr>
            <w:r w:rsidRPr="00CF3C42">
              <w:t>This includes refractory bricks and their replacement.</w:t>
            </w:r>
          </w:p>
          <w:p w:rsidR="00000000" w:rsidRPr="00CF3C42" w:rsidP="00CF3C42">
            <w:pPr>
              <w:pStyle w:val="BodyText"/>
            </w:pPr>
            <w:r w:rsidRPr="00CF3C42">
              <w:t>For operational maintenance such as routine repair/repointing of refractory see Units MEM04001B (Operate melting furnaces) and/or Unit MEM04007B (Pour molten metal).</w:t>
            </w:r>
          </w:p>
          <w:p w:rsidR="00000000" w:rsidRPr="00CF3C42" w:rsidP="00CF3C42">
            <w:pPr>
              <w:pStyle w:val="BodyText"/>
            </w:pPr>
            <w:r w:rsidRPr="00CF3C42">
              <w:t>Further refract</w:t>
            </w:r>
            <w:r w:rsidRPr="00CF3C42">
              <w:t>ory skills are covered by Manufactured Mineral Products Training Package PMC03.</w:t>
            </w:r>
          </w:p>
          <w:p w:rsidR="00000000" w:rsidRPr="00CF3C42" w:rsidP="00CF3C42">
            <w:pPr>
              <w:pStyle w:val="BodyText"/>
            </w:pPr>
          </w:p>
          <w:p w:rsidR="00000000" w:rsidRPr="00CF3C42" w:rsidP="00CF3C42">
            <w:pPr>
              <w:pStyle w:val="BodyText"/>
            </w:pPr>
            <w:r w:rsidRPr="00CF3C42">
              <w:rPr>
                <w:rStyle w:val="SpecialBold"/>
              </w:rPr>
              <w:t>Band</w:t>
            </w:r>
            <w:r w:rsidRPr="00CF3C42">
              <w:t>:</w:t>
            </w:r>
            <w:r w:rsidRPr="00CF3C42">
              <w:tab/>
            </w:r>
            <w:r w:rsidRPr="00CF3C42">
              <w:rPr>
                <w:rStyle w:val="SpecialBold"/>
              </w:rPr>
              <w:t>A</w:t>
            </w:r>
          </w:p>
          <w:p w:rsidR="00000000" w:rsidRPr="00CF3C42" w:rsidP="00CF3C42">
            <w:pPr>
              <w:pStyle w:val="BodyText"/>
            </w:pPr>
            <w:r w:rsidRPr="00CF3C42">
              <w:rPr>
                <w:rStyle w:val="SpecialBold"/>
              </w:rPr>
              <w:t>Unit Weight</w:t>
            </w:r>
            <w:r w:rsidRPr="00CF3C42">
              <w:t>:</w:t>
            </w:r>
            <w:r w:rsidRPr="00CF3C42">
              <w:tab/>
            </w:r>
            <w:r w:rsidRPr="00CF3C42">
              <w:rPr>
                <w:rStyle w:val="SpecialBold"/>
              </w:rPr>
              <w:t>4</w:t>
            </w:r>
          </w:p>
        </w:tc>
      </w:tr>
    </w:tbl>
    <w:p w:rsidR="003212AE" w:rsidP="00CF3C42">
      <w:pPr>
        <w:pStyle w:val="BodyText"/>
      </w:pPr>
    </w:p>
    <w:p w:rsidR="003212AE" w:rsidP="00CF3C42">
      <w:pPr>
        <w:pStyle w:val="BodyText"/>
      </w:pPr>
    </w:p>
    <w:p w:rsidR="00000000" w:rsidRPr="00CF3C42" w:rsidP="00CF3C42">
      <w:pPr>
        <w:pStyle w:val="Heading1"/>
      </w:pPr>
      <w:bookmarkStart w:id="4" w:name="O_280250"/>
      <w:bookmarkEnd w:id="4"/>
      <w:r w:rsidRPr="00CF3C42">
        <w:t>Licensing/Regulatory Information</w:t>
      </w:r>
    </w:p>
    <w:p w:rsidR="00000000" w:rsidRPr="00CF3C42" w:rsidP="00CF3C42">
      <w:pPr>
        <w:pStyle w:val="BodyText"/>
      </w:pPr>
      <w:r w:rsidRPr="00CF3C42">
        <w:t>Not Applicable</w:t>
      </w:r>
    </w:p>
    <w:p w:rsidR="00000000" w:rsidRPr="00CF3C42" w:rsidP="00CF3C42">
      <w:pPr>
        <w:pStyle w:val="AllowPageBreak"/>
      </w:pPr>
    </w:p>
    <w:p w:rsidR="00000000" w:rsidRPr="00CF3C42" w:rsidP="00CF3C42">
      <w:pPr>
        <w:pStyle w:val="Heading1"/>
      </w:pPr>
      <w:bookmarkStart w:id="5" w:name="O_210370"/>
      <w:bookmarkEnd w:id="5"/>
      <w:r w:rsidRPr="00CF3C42">
        <w:t>Pre-Requisites</w:t>
      </w:r>
    </w:p>
    <w:tbl>
      <w:tblPr>
        <w:tblW w:w="0" w:type="auto"/>
        <w:tblLayout w:type="fixed"/>
        <w:tblCellMar>
          <w:left w:w="62" w:type="dxa"/>
          <w:right w:w="62" w:type="dxa"/>
        </w:tblCellMar>
        <w:tblLook w:val="0000"/>
      </w:tblPr>
      <w:tblGrid>
        <w:gridCol w:w="2722"/>
        <w:gridCol w:w="2207"/>
        <w:gridCol w:w="3593"/>
      </w:tblGrid>
      <w:tr w:rsidTr="003212AE">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p>
        </w:tc>
      </w:tr>
      <w:tr w:rsidTr="003212AE">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Use hand tools</w:t>
            </w:r>
          </w:p>
        </w:tc>
      </w:tr>
      <w:tr w:rsidTr="003212AE">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Use power tools/hand held operations</w:t>
            </w:r>
          </w:p>
        </w:tc>
      </w:tr>
    </w:tbl>
    <w:p w:rsidR="003212AE" w:rsidP="00CF3C42">
      <w:pPr>
        <w:pStyle w:val="BodyText"/>
      </w:pPr>
    </w:p>
    <w:p w:rsidR="003212AE" w:rsidP="00CF3C42">
      <w:pPr>
        <w:pStyle w:val="BodyText"/>
      </w:pPr>
    </w:p>
    <w:p w:rsidR="00000000" w:rsidRPr="00CF3C42" w:rsidP="00CF3C42">
      <w:pPr>
        <w:pStyle w:val="Heading1"/>
      </w:pPr>
      <w:bookmarkStart w:id="6" w:name="O_210369"/>
      <w:bookmarkEnd w:id="6"/>
      <w:r w:rsidRPr="00CF3C42">
        <w:t>Employability Skills Information</w:t>
      </w:r>
    </w:p>
    <w:tbl>
      <w:tblPr>
        <w:tblW w:w="0" w:type="auto"/>
        <w:tblLayout w:type="fixed"/>
        <w:tblCellMar>
          <w:left w:w="62" w:type="dxa"/>
          <w:right w:w="62" w:type="dxa"/>
        </w:tblCellMar>
        <w:tblLook w:val="0000"/>
      </w:tblPr>
      <w:tblGrid>
        <w:gridCol w:w="2802"/>
        <w:gridCol w:w="5720"/>
      </w:tblGrid>
      <w:tr w:rsidTr="003212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This unit contains employability skills.</w:t>
            </w:r>
          </w:p>
        </w:tc>
      </w:tr>
    </w:tbl>
    <w:p w:rsidR="003212AE" w:rsidP="00CF3C42">
      <w:pPr>
        <w:pStyle w:val="BodyText"/>
      </w:pPr>
    </w:p>
    <w:p w:rsidR="003212AE" w:rsidP="00CF3C42">
      <w:pPr>
        <w:pStyle w:val="BodyText"/>
      </w:pPr>
    </w:p>
    <w:p w:rsidR="00000000" w:rsidRPr="00CF3C42" w:rsidP="00CF3C42">
      <w:pPr>
        <w:pStyle w:val="Heading1"/>
      </w:pPr>
      <w:bookmarkStart w:id="7" w:name="O_290036"/>
      <w:bookmarkEnd w:id="7"/>
      <w:r w:rsidRPr="00CF3C42">
        <w:t>Elements and Performance Criteria Pre-Content</w:t>
      </w:r>
    </w:p>
    <w:tbl>
      <w:tblPr>
        <w:tblW w:w="0" w:type="auto"/>
        <w:tblLayout w:type="fixed"/>
        <w:tblCellMar>
          <w:left w:w="62" w:type="dxa"/>
          <w:right w:w="62" w:type="dxa"/>
        </w:tblCellMar>
        <w:tblLook w:val="0000"/>
      </w:tblPr>
      <w:tblGrid>
        <w:gridCol w:w="2537"/>
        <w:gridCol w:w="5985"/>
      </w:tblGrid>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 xml:space="preserve">Performance criteria describe the performance needed to demonstrate achievement of the element. Where bold italicised text is used, further </w:t>
            </w:r>
            <w:r w:rsidRPr="00CF3C42">
              <w:t>information is detailed in the required skills and knowledge section and the range statement. Assessment of performance is to be consistent with the evidence guide.</w:t>
            </w:r>
          </w:p>
        </w:tc>
      </w:tr>
    </w:tbl>
    <w:p w:rsidR="00000000" w:rsidRPr="00CF3C42" w:rsidP="00CF3C42">
      <w:pPr>
        <w:pStyle w:val="BodyText"/>
      </w:pPr>
    </w:p>
    <w:p w:rsidR="00000000" w:rsidRPr="00CF3C42" w:rsidP="00CF3C42">
      <w:pPr>
        <w:pStyle w:val="AllowPageBreak"/>
      </w:pPr>
    </w:p>
    <w:p w:rsidR="00000000" w:rsidRPr="00CF3C42" w:rsidP="00CF3C42">
      <w:pPr>
        <w:pStyle w:val="Heading1"/>
      </w:pPr>
      <w:bookmarkStart w:id="8" w:name="O_236703"/>
      <w:bookmarkEnd w:id="8"/>
      <w:r w:rsidRPr="00CF3C42">
        <w:t>Elements and Performance Criteria</w:t>
      </w:r>
    </w:p>
    <w:tbl>
      <w:tblPr>
        <w:tblW w:w="0" w:type="auto"/>
        <w:tblLayout w:type="fixed"/>
        <w:tblCellMar>
          <w:left w:w="62" w:type="dxa"/>
          <w:right w:w="62" w:type="dxa"/>
        </w:tblCellMar>
        <w:tblLook w:val="0000"/>
      </w:tblPr>
      <w:tblGrid>
        <w:gridCol w:w="2537"/>
        <w:gridCol w:w="5985"/>
      </w:tblGrid>
      <w:tr w:rsidTr="003212AE">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PERFORMANCE CRITERIA</w:t>
            </w:r>
          </w:p>
        </w:tc>
      </w:tr>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List"/>
              <w:rPr>
                <w:lang w:val="en-NZ"/>
              </w:rPr>
            </w:pPr>
            <w:r w:rsidRPr="00CF3C42">
              <w:t>1.</w:t>
            </w:r>
            <w:r w:rsidRPr="00CF3C42">
              <w:tab/>
              <w:t>Inspe</w:t>
            </w:r>
            <w:r w:rsidRPr="00CF3C42">
              <w:t>ct refractory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List2"/>
            </w:pPr>
            <w:r w:rsidRPr="00CF3C42">
              <w:t>1.1.</w:t>
            </w:r>
            <w:r w:rsidRPr="00CF3C42">
              <w:tab/>
              <w:t>Specification is interpreted and understood.</w:t>
            </w:r>
          </w:p>
          <w:p w:rsidR="00000000" w:rsidP="00CF3C42">
            <w:pPr>
              <w:pStyle w:val="List2"/>
              <w:rPr>
                <w:lang w:val="en-NZ"/>
              </w:rPr>
            </w:pPr>
            <w:r w:rsidRPr="00CF3C42">
              <w:t>1.2.</w:t>
            </w:r>
            <w:r w:rsidRPr="00CF3C42">
              <w:tab/>
              <w:t>Specific areas of the refractory are identified for repair or replacement.</w:t>
            </w:r>
          </w:p>
        </w:tc>
      </w:tr>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List"/>
              <w:rPr>
                <w:lang w:val="en-NZ"/>
              </w:rPr>
            </w:pPr>
            <w:r w:rsidRPr="00CF3C42">
              <w:t>2.</w:t>
            </w:r>
            <w:r w:rsidRPr="00CF3C42">
              <w:tab/>
              <w:t>Knock out refractory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List2"/>
            </w:pPr>
            <w:r w:rsidRPr="00CF3C42">
              <w:t>2.1.</w:t>
            </w:r>
            <w:r w:rsidRPr="00CF3C42">
              <w:tab/>
            </w:r>
            <w:r w:rsidRPr="00CF3C42">
              <w:t>Sequence of operations to remove refractory is determined to meet the job specification.</w:t>
            </w:r>
          </w:p>
          <w:p w:rsidR="00000000" w:rsidRPr="00CF3C42" w:rsidP="00CF3C42">
            <w:pPr>
              <w:pStyle w:val="List2"/>
            </w:pPr>
            <w:r w:rsidRPr="00CF3C42">
              <w:t>2.2.</w:t>
            </w:r>
            <w:r w:rsidRPr="00CF3C42">
              <w:tab/>
              <w:t>Appropriate tools and equipment are selected to safely remove damaged refractory.</w:t>
            </w:r>
          </w:p>
          <w:p w:rsidR="00000000" w:rsidP="00CF3C42">
            <w:pPr>
              <w:pStyle w:val="List2"/>
              <w:rPr>
                <w:lang w:val="en-NZ"/>
              </w:rPr>
            </w:pPr>
            <w:r w:rsidRPr="00CF3C42">
              <w:t>2.3.</w:t>
            </w:r>
            <w:r w:rsidRPr="00CF3C42">
              <w:tab/>
              <w:t>Damaged refractory is removed and disposed of safely.</w:t>
            </w:r>
          </w:p>
        </w:tc>
      </w:tr>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List"/>
              <w:rPr>
                <w:lang w:val="en-NZ"/>
              </w:rPr>
            </w:pPr>
            <w:r w:rsidRPr="00CF3C42">
              <w:t>3.</w:t>
            </w:r>
            <w:r w:rsidRPr="00CF3C42">
              <w:tab/>
              <w:t>Prepare refractor</w:t>
            </w:r>
            <w:r w:rsidRPr="00CF3C42">
              <w:t>y materials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List2"/>
            </w:pPr>
            <w:r w:rsidRPr="00CF3C42">
              <w:t>3.1.</w:t>
            </w:r>
            <w:r w:rsidRPr="00CF3C42">
              <w:tab/>
              <w:t>Appropriate refractory materials are selected to meet specifications.</w:t>
            </w:r>
          </w:p>
          <w:p w:rsidR="00000000" w:rsidP="00CF3C42">
            <w:pPr>
              <w:pStyle w:val="List2"/>
              <w:rPr>
                <w:lang w:val="en-NZ"/>
              </w:rPr>
            </w:pPr>
            <w:r w:rsidRPr="00CF3C42">
              <w:t>3.2.</w:t>
            </w:r>
            <w:r w:rsidRPr="00CF3C42">
              <w:tab/>
              <w:t>Refractory media is mixed to specification.</w:t>
            </w:r>
          </w:p>
        </w:tc>
      </w:tr>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List"/>
              <w:rPr>
                <w:lang w:val="en-NZ"/>
              </w:rPr>
            </w:pPr>
            <w:r w:rsidRPr="00CF3C42">
              <w:t>4.</w:t>
            </w:r>
            <w:r w:rsidRPr="00CF3C42">
              <w:tab/>
              <w:t>Install refractory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List2"/>
            </w:pPr>
            <w:r w:rsidRPr="00CF3C42">
              <w:t>4.1.</w:t>
            </w:r>
            <w:r w:rsidRPr="00CF3C42">
              <w:tab/>
              <w:t>Sequence of operations to install refractory is determined to meet the job specification.</w:t>
            </w:r>
          </w:p>
          <w:p w:rsidR="00000000" w:rsidP="00CF3C42">
            <w:pPr>
              <w:pStyle w:val="List2"/>
              <w:rPr>
                <w:lang w:val="en-NZ"/>
              </w:rPr>
            </w:pPr>
            <w:r w:rsidRPr="00CF3C42">
              <w:t>4.</w:t>
            </w:r>
            <w:r w:rsidRPr="00CF3C42">
              <w:t>2.</w:t>
            </w:r>
            <w:r w:rsidRPr="00CF3C42">
              <w:tab/>
              <w:t>Refractory is installed using appropriate techniques and tools and equipment to meet the job specification.</w:t>
            </w:r>
          </w:p>
        </w:tc>
      </w:tr>
      <w:tr w:rsidTr="003212A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List"/>
              <w:rPr>
                <w:lang w:val="en-NZ"/>
              </w:rPr>
            </w:pPr>
            <w:r w:rsidRPr="00CF3C42">
              <w:t>5.</w:t>
            </w:r>
            <w:r w:rsidRPr="00CF3C42">
              <w:tab/>
              <w:t>Cure refractory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List2"/>
            </w:pPr>
            <w:r w:rsidRPr="00CF3C42">
              <w:t>5.1.</w:t>
            </w:r>
            <w:r w:rsidRPr="00CF3C42">
              <w:tab/>
              <w:t>Refractory is cured to specifications using appropriate techniques and equipment to meet the job specification.</w:t>
            </w:r>
          </w:p>
        </w:tc>
      </w:tr>
    </w:tbl>
    <w:p w:rsidR="003212AE" w:rsidP="00CF3C42">
      <w:pPr>
        <w:pStyle w:val="BodyText"/>
      </w:pPr>
    </w:p>
    <w:p w:rsidR="003212AE" w:rsidP="00CF3C42">
      <w:pPr>
        <w:pStyle w:val="BodyText"/>
      </w:pPr>
    </w:p>
    <w:p w:rsidR="00000000" w:rsidRPr="00CF3C42" w:rsidP="00CF3C42">
      <w:pPr>
        <w:pStyle w:val="Heading1"/>
      </w:pPr>
      <w:bookmarkStart w:id="9" w:name="O_260653"/>
      <w:bookmarkEnd w:id="9"/>
      <w:r w:rsidRPr="00CF3C42">
        <w:t>Required Skills and Knowledge</w:t>
      </w:r>
    </w:p>
    <w:tbl>
      <w:tblPr>
        <w:tblW w:w="0" w:type="auto"/>
        <w:tblLayout w:type="fixed"/>
        <w:tblCellMar>
          <w:left w:w="62" w:type="dxa"/>
          <w:right w:w="62" w:type="dxa"/>
        </w:tblCellMar>
        <w:tblLook w:val="0000"/>
      </w:tblPr>
      <w:tblGrid>
        <w:gridCol w:w="8522"/>
      </w:tblGrid>
      <w:tr w:rsidTr="003212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REQUIRED SKILLS AND KNOWLEDGE</w:t>
            </w:r>
          </w:p>
        </w:tc>
      </w:tr>
      <w:tr w:rsidTr="003212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This section describes the skills and knowledge required for this unit.</w:t>
            </w:r>
          </w:p>
        </w:tc>
      </w:tr>
      <w:tr w:rsidTr="0032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Required skills</w:t>
            </w:r>
          </w:p>
        </w:tc>
      </w:tr>
      <w:tr w:rsidTr="0032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Look for evidence that confirms skills in:</w:t>
            </w:r>
          </w:p>
          <w:p w:rsidR="00000000" w:rsidRPr="00CF3C42" w:rsidP="00CF3C42">
            <w:pPr>
              <w:pStyle w:val="ListBullet"/>
            </w:pPr>
            <w:r w:rsidRPr="00CF3C42">
              <w:t>interpreting job specifications and other applicable reference documents</w:t>
            </w:r>
          </w:p>
          <w:p w:rsidR="00000000" w:rsidRPr="00CF3C42" w:rsidP="00CF3C42">
            <w:pPr>
              <w:pStyle w:val="ListBullet"/>
            </w:pPr>
            <w:r w:rsidRPr="00CF3C42">
              <w:t>planning and sequencing operations</w:t>
            </w:r>
          </w:p>
          <w:p w:rsidR="00000000" w:rsidRPr="00CF3C42" w:rsidP="00CF3C42">
            <w:pPr>
              <w:pStyle w:val="ListBullet"/>
            </w:pPr>
            <w:r w:rsidRPr="00CF3C42">
              <w:t>inspecting and identifying faults</w:t>
            </w:r>
          </w:p>
          <w:p w:rsidR="00000000" w:rsidRPr="00CF3C42" w:rsidP="00CF3C42">
            <w:pPr>
              <w:pStyle w:val="ListBullet"/>
            </w:pPr>
            <w:r w:rsidRPr="00CF3C42">
              <w:t>removing damaged refractory safely</w:t>
            </w:r>
          </w:p>
          <w:p w:rsidR="00000000" w:rsidRPr="00CF3C42" w:rsidP="00CF3C42">
            <w:pPr>
              <w:pStyle w:val="ListBullet"/>
            </w:pPr>
            <w:r w:rsidRPr="00CF3C42">
              <w:t>mixing refractory correctly</w:t>
            </w:r>
          </w:p>
          <w:p w:rsidR="00000000" w:rsidRPr="00CF3C42" w:rsidP="00CF3C42">
            <w:pPr>
              <w:pStyle w:val="ListBullet"/>
            </w:pPr>
            <w:r w:rsidRPr="00CF3C42">
              <w:t>installing refractory correctly</w:t>
            </w:r>
          </w:p>
          <w:p w:rsidR="00000000" w:rsidRPr="00CF3C42" w:rsidP="00CF3C42">
            <w:pPr>
              <w:pStyle w:val="ListBullet"/>
            </w:pPr>
            <w:r w:rsidRPr="00CF3C42">
              <w:t>curing refractory correctly</w:t>
            </w:r>
          </w:p>
          <w:p w:rsidR="00000000" w:rsidP="00CF3C42">
            <w:pPr>
              <w:pStyle w:val="ListBullet"/>
              <w:rPr>
                <w:lang w:val="en-NZ"/>
              </w:rPr>
            </w:pPr>
            <w:r w:rsidRPr="00CF3C42">
              <w:t>following oral instructions</w:t>
            </w:r>
          </w:p>
        </w:tc>
      </w:tr>
      <w:tr w:rsidTr="0032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Required knowledge</w:t>
            </w:r>
          </w:p>
        </w:tc>
      </w:tr>
      <w:tr w:rsidTr="0032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Look for evidence that confirms knowledge of:</w:t>
            </w:r>
          </w:p>
          <w:p w:rsidR="00000000" w:rsidRPr="00CF3C42" w:rsidP="00CF3C42">
            <w:pPr>
              <w:pStyle w:val="ListBullet"/>
            </w:pPr>
            <w:r w:rsidRPr="00CF3C42">
              <w:t>repair or replacement requirements</w:t>
            </w:r>
          </w:p>
          <w:p w:rsidR="00000000" w:rsidRPr="00CF3C42" w:rsidP="00CF3C42">
            <w:pPr>
              <w:pStyle w:val="ListBullet"/>
            </w:pPr>
            <w:r w:rsidRPr="00CF3C42">
              <w:t xml:space="preserve">inspection techniques </w:t>
            </w:r>
          </w:p>
          <w:p w:rsidR="00000000" w:rsidRPr="00CF3C42" w:rsidP="00CF3C42">
            <w:pPr>
              <w:pStyle w:val="ListBullet"/>
            </w:pPr>
            <w:r w:rsidRPr="00CF3C42">
              <w:t>mixing, installing and curing techniques and equipment</w:t>
            </w:r>
          </w:p>
          <w:p w:rsidR="00000000" w:rsidRPr="00CF3C42" w:rsidP="00CF3C42">
            <w:pPr>
              <w:pStyle w:val="ListBullet"/>
            </w:pPr>
            <w:r w:rsidRPr="00CF3C42">
              <w:t>OH&amp;S legislation an</w:t>
            </w:r>
            <w:r w:rsidRPr="00CF3C42">
              <w:t>d EPA regulations applying to working with refractory</w:t>
            </w:r>
          </w:p>
          <w:p w:rsidR="00000000" w:rsidRPr="00CF3C42" w:rsidP="00CF3C42">
            <w:pPr>
              <w:pStyle w:val="ListBullet"/>
            </w:pPr>
            <w:r w:rsidRPr="00CF3C42">
              <w:t xml:space="preserve">use and application of personal protective equipment </w:t>
            </w:r>
          </w:p>
          <w:p w:rsidR="00000000" w:rsidRPr="00CF3C42" w:rsidP="00CF3C42">
            <w:pPr>
              <w:pStyle w:val="ListBullet"/>
            </w:pPr>
            <w:r w:rsidRPr="00CF3C42">
              <w:t>safe work practices and procedures</w:t>
            </w:r>
          </w:p>
          <w:p w:rsidR="00000000" w:rsidRPr="00CF3C42" w:rsidP="00CF3C42">
            <w:pPr>
              <w:pStyle w:val="ListBullet"/>
            </w:pPr>
            <w:r w:rsidRPr="00CF3C42">
              <w:t>hazards and control measures associated with refractory installation and repair</w:t>
            </w:r>
          </w:p>
        </w:tc>
      </w:tr>
    </w:tbl>
    <w:p w:rsidR="003212AE" w:rsidP="00CF3C42">
      <w:pPr>
        <w:pStyle w:val="BodyText"/>
      </w:pPr>
    </w:p>
    <w:p w:rsidR="003212AE" w:rsidP="00CF3C42">
      <w:pPr>
        <w:pStyle w:val="BodyText"/>
      </w:pPr>
    </w:p>
    <w:p w:rsidR="00000000" w:rsidRPr="00CF3C42" w:rsidP="00CF3C42">
      <w:pPr>
        <w:pStyle w:val="AllowPageBreak"/>
      </w:pPr>
    </w:p>
    <w:p w:rsidR="00000000" w:rsidRPr="00CF3C42" w:rsidP="00CF3C42">
      <w:pPr>
        <w:pStyle w:val="Heading1"/>
      </w:pPr>
      <w:bookmarkStart w:id="10" w:name="O_244687"/>
      <w:bookmarkEnd w:id="10"/>
      <w:r w:rsidRPr="00CF3C42">
        <w:t>Evidence Guide</w:t>
      </w:r>
    </w:p>
    <w:tbl>
      <w:tblPr>
        <w:tblW w:w="9570" w:type="dxa"/>
        <w:tblLayout w:type="fixed"/>
        <w:tblCellMar>
          <w:left w:w="62" w:type="dxa"/>
          <w:right w:w="62" w:type="dxa"/>
        </w:tblCellMar>
        <w:tblLook w:val="0000"/>
      </w:tblPr>
      <w:tblGrid>
        <w:gridCol w:w="3908"/>
        <w:gridCol w:w="5662"/>
      </w:tblGrid>
      <w:tr w:rsidTr="003212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EVIDENCE GUIDE</w:t>
            </w:r>
          </w:p>
        </w:tc>
      </w:tr>
      <w:tr w:rsidTr="003212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The evidence guide provides advice on assessment and must be read in conjunction with the performance criteria, required skills and knowledge, range statement and the Assessment Guidelines for the Training Package.</w:t>
            </w:r>
          </w:p>
        </w:tc>
      </w:tr>
      <w:tr w:rsidTr="0032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A person who demonstrates competency in this unit must be able to repair and install/replace of all types of refractory. Competency in this unit cannot be claimed until all prerequisites have been satisfied.</w:t>
            </w:r>
          </w:p>
        </w:tc>
      </w:tr>
      <w:tr w:rsidTr="0032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Critical aspects for as</w:t>
            </w:r>
            <w:r w:rsidRPr="00CF3C42">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Assessors must be satisfied that the candidate can competently and consistently perform all elements of the unit as specified by the criteria, including required knowledge, and be capabl</w:t>
            </w:r>
            <w:r w:rsidRPr="00CF3C42">
              <w:t>e of applying the competency in new and different situations and contexts.</w:t>
            </w:r>
          </w:p>
        </w:tc>
      </w:tr>
      <w:tr w:rsidTr="0032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This unit may be assessed on the job, off the job or a combination of both on and off the job. Where assessment occurs off the job, that is the candidate is not in productive work, then an appropriate simulation must be used where the range of conditions r</w:t>
            </w:r>
            <w:r w:rsidRPr="00CF3C42">
              <w:t>eflects realistic workplace situations. The competencies covered by this unit would be demonstrated by an individual working alone or as part of a team. The assessment environment should not disadvantage the candidate.</w:t>
            </w:r>
          </w:p>
          <w:p w:rsidR="00000000" w:rsidP="00CF3C42">
            <w:pPr>
              <w:pStyle w:val="BodyText"/>
              <w:rPr>
                <w:lang w:val="en-NZ"/>
              </w:rPr>
            </w:pPr>
            <w:r w:rsidRPr="00CF3C42">
              <w:t>This unit could be assessed in conjun</w:t>
            </w:r>
            <w:r w:rsidRPr="00CF3C42">
              <w:t>ction with any other units addressing the safety, quality, communication, materials handling, recording and reporting associated with to repair and install/replace of all types of refractory or other units requiring the exercise of the skills and knowledge</w:t>
            </w:r>
            <w:r w:rsidRPr="00CF3C42">
              <w:t xml:space="preserve"> covered by this unit.</w:t>
            </w:r>
          </w:p>
        </w:tc>
      </w:tr>
      <w:tr w:rsidTr="0032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 xml:space="preserve">Assessors should gather a range of evidence that is valid, sufficient, current and authentic. Evidence can be gathered through a variety of ways including direct observation, supervisor's reports, project work, </w:t>
            </w:r>
            <w:r w:rsidRPr="00CF3C42">
              <w:t>samples and questioning. Questioning techniques should not require language, literacy and numeracy skills beyond those required in this unit of competency. The candidate must have access to all tools, equipment, materials and documentation required. The ca</w:t>
            </w:r>
            <w:r w:rsidRPr="00CF3C42">
              <w:t>ndidate must be permitted to refer to any relevant workplace procedures, product and manufacturing specifications, codes, standards, manuals and reference materials.</w:t>
            </w:r>
          </w:p>
        </w:tc>
      </w:tr>
      <w:tr w:rsidTr="0032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p>
        </w:tc>
      </w:tr>
    </w:tbl>
    <w:p w:rsidR="003212AE" w:rsidP="00CF3C42">
      <w:pPr>
        <w:pStyle w:val="BodyText"/>
      </w:pPr>
    </w:p>
    <w:p w:rsidR="003212AE" w:rsidP="00CF3C42">
      <w:pPr>
        <w:pStyle w:val="BodyText"/>
      </w:pPr>
    </w:p>
    <w:p w:rsidR="00000000" w:rsidRPr="00CF3C42" w:rsidP="00CF3C42">
      <w:pPr>
        <w:pStyle w:val="Heading1"/>
      </w:pPr>
      <w:bookmarkStart w:id="11" w:name="O_252670"/>
      <w:bookmarkEnd w:id="11"/>
      <w:r w:rsidRPr="00CF3C42">
        <w:t>Range Statement</w:t>
      </w:r>
    </w:p>
    <w:tbl>
      <w:tblPr>
        <w:tblW w:w="0" w:type="auto"/>
        <w:tblLayout w:type="fixed"/>
        <w:tblCellMar>
          <w:left w:w="62" w:type="dxa"/>
          <w:right w:w="62" w:type="dxa"/>
        </w:tblCellMar>
        <w:tblLook w:val="0000"/>
      </w:tblPr>
      <w:tblGrid>
        <w:gridCol w:w="3523"/>
        <w:gridCol w:w="4999"/>
      </w:tblGrid>
      <w:tr w:rsidTr="003212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RANGE STATEMEN</w:t>
            </w:r>
            <w:r w:rsidRPr="00CF3C42">
              <w:rPr>
                <w:rStyle w:val="SpecialBold"/>
              </w:rPr>
              <w:t>T</w:t>
            </w:r>
          </w:p>
        </w:tc>
      </w:tr>
      <w:tr w:rsidTr="003212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The range statement relates to the unit of competency as a whole. It allows for different work environments and situations that may affect performance. Bold italicised wording, i</w:t>
            </w:r>
            <w:r w:rsidRPr="00CF3C42">
              <w:t>f used in the performance criteria, is detailed below. Essential operating conditions that may be present with training and assessment (depending on the work situation, needs of the candidate, accessibility of the item, and local industry and regional cont</w:t>
            </w:r>
            <w:r w:rsidRPr="00CF3C42">
              <w:t>exts) may also be included.</w:t>
            </w:r>
          </w:p>
        </w:tc>
      </w:tr>
      <w:tr w:rsidTr="003212A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Refractory</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t xml:space="preserve">The heat insulating material used inside molten metal vessels and includes material which can be machine rammed, hand rammed, forked or vibrated including refractory bricks, fibreboard </w:t>
            </w:r>
          </w:p>
        </w:tc>
      </w:tr>
      <w:tr w:rsidTr="003212A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Installed</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Hand ramming, mach</w:t>
            </w:r>
            <w:r w:rsidRPr="00CF3C42">
              <w:t>ine ramming, internal and external vibration</w:t>
            </w:r>
          </w:p>
        </w:tc>
      </w:tr>
    </w:tbl>
    <w:p w:rsidR="003212AE" w:rsidP="00CF3C42">
      <w:pPr>
        <w:pStyle w:val="BodyText"/>
      </w:pPr>
    </w:p>
    <w:p w:rsidR="003212AE" w:rsidP="00CF3C42">
      <w:pPr>
        <w:pStyle w:val="BodyText"/>
      </w:pPr>
    </w:p>
    <w:p w:rsidR="00000000" w:rsidRPr="00CF3C42" w:rsidP="00CF3C42">
      <w:pPr>
        <w:pStyle w:val="Heading1"/>
      </w:pPr>
      <w:bookmarkStart w:id="12" w:name="O_210374"/>
      <w:bookmarkEnd w:id="12"/>
      <w:r w:rsidRPr="00CF3C42">
        <w:t>Unit Sector(s)</w:t>
      </w:r>
    </w:p>
    <w:tbl>
      <w:tblPr>
        <w:tblW w:w="0" w:type="auto"/>
        <w:tblLayout w:type="fixed"/>
        <w:tblCellMar>
          <w:left w:w="62" w:type="dxa"/>
          <w:right w:w="62" w:type="dxa"/>
        </w:tblCellMar>
        <w:tblLook w:val="0000"/>
      </w:tblPr>
      <w:tblGrid>
        <w:gridCol w:w="2654"/>
        <w:gridCol w:w="5868"/>
      </w:tblGrid>
      <w:tr w:rsidTr="003212A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p>
        </w:tc>
      </w:tr>
    </w:tbl>
    <w:p w:rsidR="003212AE" w:rsidP="00CF3C42">
      <w:pPr>
        <w:pStyle w:val="BodyText"/>
      </w:pPr>
    </w:p>
    <w:p w:rsidR="003212AE" w:rsidP="00CF3C42">
      <w:pPr>
        <w:pStyle w:val="BodyText"/>
      </w:pPr>
    </w:p>
    <w:p w:rsidR="00000000" w:rsidRPr="00CF3C42" w:rsidP="00CF3C42">
      <w:pPr>
        <w:pStyle w:val="Heading1"/>
      </w:pPr>
      <w:bookmarkStart w:id="13" w:name="O_210371"/>
      <w:bookmarkEnd w:id="13"/>
      <w:r w:rsidRPr="00CF3C42">
        <w:t>Co-requisite units</w:t>
      </w:r>
    </w:p>
    <w:tbl>
      <w:tblPr>
        <w:tblW w:w="0" w:type="auto"/>
        <w:tblLayout w:type="fixed"/>
        <w:tblCellMar>
          <w:left w:w="62" w:type="dxa"/>
          <w:right w:w="62" w:type="dxa"/>
        </w:tblCellMar>
        <w:tblLook w:val="0000"/>
      </w:tblPr>
      <w:tblGrid>
        <w:gridCol w:w="2641"/>
        <w:gridCol w:w="1322"/>
        <w:gridCol w:w="4559"/>
      </w:tblGrid>
      <w:tr w:rsidTr="003212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p>
        </w:tc>
      </w:tr>
      <w:tr w:rsidTr="003212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p>
        </w:tc>
      </w:tr>
      <w:tr w:rsidTr="003212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p>
        </w:tc>
      </w:tr>
    </w:tbl>
    <w:p w:rsidR="003212AE" w:rsidP="00CF3C42">
      <w:pPr>
        <w:pStyle w:val="BodyText"/>
      </w:pPr>
    </w:p>
    <w:p w:rsidR="003212AE" w:rsidP="00CF3C42">
      <w:pPr>
        <w:pStyle w:val="BodyText"/>
      </w:pPr>
    </w:p>
    <w:p w:rsidR="00000000" w:rsidRPr="00CF3C42" w:rsidP="00CF3C42">
      <w:pPr>
        <w:pStyle w:val="Heading1"/>
      </w:pPr>
      <w:bookmarkStart w:id="14" w:name="O_210373"/>
      <w:bookmarkEnd w:id="14"/>
      <w:r w:rsidRPr="00CF3C42">
        <w:t>Competency field</w:t>
      </w:r>
    </w:p>
    <w:tbl>
      <w:tblPr>
        <w:tblW w:w="0" w:type="auto"/>
        <w:tblLayout w:type="fixed"/>
        <w:tblCellMar>
          <w:left w:w="62" w:type="dxa"/>
          <w:right w:w="62" w:type="dxa"/>
        </w:tblCellMar>
        <w:tblLook w:val="0000"/>
      </w:tblPr>
      <w:tblGrid>
        <w:gridCol w:w="2778"/>
        <w:gridCol w:w="5744"/>
      </w:tblGrid>
      <w:tr w:rsidTr="003212A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C42">
            <w:pPr>
              <w:pStyle w:val="BodyText"/>
              <w:rPr>
                <w:lang w:val="en-NZ"/>
              </w:rPr>
            </w:pPr>
            <w:r w:rsidRPr="00CF3C4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C42" w:rsidP="00CF3C42">
            <w:pPr>
              <w:pStyle w:val="BodyText"/>
            </w:pPr>
            <w:r w:rsidRPr="00CF3C42">
              <w:t>Casting and moulding</w:t>
            </w:r>
          </w:p>
        </w:tc>
      </w:tr>
    </w:tbl>
    <w:p w:rsidR="003212AE" w:rsidP="00CF3C42">
      <w:pPr>
        <w:pStyle w:val="BodyText"/>
      </w:pPr>
    </w:p>
    <w:p w:rsidR="003212AE" w:rsidP="00CF3C42">
      <w:pPr>
        <w:pStyle w:val="BodyText"/>
      </w:pPr>
    </w:p>
    <w:p w:rsidR="00000000" w:rsidRPr="00CF3C42" w:rsidP="00CF3C42"/>
    <w:sectPr w:rsidSect="00CF3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2AE" w:rsidP="00321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AE" w:rsidP="00CF3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12AE" w:rsidP="00CF3C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12AE" w:rsidP="00CF3C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2AE" w:rsidP="003212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AE" w:rsidP="00CF3C42">
    <w:pPr>
      <w:pStyle w:val="Header"/>
      <w:framePr w:wrap="around"/>
    </w:pPr>
    <w:r>
      <w:fldChar w:fldCharType="begin"/>
    </w:r>
    <w:r>
      <w:instrText xml:space="preserve"> TITLE   \* MERGEFORMAT </w:instrText>
    </w:r>
    <w:r>
      <w:fldChar w:fldCharType="separate"/>
    </w:r>
    <w:r>
      <w:t>MEM04019B Perform refractory installation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2AE" w:rsidP="00CF3C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468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C0E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C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C42"/>
    <w:pPr>
      <w:spacing w:before="360" w:after="60"/>
      <w:outlineLvl w:val="0"/>
    </w:pPr>
    <w:rPr>
      <w:sz w:val="32"/>
    </w:rPr>
  </w:style>
  <w:style w:type="paragraph" w:styleId="Heading2">
    <w:name w:val="heading 2"/>
    <w:basedOn w:val="HeadingBase"/>
    <w:next w:val="BodyText"/>
    <w:link w:val="Heading2Char"/>
    <w:qFormat/>
    <w:rsid w:val="00CF3C42"/>
    <w:pPr>
      <w:keepLines/>
      <w:spacing w:before="240" w:after="120"/>
      <w:outlineLvl w:val="1"/>
    </w:pPr>
    <w:rPr>
      <w:sz w:val="28"/>
      <w:szCs w:val="40"/>
    </w:rPr>
  </w:style>
  <w:style w:type="paragraph" w:styleId="Heading3">
    <w:name w:val="heading 3"/>
    <w:basedOn w:val="HeadingBase"/>
    <w:next w:val="BodyText"/>
    <w:link w:val="Heading3Char"/>
    <w:qFormat/>
    <w:rsid w:val="00CF3C42"/>
    <w:pPr>
      <w:spacing w:before="180" w:after="120"/>
      <w:outlineLvl w:val="2"/>
    </w:pPr>
    <w:rPr>
      <w:spacing w:val="-10"/>
      <w:kern w:val="32"/>
    </w:rPr>
  </w:style>
  <w:style w:type="paragraph" w:styleId="Heading4">
    <w:name w:val="heading 4"/>
    <w:basedOn w:val="HeadingBase"/>
    <w:next w:val="BodyText"/>
    <w:link w:val="Heading4Char"/>
    <w:qFormat/>
    <w:rsid w:val="00CF3C42"/>
    <w:pPr>
      <w:spacing w:before="160" w:after="120"/>
      <w:outlineLvl w:val="3"/>
    </w:pPr>
    <w:rPr>
      <w:sz w:val="22"/>
    </w:rPr>
  </w:style>
  <w:style w:type="paragraph" w:styleId="Heading5">
    <w:name w:val="heading 5"/>
    <w:basedOn w:val="HeadingBase"/>
    <w:next w:val="Normal"/>
    <w:link w:val="Heading5Char"/>
    <w:qFormat/>
    <w:rsid w:val="00CF3C42"/>
    <w:pPr>
      <w:spacing w:before="80"/>
      <w:outlineLvl w:val="4"/>
    </w:pPr>
    <w:rPr>
      <w:color w:val="918585"/>
      <w:sz w:val="20"/>
    </w:rPr>
  </w:style>
  <w:style w:type="paragraph" w:styleId="Heading6">
    <w:name w:val="heading 6"/>
    <w:basedOn w:val="HeadingBase"/>
    <w:next w:val="Normal"/>
    <w:link w:val="Heading6Char"/>
    <w:qFormat/>
    <w:rsid w:val="00CF3C42"/>
    <w:pPr>
      <w:spacing w:before="60"/>
      <w:outlineLvl w:val="5"/>
    </w:pPr>
    <w:rPr>
      <w:color w:val="918585"/>
      <w:sz w:val="20"/>
    </w:rPr>
  </w:style>
  <w:style w:type="paragraph" w:styleId="Heading7">
    <w:name w:val="heading 7"/>
    <w:basedOn w:val="Normal"/>
    <w:next w:val="Normal"/>
    <w:link w:val="Heading7Char"/>
    <w:qFormat/>
    <w:rsid w:val="00CF3C42"/>
    <w:pPr>
      <w:ind w:left="720"/>
      <w:outlineLvl w:val="6"/>
    </w:pPr>
    <w:rPr>
      <w:i/>
    </w:rPr>
  </w:style>
  <w:style w:type="paragraph" w:styleId="Heading8">
    <w:name w:val="heading 8"/>
    <w:basedOn w:val="Normal"/>
    <w:next w:val="Normal"/>
    <w:link w:val="Heading8Char"/>
    <w:qFormat/>
    <w:rsid w:val="00CF3C42"/>
    <w:pPr>
      <w:ind w:left="720"/>
      <w:outlineLvl w:val="7"/>
    </w:pPr>
    <w:rPr>
      <w:i/>
    </w:rPr>
  </w:style>
  <w:style w:type="paragraph" w:styleId="Heading9">
    <w:name w:val="heading 9"/>
    <w:basedOn w:val="Normal"/>
    <w:next w:val="Normal"/>
    <w:link w:val="Heading9Char"/>
    <w:qFormat/>
    <w:rsid w:val="00CF3C42"/>
    <w:pPr>
      <w:ind w:left="720"/>
      <w:outlineLvl w:val="8"/>
    </w:pPr>
    <w:rPr>
      <w:i/>
    </w:rPr>
  </w:style>
  <w:style w:type="character" w:default="1" w:styleId="DefaultParagraphFont">
    <w:name w:val="Default Paragraph Font"/>
    <w:uiPriority w:val="1"/>
    <w:unhideWhenUsed/>
    <w:rsid w:val="00CF3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C42"/>
  </w:style>
  <w:style w:type="character" w:customStyle="1" w:styleId="Heading1Char">
    <w:name w:val="Heading 1 Char"/>
    <w:basedOn w:val="DefaultParagraphFont"/>
    <w:link w:val="Heading1"/>
    <w:rsid w:val="00CF3C42"/>
    <w:rPr>
      <w:rFonts w:ascii="Times New Roman" w:eastAsia="Times New Roman" w:hAnsi="Times New Roman" w:cs="Times New Roman"/>
      <w:b/>
      <w:sz w:val="32"/>
      <w:szCs w:val="20"/>
      <w:lang w:eastAsia="en-US"/>
    </w:rPr>
  </w:style>
  <w:style w:type="paragraph" w:styleId="BodyText">
    <w:name w:val="Body Text"/>
    <w:basedOn w:val="Normal"/>
    <w:link w:val="BodyTextChar"/>
    <w:rsid w:val="00CF3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C42"/>
    <w:rPr>
      <w:rFonts w:ascii="Times New Roman" w:eastAsia="Times New Roman" w:hAnsi="Times New Roman" w:cs="Times New Roman"/>
      <w:sz w:val="24"/>
      <w:lang w:val="en-US" w:eastAsia="en-US"/>
    </w:rPr>
  </w:style>
  <w:style w:type="paragraph" w:styleId="Footer">
    <w:name w:val="footer"/>
    <w:basedOn w:val="Normal"/>
    <w:link w:val="FooterChar"/>
    <w:rsid w:val="00CF3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C42"/>
    <w:rPr>
      <w:rFonts w:ascii="Times New Roman" w:eastAsia="Times New Roman" w:hAnsi="Times New Roman" w:cs="Times New Roman"/>
      <w:sz w:val="16"/>
      <w:lang w:val="en-US" w:eastAsia="en-US"/>
    </w:rPr>
  </w:style>
  <w:style w:type="paragraph" w:styleId="List">
    <w:name w:val="List"/>
    <w:basedOn w:val="BodyText"/>
    <w:next w:val="BodyText"/>
    <w:rsid w:val="00CF3C42"/>
    <w:pPr>
      <w:tabs>
        <w:tab w:val="left" w:pos="340"/>
      </w:tabs>
      <w:spacing w:before="60" w:after="60"/>
      <w:ind w:left="340" w:hanging="340"/>
    </w:pPr>
  </w:style>
  <w:style w:type="paragraph" w:styleId="ListBullet">
    <w:name w:val="List Bullet"/>
    <w:basedOn w:val="List"/>
    <w:rsid w:val="00CF3C42"/>
    <w:pPr>
      <w:numPr>
        <w:numId w:val="12"/>
      </w:numPr>
      <w:tabs>
        <w:tab w:val="clear" w:pos="340"/>
      </w:tabs>
      <w:spacing w:before="40" w:after="40"/>
    </w:pPr>
  </w:style>
  <w:style w:type="character" w:customStyle="1" w:styleId="SpecialBold">
    <w:name w:val="Special Bold"/>
    <w:basedOn w:val="DefaultParagraphFont"/>
    <w:rsid w:val="00CF3C42"/>
    <w:rPr>
      <w:b/>
      <w:spacing w:val="0"/>
    </w:rPr>
  </w:style>
  <w:style w:type="paragraph" w:styleId="Header">
    <w:name w:val="header"/>
    <w:basedOn w:val="Normal"/>
    <w:link w:val="HeaderChar"/>
    <w:rsid w:val="00CF3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C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3C42"/>
    <w:pPr>
      <w:spacing w:before="240" w:after="120"/>
      <w:outlineLvl w:val="0"/>
    </w:pPr>
    <w:rPr>
      <w:rFonts w:ascii="Times New Roman" w:hAnsi="Times New Roman"/>
      <w:b/>
      <w:sz w:val="28"/>
    </w:rPr>
  </w:style>
  <w:style w:type="paragraph" w:customStyle="1" w:styleId="AllowPageBreak">
    <w:name w:val="AllowPageBreak"/>
    <w:rsid w:val="00CF3C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C42"/>
    <w:pPr>
      <w:tabs>
        <w:tab w:val="left" w:pos="680"/>
      </w:tabs>
      <w:spacing w:before="60" w:after="60"/>
      <w:ind w:left="680" w:hanging="340"/>
    </w:pPr>
  </w:style>
  <w:style w:type="character" w:customStyle="1" w:styleId="Heading2Char">
    <w:name w:val="Heading 2 Char"/>
    <w:basedOn w:val="DefaultParagraphFont"/>
    <w:link w:val="Heading2"/>
    <w:rsid w:val="00CF3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C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C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C42"/>
    <w:rPr>
      <w:rFonts w:ascii="Courier New" w:eastAsia="Times New Roman" w:hAnsi="Courier New" w:cs="Times New Roman"/>
      <w:i/>
      <w:szCs w:val="20"/>
      <w:lang w:val="en-US" w:eastAsia="en-US"/>
    </w:rPr>
  </w:style>
  <w:style w:type="paragraph" w:customStyle="1" w:styleId="HeadingBase">
    <w:name w:val="Heading Base"/>
    <w:rsid w:val="00CF3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C42"/>
    <w:pPr>
      <w:tabs>
        <w:tab w:val="right" w:leader="dot" w:pos="9072"/>
      </w:tabs>
      <w:ind w:left="567"/>
    </w:pPr>
    <w:rPr>
      <w:szCs w:val="22"/>
    </w:rPr>
  </w:style>
  <w:style w:type="paragraph" w:customStyle="1" w:styleId="TOCBase">
    <w:name w:val="TOC Base"/>
    <w:rsid w:val="00CF3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C42"/>
    <w:pPr>
      <w:tabs>
        <w:tab w:val="right" w:leader="dot" w:pos="9072"/>
      </w:tabs>
      <w:spacing w:before="40" w:after="40"/>
      <w:ind w:left="284"/>
    </w:pPr>
    <w:rPr>
      <w:rFonts w:ascii="Times New Roman" w:hAnsi="Times New Roman"/>
    </w:rPr>
  </w:style>
  <w:style w:type="paragraph" w:styleId="TOC1">
    <w:name w:val="toc 1"/>
    <w:basedOn w:val="TOCBase"/>
    <w:next w:val="Normal"/>
    <w:rsid w:val="00CF3C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C42"/>
    <w:pPr>
      <w:spacing w:before="5040"/>
      <w:jc w:val="center"/>
    </w:pPr>
    <w:rPr>
      <w:sz w:val="48"/>
      <w:szCs w:val="72"/>
      <w:lang w:val="en-US"/>
    </w:rPr>
  </w:style>
  <w:style w:type="character" w:customStyle="1" w:styleId="TitleChar">
    <w:name w:val="Title Char"/>
    <w:basedOn w:val="DefaultParagraphFont"/>
    <w:link w:val="Title"/>
    <w:rsid w:val="00CF3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C42"/>
    <w:pPr>
      <w:tabs>
        <w:tab w:val="left" w:pos="3600"/>
        <w:tab w:val="left" w:pos="3958"/>
      </w:tabs>
    </w:pPr>
  </w:style>
  <w:style w:type="paragraph" w:customStyle="1" w:styleId="Note">
    <w:name w:val="Note"/>
    <w:basedOn w:val="BodyText"/>
    <w:rsid w:val="00CF3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C42"/>
    <w:pPr>
      <w:framePr w:wrap="auto" w:hAnchor="text" w:y="6049"/>
    </w:pPr>
    <w:rPr>
      <w:color w:val="000000"/>
      <w:sz w:val="40"/>
    </w:rPr>
  </w:style>
  <w:style w:type="paragraph" w:customStyle="1" w:styleId="TOCTitle">
    <w:name w:val="TOCTitle"/>
    <w:basedOn w:val="Heading1"/>
    <w:rsid w:val="00CF3C42"/>
    <w:pPr>
      <w:spacing w:after="240"/>
      <w:jc w:val="center"/>
      <w:outlineLvl w:val="9"/>
    </w:pPr>
    <w:rPr>
      <w:caps/>
    </w:rPr>
  </w:style>
  <w:style w:type="paragraph" w:customStyle="1" w:styleId="Version">
    <w:name w:val="Version"/>
    <w:rsid w:val="00CF3C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C42"/>
    <w:pPr>
      <w:numPr>
        <w:numId w:val="13"/>
      </w:numPr>
      <w:tabs>
        <w:tab w:val="clear" w:pos="680"/>
      </w:tabs>
    </w:pPr>
  </w:style>
  <w:style w:type="paragraph" w:styleId="Index1">
    <w:name w:val="index 1"/>
    <w:basedOn w:val="Normal"/>
    <w:next w:val="Normal"/>
    <w:semiHidden/>
    <w:rsid w:val="00CF3C42"/>
    <w:pPr>
      <w:keepNext w:val="0"/>
      <w:tabs>
        <w:tab w:val="right" w:pos="4176"/>
      </w:tabs>
      <w:ind w:left="198" w:hanging="198"/>
    </w:pPr>
    <w:rPr>
      <w:rFonts w:ascii="Garamond" w:hAnsi="Garamond"/>
    </w:rPr>
  </w:style>
  <w:style w:type="paragraph" w:styleId="IndexHeading">
    <w:name w:val="index heading"/>
    <w:basedOn w:val="Normal"/>
    <w:next w:val="Index1"/>
    <w:semiHidden/>
    <w:rsid w:val="00CF3C42"/>
    <w:pPr>
      <w:spacing w:before="120" w:after="120"/>
    </w:pPr>
    <w:rPr>
      <w:rFonts w:ascii="Arial" w:hAnsi="Arial"/>
      <w:b/>
      <w:color w:val="918585"/>
      <w:sz w:val="24"/>
    </w:rPr>
  </w:style>
  <w:style w:type="paragraph" w:customStyle="1" w:styleId="Chapter">
    <w:name w:val="Chapter"/>
    <w:basedOn w:val="Normal"/>
    <w:rsid w:val="00CF3C42"/>
    <w:pPr>
      <w:spacing w:before="240"/>
    </w:pPr>
    <w:rPr>
      <w:rFonts w:ascii="Times New Roman" w:hAnsi="Times New Roman"/>
      <w:smallCaps/>
      <w:spacing w:val="80"/>
      <w:sz w:val="28"/>
    </w:rPr>
  </w:style>
  <w:style w:type="paragraph" w:customStyle="1" w:styleId="InChapter">
    <w:name w:val="InChapter"/>
    <w:basedOn w:val="Heading3"/>
    <w:rsid w:val="00CF3C42"/>
    <w:pPr>
      <w:spacing w:after="240"/>
      <w:outlineLvl w:val="9"/>
    </w:pPr>
    <w:rPr>
      <w:noProof/>
    </w:rPr>
  </w:style>
  <w:style w:type="paragraph" w:styleId="Index2">
    <w:name w:val="index 2"/>
    <w:basedOn w:val="Normal"/>
    <w:next w:val="Normal"/>
    <w:semiHidden/>
    <w:rsid w:val="00CF3C42"/>
    <w:pPr>
      <w:tabs>
        <w:tab w:val="right" w:pos="4176"/>
      </w:tabs>
      <w:ind w:left="568" w:hanging="284"/>
    </w:pPr>
    <w:rPr>
      <w:rFonts w:ascii="Garamond" w:hAnsi="Garamond"/>
    </w:rPr>
  </w:style>
  <w:style w:type="paragraph" w:customStyle="1" w:styleId="Byline">
    <w:name w:val="Byline"/>
    <w:rsid w:val="00CF3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C42"/>
    <w:pPr>
      <w:tabs>
        <w:tab w:val="clear" w:pos="3600"/>
        <w:tab w:val="clear" w:pos="3958"/>
      </w:tabs>
      <w:jc w:val="right"/>
    </w:pPr>
  </w:style>
  <w:style w:type="character" w:styleId="Emphasis">
    <w:name w:val="Emphasis"/>
    <w:basedOn w:val="DefaultParagraphFont"/>
    <w:qFormat/>
    <w:rsid w:val="00CF3C42"/>
    <w:rPr>
      <w:i/>
    </w:rPr>
  </w:style>
  <w:style w:type="paragraph" w:styleId="Caption">
    <w:name w:val="caption"/>
    <w:basedOn w:val="BodyText"/>
    <w:next w:val="Normal"/>
    <w:qFormat/>
    <w:rsid w:val="00CF3C42"/>
    <w:pPr>
      <w:framePr w:w="2268" w:hSpace="181" w:vSpace="181" w:wrap="around" w:vAnchor="text" w:hAnchor="page" w:x="1135" w:y="285" w:anchorLock="1"/>
    </w:pPr>
    <w:rPr>
      <w:i/>
    </w:rPr>
  </w:style>
  <w:style w:type="paragraph" w:customStyle="1" w:styleId="MiniTOCTitle">
    <w:name w:val="MiniTOCTitle"/>
    <w:basedOn w:val="Heading4"/>
    <w:rsid w:val="00CF3C42"/>
    <w:pPr>
      <w:spacing w:before="240"/>
      <w:outlineLvl w:val="9"/>
    </w:pPr>
    <w:rPr>
      <w:noProof/>
      <w:sz w:val="24"/>
    </w:rPr>
  </w:style>
  <w:style w:type="paragraph" w:customStyle="1" w:styleId="MiniTOCItem">
    <w:name w:val="MiniTOCItem"/>
    <w:basedOn w:val="ListBullet"/>
    <w:rsid w:val="00CF3C42"/>
    <w:pPr>
      <w:numPr>
        <w:numId w:val="0"/>
      </w:numPr>
      <w:tabs>
        <w:tab w:val="right" w:leader="dot" w:pos="6521"/>
      </w:tabs>
      <w:spacing w:before="0" w:after="0"/>
    </w:pPr>
  </w:style>
  <w:style w:type="paragraph" w:customStyle="1" w:styleId="TOFTitle">
    <w:name w:val="TOFTitle"/>
    <w:basedOn w:val="TOCTitle"/>
    <w:rsid w:val="00CF3C42"/>
  </w:style>
  <w:style w:type="paragraph" w:styleId="TableofFigures">
    <w:name w:val="table of figures"/>
    <w:basedOn w:val="Normal"/>
    <w:next w:val="Normal"/>
    <w:semiHidden/>
    <w:rsid w:val="00CF3C42"/>
    <w:pPr>
      <w:tabs>
        <w:tab w:val="right" w:leader="dot" w:pos="9072"/>
      </w:tabs>
      <w:ind w:left="970" w:hanging="403"/>
    </w:pPr>
    <w:rPr>
      <w:rFonts w:ascii="Times New Roman" w:hAnsi="Times New Roman"/>
      <w:b/>
    </w:rPr>
  </w:style>
  <w:style w:type="paragraph" w:styleId="ListNumber">
    <w:name w:val="List Number"/>
    <w:basedOn w:val="List"/>
    <w:rsid w:val="00CF3C42"/>
    <w:pPr>
      <w:numPr>
        <w:numId w:val="10"/>
      </w:numPr>
    </w:pPr>
  </w:style>
  <w:style w:type="character" w:customStyle="1" w:styleId="WingdingSymbols">
    <w:name w:val="Wingding Symbols"/>
    <w:rsid w:val="00CF3C42"/>
    <w:rPr>
      <w:rFonts w:ascii="Wingdings" w:hAnsi="Wingdings"/>
    </w:rPr>
  </w:style>
  <w:style w:type="paragraph" w:customStyle="1" w:styleId="TableHeading">
    <w:name w:val="Table Heading"/>
    <w:basedOn w:val="HeadingBase"/>
    <w:rsid w:val="00CF3C42"/>
    <w:pPr>
      <w:keepLines/>
      <w:pBdr>
        <w:bottom w:val="single" w:sz="6" w:space="1" w:color="918585"/>
      </w:pBdr>
      <w:spacing w:before="240"/>
    </w:pPr>
  </w:style>
  <w:style w:type="character" w:customStyle="1" w:styleId="HotSpot">
    <w:name w:val="HotSpot"/>
    <w:rsid w:val="00CF3C42"/>
    <w:rPr>
      <w:color w:val="0033CC"/>
      <w:u w:val="none"/>
    </w:rPr>
  </w:style>
  <w:style w:type="paragraph" w:customStyle="1" w:styleId="BodyTextRight">
    <w:name w:val="Body Text Right"/>
    <w:basedOn w:val="BodyText"/>
    <w:rsid w:val="00CF3C42"/>
    <w:pPr>
      <w:spacing w:before="0" w:after="0"/>
      <w:jc w:val="right"/>
    </w:pPr>
  </w:style>
  <w:style w:type="paragraph" w:styleId="Index3">
    <w:name w:val="index 3"/>
    <w:basedOn w:val="ListNumber2"/>
    <w:next w:val="Normal"/>
    <w:semiHidden/>
    <w:rsid w:val="00CF3C42"/>
    <w:pPr>
      <w:numPr>
        <w:numId w:val="0"/>
      </w:numPr>
      <w:tabs>
        <w:tab w:val="right" w:leader="dot" w:pos="4176"/>
      </w:tabs>
    </w:pPr>
  </w:style>
  <w:style w:type="paragraph" w:styleId="ListNumber2">
    <w:name w:val="List Number 2"/>
    <w:basedOn w:val="List2"/>
    <w:rsid w:val="00CF3C42"/>
    <w:pPr>
      <w:numPr>
        <w:numId w:val="9"/>
      </w:numPr>
      <w:tabs>
        <w:tab w:val="clear" w:pos="1060"/>
      </w:tabs>
    </w:pPr>
  </w:style>
  <w:style w:type="paragraph" w:customStyle="1" w:styleId="MarginNote">
    <w:name w:val="Margin Note"/>
    <w:basedOn w:val="BodyText"/>
    <w:rsid w:val="00CF3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C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C42"/>
    <w:rPr>
      <w:sz w:val="32"/>
    </w:rPr>
  </w:style>
  <w:style w:type="paragraph" w:customStyle="1" w:styleId="HeadingProcedure">
    <w:name w:val="Heading Procedure"/>
    <w:basedOn w:val="HeadingBase"/>
    <w:next w:val="Normal"/>
    <w:rsid w:val="00CF3C42"/>
    <w:pPr>
      <w:tabs>
        <w:tab w:val="left" w:pos="0"/>
      </w:tabs>
      <w:spacing w:before="120" w:after="60"/>
    </w:pPr>
    <w:rPr>
      <w:i/>
      <w:color w:val="918585"/>
      <w:sz w:val="22"/>
    </w:rPr>
  </w:style>
  <w:style w:type="paragraph" w:customStyle="1" w:styleId="TableBodyText">
    <w:name w:val="Table Body Text"/>
    <w:basedOn w:val="BodyText"/>
    <w:rsid w:val="00CF3C42"/>
    <w:pPr>
      <w:spacing w:before="60" w:after="60"/>
    </w:pPr>
  </w:style>
  <w:style w:type="paragraph" w:styleId="ListContinue">
    <w:name w:val="List Continue"/>
    <w:basedOn w:val="List"/>
    <w:rsid w:val="00CF3C42"/>
    <w:pPr>
      <w:ind w:firstLine="0"/>
    </w:pPr>
  </w:style>
  <w:style w:type="paragraph" w:customStyle="1" w:styleId="ListNote">
    <w:name w:val="List Note"/>
    <w:basedOn w:val="List"/>
    <w:rsid w:val="00CF3C42"/>
    <w:pPr>
      <w:pBdr>
        <w:top w:val="single" w:sz="6" w:space="2" w:color="918585"/>
        <w:bottom w:val="single" w:sz="6" w:space="2" w:color="918585"/>
      </w:pBdr>
      <w:tabs>
        <w:tab w:val="left" w:pos="1021"/>
      </w:tabs>
      <w:ind w:firstLine="0"/>
    </w:pPr>
  </w:style>
  <w:style w:type="paragraph" w:customStyle="1" w:styleId="Warning">
    <w:name w:val="Warning"/>
    <w:basedOn w:val="BodyText"/>
    <w:rsid w:val="00CF3C42"/>
    <w:pPr>
      <w:shd w:val="clear" w:color="auto" w:fill="D9D9D9"/>
      <w:tabs>
        <w:tab w:val="left" w:pos="992"/>
      </w:tabs>
      <w:ind w:left="119" w:right="119"/>
    </w:pPr>
    <w:rPr>
      <w:sz w:val="20"/>
    </w:rPr>
  </w:style>
  <w:style w:type="paragraph" w:customStyle="1" w:styleId="MarginIcons">
    <w:name w:val="Margin Icons"/>
    <w:basedOn w:val="BodyText"/>
    <w:rsid w:val="00CF3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C42"/>
    <w:rPr>
      <w:rFonts w:ascii="Courier New" w:hAnsi="Courier New"/>
    </w:rPr>
  </w:style>
  <w:style w:type="paragraph" w:customStyle="1" w:styleId="NoteBullet">
    <w:name w:val="Note Bullet"/>
    <w:basedOn w:val="Note"/>
    <w:rsid w:val="00CF3C42"/>
    <w:pPr>
      <w:tabs>
        <w:tab w:val="clear" w:pos="680"/>
      </w:tabs>
      <w:spacing w:before="60" w:after="60"/>
    </w:pPr>
  </w:style>
  <w:style w:type="paragraph" w:customStyle="1" w:styleId="SubHeading2">
    <w:name w:val="SubHeading2"/>
    <w:basedOn w:val="HeadingBase"/>
    <w:rsid w:val="00CF3C42"/>
    <w:pPr>
      <w:spacing w:before="240" w:after="60"/>
    </w:pPr>
    <w:rPr>
      <w:sz w:val="20"/>
    </w:rPr>
  </w:style>
  <w:style w:type="paragraph" w:customStyle="1" w:styleId="SubHeading1">
    <w:name w:val="SubHeading1"/>
    <w:basedOn w:val="HeadingBase"/>
    <w:rsid w:val="00CF3C42"/>
    <w:pPr>
      <w:spacing w:before="240" w:after="60"/>
    </w:pPr>
    <w:rPr>
      <w:color w:val="918585"/>
      <w:sz w:val="22"/>
    </w:rPr>
  </w:style>
  <w:style w:type="paragraph" w:customStyle="1" w:styleId="SideHeading">
    <w:name w:val="Side Heading"/>
    <w:basedOn w:val="HeadingBase"/>
    <w:rsid w:val="00CF3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C42"/>
    <w:pPr>
      <w:tabs>
        <w:tab w:val="num" w:pos="360"/>
      </w:tabs>
    </w:pPr>
  </w:style>
  <w:style w:type="paragraph" w:styleId="PlainText">
    <w:name w:val="Plain Text"/>
    <w:basedOn w:val="Normal"/>
    <w:link w:val="PlainTextChar"/>
    <w:rsid w:val="00CF3C42"/>
    <w:rPr>
      <w:sz w:val="20"/>
    </w:rPr>
  </w:style>
  <w:style w:type="character" w:customStyle="1" w:styleId="PlainTextChar">
    <w:name w:val="Plain Text Char"/>
    <w:basedOn w:val="DefaultParagraphFont"/>
    <w:link w:val="PlainText"/>
    <w:rsid w:val="00CF3C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3C42"/>
    <w:rPr>
      <w:b/>
      <w:smallCaps/>
    </w:rPr>
  </w:style>
  <w:style w:type="paragraph" w:customStyle="1" w:styleId="TableListNumber">
    <w:name w:val="Table List Number"/>
    <w:basedOn w:val="ListNumber"/>
    <w:rsid w:val="00CF3C42"/>
    <w:pPr>
      <w:numPr>
        <w:numId w:val="0"/>
      </w:numPr>
    </w:pPr>
  </w:style>
  <w:style w:type="paragraph" w:styleId="TOC4">
    <w:name w:val="toc 4"/>
    <w:basedOn w:val="TOCBase"/>
    <w:next w:val="Normal"/>
    <w:semiHidden/>
    <w:rsid w:val="00CF3C42"/>
    <w:pPr>
      <w:tabs>
        <w:tab w:val="right" w:leader="dot" w:pos="9071"/>
      </w:tabs>
      <w:ind w:left="1701"/>
    </w:pPr>
  </w:style>
  <w:style w:type="paragraph" w:customStyle="1" w:styleId="ListAlpha">
    <w:name w:val="List Alpha"/>
    <w:basedOn w:val="List"/>
    <w:rsid w:val="00CF3C42"/>
    <w:pPr>
      <w:numPr>
        <w:numId w:val="8"/>
      </w:numPr>
    </w:pPr>
  </w:style>
  <w:style w:type="paragraph" w:customStyle="1" w:styleId="ListAlpha2">
    <w:name w:val="List Alpha 2"/>
    <w:basedOn w:val="List2"/>
    <w:rsid w:val="00CF3C42"/>
    <w:pPr>
      <w:numPr>
        <w:numId w:val="7"/>
      </w:numPr>
    </w:pPr>
  </w:style>
  <w:style w:type="paragraph" w:styleId="List3">
    <w:name w:val="List 3"/>
    <w:basedOn w:val="BodyText"/>
    <w:rsid w:val="00CF3C42"/>
    <w:pPr>
      <w:tabs>
        <w:tab w:val="left" w:pos="1021"/>
      </w:tabs>
      <w:spacing w:before="60" w:after="60"/>
      <w:ind w:left="1020" w:hanging="340"/>
    </w:pPr>
  </w:style>
  <w:style w:type="paragraph" w:styleId="List4">
    <w:name w:val="List 4"/>
    <w:basedOn w:val="BodyText"/>
    <w:rsid w:val="00CF3C42"/>
    <w:pPr>
      <w:tabs>
        <w:tab w:val="left" w:pos="1361"/>
      </w:tabs>
      <w:spacing w:before="60" w:after="60"/>
      <w:ind w:left="1361" w:hanging="340"/>
    </w:pPr>
  </w:style>
  <w:style w:type="paragraph" w:styleId="List5">
    <w:name w:val="List 5"/>
    <w:basedOn w:val="BodyText"/>
    <w:rsid w:val="00CF3C42"/>
    <w:pPr>
      <w:tabs>
        <w:tab w:val="left" w:pos="1701"/>
      </w:tabs>
      <w:spacing w:before="60" w:after="60"/>
      <w:ind w:left="1701" w:hanging="340"/>
    </w:pPr>
  </w:style>
  <w:style w:type="paragraph" w:styleId="ListBullet3">
    <w:name w:val="List Bullet 3"/>
    <w:basedOn w:val="List3"/>
    <w:rsid w:val="00CF3C42"/>
    <w:pPr>
      <w:numPr>
        <w:numId w:val="14"/>
      </w:numPr>
      <w:tabs>
        <w:tab w:val="clear" w:pos="1021"/>
      </w:tabs>
      <w:ind w:left="1037" w:hanging="357"/>
    </w:pPr>
  </w:style>
  <w:style w:type="paragraph" w:styleId="ListBullet4">
    <w:name w:val="List Bullet 4"/>
    <w:basedOn w:val="List4"/>
    <w:rsid w:val="00CF3C42"/>
    <w:pPr>
      <w:numPr>
        <w:numId w:val="2"/>
      </w:numPr>
    </w:pPr>
  </w:style>
  <w:style w:type="paragraph" w:styleId="ListBullet5">
    <w:name w:val="List Bullet 5"/>
    <w:basedOn w:val="List5"/>
    <w:rsid w:val="00CF3C42"/>
    <w:pPr>
      <w:numPr>
        <w:numId w:val="3"/>
      </w:numPr>
    </w:pPr>
  </w:style>
  <w:style w:type="paragraph" w:styleId="ListContinue2">
    <w:name w:val="List Continue 2"/>
    <w:basedOn w:val="List2"/>
    <w:rsid w:val="00CF3C42"/>
    <w:pPr>
      <w:ind w:firstLine="0"/>
    </w:pPr>
  </w:style>
  <w:style w:type="paragraph" w:styleId="ListContinue3">
    <w:name w:val="List Continue 3"/>
    <w:basedOn w:val="List3"/>
    <w:rsid w:val="00CF3C42"/>
    <w:pPr>
      <w:ind w:left="1021" w:firstLine="0"/>
    </w:pPr>
  </w:style>
  <w:style w:type="paragraph" w:styleId="ListContinue4">
    <w:name w:val="List Continue 4"/>
    <w:basedOn w:val="List4"/>
    <w:rsid w:val="00CF3C42"/>
    <w:pPr>
      <w:ind w:firstLine="0"/>
    </w:pPr>
  </w:style>
  <w:style w:type="paragraph" w:styleId="ListContinue5">
    <w:name w:val="List Continue 5"/>
    <w:basedOn w:val="List5"/>
    <w:rsid w:val="00CF3C42"/>
    <w:pPr>
      <w:ind w:firstLine="0"/>
    </w:pPr>
  </w:style>
  <w:style w:type="paragraph" w:styleId="ListNumber3">
    <w:name w:val="List Number 3"/>
    <w:basedOn w:val="List3"/>
    <w:rsid w:val="00CF3C42"/>
    <w:pPr>
      <w:numPr>
        <w:numId w:val="4"/>
      </w:numPr>
    </w:pPr>
  </w:style>
  <w:style w:type="paragraph" w:styleId="ListNumber4">
    <w:name w:val="List Number 4"/>
    <w:basedOn w:val="List4"/>
    <w:rsid w:val="00CF3C42"/>
    <w:pPr>
      <w:numPr>
        <w:numId w:val="5"/>
      </w:numPr>
    </w:pPr>
  </w:style>
  <w:style w:type="paragraph" w:styleId="ListNumber5">
    <w:name w:val="List Number 5"/>
    <w:basedOn w:val="List5"/>
    <w:rsid w:val="00CF3C42"/>
    <w:pPr>
      <w:numPr>
        <w:numId w:val="6"/>
      </w:numPr>
    </w:pPr>
  </w:style>
  <w:style w:type="paragraph" w:styleId="BlockText">
    <w:name w:val="Block Text"/>
    <w:basedOn w:val="Normal"/>
    <w:rsid w:val="00CF3C42"/>
    <w:pPr>
      <w:spacing w:after="120"/>
      <w:ind w:left="1440" w:right="1440"/>
    </w:pPr>
  </w:style>
  <w:style w:type="character" w:customStyle="1" w:styleId="Subscript">
    <w:name w:val="Subscript"/>
    <w:basedOn w:val="DefaultParagraphFont"/>
    <w:rsid w:val="00CF3C42"/>
    <w:rPr>
      <w:sz w:val="16"/>
      <w:vertAlign w:val="subscript"/>
    </w:rPr>
  </w:style>
  <w:style w:type="character" w:customStyle="1" w:styleId="Superscript">
    <w:name w:val="Superscript"/>
    <w:basedOn w:val="DefaultParagraphFont"/>
    <w:rsid w:val="00CF3C42"/>
    <w:rPr>
      <w:sz w:val="16"/>
      <w:vertAlign w:val="superscript"/>
    </w:rPr>
  </w:style>
  <w:style w:type="character" w:customStyle="1" w:styleId="Symbols">
    <w:name w:val="Symbols"/>
    <w:basedOn w:val="DefaultParagraphFont"/>
    <w:rsid w:val="00CF3C42"/>
    <w:rPr>
      <w:rFonts w:ascii="Symbol" w:hAnsi="Symbol"/>
    </w:rPr>
  </w:style>
  <w:style w:type="character" w:customStyle="1" w:styleId="MenuOptions">
    <w:name w:val="Menu Options"/>
    <w:basedOn w:val="DefaultParagraphFont"/>
    <w:rsid w:val="00CF3C42"/>
    <w:rPr>
      <w:rFonts w:ascii="Arial Narrow" w:hAnsi="Arial Narrow"/>
      <w:smallCaps/>
    </w:rPr>
  </w:style>
  <w:style w:type="character" w:customStyle="1" w:styleId="Buttons">
    <w:name w:val="Buttons"/>
    <w:basedOn w:val="DefaultParagraphFont"/>
    <w:rsid w:val="00CF3C42"/>
    <w:rPr>
      <w:b/>
    </w:rPr>
  </w:style>
  <w:style w:type="character" w:customStyle="1" w:styleId="Underlined">
    <w:name w:val="Underlined"/>
    <w:basedOn w:val="DefaultParagraphFont"/>
    <w:rsid w:val="00CF3C42"/>
    <w:rPr>
      <w:u w:val="single"/>
    </w:rPr>
  </w:style>
  <w:style w:type="paragraph" w:customStyle="1" w:styleId="TableBodyTextRight">
    <w:name w:val="Table Body Text Right"/>
    <w:basedOn w:val="TableBodyText"/>
    <w:rsid w:val="00CF3C42"/>
    <w:pPr>
      <w:widowControl w:val="0"/>
      <w:autoSpaceDE w:val="0"/>
      <w:autoSpaceDN w:val="0"/>
      <w:adjustRightInd w:val="0"/>
      <w:jc w:val="right"/>
    </w:pPr>
    <w:rPr>
      <w:rFonts w:cs="Arial"/>
      <w:szCs w:val="18"/>
    </w:rPr>
  </w:style>
  <w:style w:type="paragraph" w:customStyle="1" w:styleId="CopyrightText">
    <w:name w:val="Copyright Text"/>
    <w:basedOn w:val="BodyText"/>
    <w:rsid w:val="00CF3C42"/>
    <w:rPr>
      <w:sz w:val="18"/>
    </w:rPr>
  </w:style>
  <w:style w:type="paragraph" w:customStyle="1" w:styleId="BodySmallRight">
    <w:name w:val="Body Small Right"/>
    <w:basedOn w:val="BodyTextRight"/>
    <w:rsid w:val="00CF3C42"/>
    <w:rPr>
      <w:sz w:val="18"/>
      <w:szCs w:val="18"/>
    </w:rPr>
  </w:style>
  <w:style w:type="paragraph" w:customStyle="1" w:styleId="MarginEdition">
    <w:name w:val="Margin Edition"/>
    <w:basedOn w:val="MarginNote"/>
    <w:rsid w:val="00CF3C42"/>
    <w:pPr>
      <w:spacing w:before="0" w:after="0"/>
    </w:pPr>
    <w:rPr>
      <w:rFonts w:ascii="Times New Roman" w:hAnsi="Times New Roman"/>
      <w:color w:val="999999"/>
    </w:rPr>
  </w:style>
  <w:style w:type="paragraph" w:customStyle="1" w:styleId="Spacer">
    <w:name w:val="Spacer"/>
    <w:basedOn w:val="Normal"/>
    <w:rsid w:val="00CF3C42"/>
    <w:rPr>
      <w:sz w:val="2"/>
      <w:szCs w:val="2"/>
    </w:rPr>
  </w:style>
  <w:style w:type="character" w:customStyle="1" w:styleId="Small">
    <w:name w:val="Small"/>
    <w:basedOn w:val="DefaultParagraphFont"/>
    <w:rsid w:val="00CF3C42"/>
    <w:rPr>
      <w:sz w:val="16"/>
    </w:rPr>
  </w:style>
  <w:style w:type="paragraph" w:customStyle="1" w:styleId="WideTable">
    <w:name w:val="Wide Table"/>
    <w:basedOn w:val="Normal"/>
    <w:rsid w:val="00CF3C42"/>
    <w:pPr>
      <w:ind w:left="-1418"/>
    </w:pPr>
    <w:rPr>
      <w:sz w:val="2"/>
      <w:szCs w:val="2"/>
    </w:rPr>
  </w:style>
  <w:style w:type="character" w:styleId="PageNumber">
    <w:name w:val="page number"/>
    <w:basedOn w:val="DefaultParagraphFont"/>
    <w:rsid w:val="00CF3C42"/>
  </w:style>
  <w:style w:type="paragraph" w:styleId="Quote">
    <w:name w:val="Quote"/>
    <w:basedOn w:val="Heading1"/>
    <w:link w:val="QuoteChar"/>
    <w:qFormat/>
    <w:rsid w:val="00CF3C42"/>
    <w:rPr>
      <w:b w:val="0"/>
      <w:sz w:val="72"/>
      <w:szCs w:val="72"/>
      <w:lang w:val="en-NZ"/>
    </w:rPr>
  </w:style>
  <w:style w:type="character" w:customStyle="1" w:styleId="QuoteChar">
    <w:name w:val="Quote Char"/>
    <w:basedOn w:val="DefaultParagraphFont"/>
    <w:link w:val="Quote"/>
    <w:rsid w:val="00CF3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C42"/>
    <w:pPr>
      <w:pageBreakBefore/>
    </w:pPr>
  </w:style>
  <w:style w:type="paragraph" w:customStyle="1" w:styleId="Border">
    <w:name w:val="Border"/>
    <w:basedOn w:val="Normal"/>
    <w:qFormat/>
    <w:rsid w:val="00CF3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C42"/>
    <w:rPr>
      <w:b/>
      <w:bCs/>
      <w:i/>
      <w:iCs/>
      <w:color w:val="auto"/>
    </w:rPr>
  </w:style>
  <w:style w:type="paragraph" w:styleId="IntenseQuote">
    <w:name w:val="Intense Quote"/>
    <w:basedOn w:val="Normal"/>
    <w:next w:val="Normal"/>
    <w:link w:val="IntenseQuoteChar"/>
    <w:uiPriority w:val="30"/>
    <w:qFormat/>
    <w:rsid w:val="00CF3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C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3C42"/>
    <w:rPr>
      <w:smallCaps/>
      <w:color w:val="auto"/>
      <w:u w:val="single"/>
    </w:rPr>
  </w:style>
  <w:style w:type="character" w:styleId="IntenseReference">
    <w:name w:val="Intense Reference"/>
    <w:basedOn w:val="DefaultParagraphFont"/>
    <w:uiPriority w:val="32"/>
    <w:qFormat/>
    <w:rsid w:val="00CF3C42"/>
    <w:rPr>
      <w:b/>
      <w:bCs/>
      <w:smallCaps/>
      <w:color w:val="auto"/>
      <w:spacing w:val="5"/>
      <w:u w:val="single"/>
    </w:rPr>
  </w:style>
  <w:style w:type="paragraph" w:customStyle="1" w:styleId="2ColumnHeading">
    <w:name w:val="2Column Heading"/>
    <w:basedOn w:val="BodyText"/>
    <w:qFormat/>
    <w:rsid w:val="00CF3C42"/>
    <w:pPr>
      <w:spacing w:after="60"/>
      <w:ind w:left="-2268"/>
    </w:pPr>
    <w:rPr>
      <w:b/>
    </w:rPr>
  </w:style>
  <w:style w:type="paragraph" w:customStyle="1" w:styleId="Heading1TOC">
    <w:name w:val="Heading1 TOC"/>
    <w:basedOn w:val="Normal"/>
    <w:qFormat/>
    <w:rsid w:val="00CF3C42"/>
    <w:pPr>
      <w:spacing w:before="240" w:after="120"/>
    </w:pPr>
    <w:rPr>
      <w:rFonts w:ascii="Times New Roman" w:hAnsi="Times New Roman"/>
      <w:b/>
      <w:sz w:val="32"/>
    </w:rPr>
  </w:style>
  <w:style w:type="paragraph" w:customStyle="1" w:styleId="Heading2TOC">
    <w:name w:val="Heading2 TOC"/>
    <w:basedOn w:val="Normal"/>
    <w:qFormat/>
    <w:rsid w:val="00CF3C42"/>
    <w:pPr>
      <w:spacing w:before="240" w:after="60"/>
    </w:pPr>
    <w:rPr>
      <w:rFonts w:ascii="Times New Roman" w:hAnsi="Times New Roman"/>
      <w:b/>
      <w:sz w:val="28"/>
    </w:rPr>
  </w:style>
  <w:style w:type="character" w:customStyle="1" w:styleId="Underline">
    <w:name w:val="Underline"/>
    <w:basedOn w:val="DefaultParagraphFont"/>
    <w:qFormat/>
    <w:rsid w:val="00CF3C42"/>
    <w:rPr>
      <w:u w:val="single"/>
    </w:rPr>
  </w:style>
  <w:style w:type="character" w:customStyle="1" w:styleId="BoldandItalics">
    <w:name w:val="Bold and Italics"/>
    <w:qFormat/>
    <w:rsid w:val="00CF3C42"/>
    <w:rPr>
      <w:b/>
      <w:i/>
      <w:u w:val="none"/>
    </w:rPr>
  </w:style>
  <w:style w:type="paragraph" w:styleId="BalloonText">
    <w:name w:val="Balloon Text"/>
    <w:basedOn w:val="Normal"/>
    <w:link w:val="BalloonTextChar"/>
    <w:rsid w:val="00CF3C42"/>
    <w:rPr>
      <w:rFonts w:ascii="Tahoma" w:hAnsi="Tahoma" w:cs="Tahoma"/>
      <w:sz w:val="16"/>
      <w:szCs w:val="16"/>
    </w:rPr>
  </w:style>
  <w:style w:type="character" w:customStyle="1" w:styleId="BalloonTextChar">
    <w:name w:val="Balloon Text Char"/>
    <w:basedOn w:val="DefaultParagraphFont"/>
    <w:link w:val="BalloonText"/>
    <w:rsid w:val="00CF3C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C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932</Words>
  <Characters>5765</Characters>
  <Application>Microsoft Office Word</Application>
  <DocSecurity>0</DocSecurity>
  <Lines>213</Lines>
  <Paragraphs>98</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MEM04019B Perform refractory installation and repair</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2012-05-27T01:27:00Z</dcterms:created>
  <dcterms:modified xsi:type="dcterms:W3CDTF">2012-05-27T01:27:00Z</dcterms:modified>
</cp:coreProperties>
</file>