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F99" w:rsidP="00E14F99">
      <w:pPr>
        <w:pStyle w:val="Title"/>
      </w:pPr>
      <w:r>
        <w:fldChar w:fldCharType="begin"/>
      </w:r>
      <w:r>
        <w:instrText xml:space="preserve"> TITLE   \* MERGEFORMAT </w:instrText>
      </w:r>
      <w:r>
        <w:fldChar w:fldCharType="separate"/>
      </w:r>
      <w:r>
        <w:t>MEM04012B Assemble plated patterns</w:t>
      </w:r>
      <w:r>
        <w:fldChar w:fldCharType="end"/>
      </w:r>
    </w:p>
    <w:p w:rsidR="00E14F99" w:rsidP="00E14F99">
      <w:pPr>
        <w:pStyle w:val="Version"/>
        <w:sectPr w:rsidSect="001156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6DF" w:rsidP="001156DF">
      <w:pPr>
        <w:pStyle w:val="SuperHeading"/>
      </w:pPr>
      <w:r w:rsidRPr="001156DF">
        <w:t>MEM04012B Assemble plated patterns</w:t>
      </w:r>
    </w:p>
    <w:p w:rsidR="00000000" w:rsidRPr="001156DF" w:rsidP="001156DF">
      <w:pPr>
        <w:pStyle w:val="Heading1"/>
      </w:pPr>
      <w:bookmarkStart w:id="1" w:name="O_271983"/>
      <w:bookmarkEnd w:id="1"/>
      <w:r w:rsidRPr="001156DF">
        <w:t>Modification History</w:t>
      </w:r>
    </w:p>
    <w:p w:rsidR="00000000" w:rsidRPr="001156DF" w:rsidP="001156DF">
      <w:pPr>
        <w:pStyle w:val="BodyText"/>
      </w:pPr>
      <w:r w:rsidRPr="001156DF">
        <w:t>Not Applicable</w:t>
      </w:r>
    </w:p>
    <w:p w:rsidR="00000000" w:rsidRPr="001156DF" w:rsidP="001156DF">
      <w:pPr>
        <w:pStyle w:val="AllowPageBreak"/>
      </w:pPr>
    </w:p>
    <w:p w:rsidR="00000000" w:rsidRPr="001156DF" w:rsidP="001156DF">
      <w:pPr>
        <w:pStyle w:val="Heading1"/>
      </w:pPr>
      <w:bookmarkStart w:id="2" w:name="O_210319"/>
      <w:bookmarkEnd w:id="2"/>
      <w:r w:rsidRPr="001156DF">
        <w:t>Unit Descriptor</w:t>
      </w:r>
    </w:p>
    <w:tbl>
      <w:tblPr>
        <w:tblW w:w="0" w:type="auto"/>
        <w:tblLayout w:type="fixed"/>
        <w:tblCellMar>
          <w:left w:w="62" w:type="dxa"/>
          <w:right w:w="62" w:type="dxa"/>
        </w:tblCellMar>
        <w:tblLook w:val="0000"/>
      </w:tblPr>
      <w:tblGrid>
        <w:gridCol w:w="2673"/>
        <w:gridCol w:w="5849"/>
      </w:tblGrid>
      <w:tr w:rsidTr="00E14F9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This unit covers assembling plated patterns.</w:t>
            </w:r>
          </w:p>
        </w:tc>
      </w:tr>
    </w:tbl>
    <w:p w:rsidR="00E14F99" w:rsidP="001156DF">
      <w:pPr>
        <w:pStyle w:val="BodyText"/>
      </w:pPr>
    </w:p>
    <w:p w:rsidR="00E14F99" w:rsidP="001156DF">
      <w:pPr>
        <w:pStyle w:val="BodyText"/>
      </w:pPr>
    </w:p>
    <w:p w:rsidR="00000000" w:rsidRPr="001156DF" w:rsidP="001156DF">
      <w:pPr>
        <w:pStyle w:val="Heading1"/>
      </w:pPr>
      <w:bookmarkStart w:id="3" w:name="O_210323"/>
      <w:bookmarkEnd w:id="3"/>
      <w:r w:rsidRPr="001156DF">
        <w:t>Application of the Unit</w:t>
      </w:r>
    </w:p>
    <w:tbl>
      <w:tblPr>
        <w:tblW w:w="0" w:type="auto"/>
        <w:tblLayout w:type="fixed"/>
        <w:tblCellMar>
          <w:left w:w="62" w:type="dxa"/>
          <w:right w:w="62" w:type="dxa"/>
        </w:tblCellMar>
        <w:tblLook w:val="0000"/>
      </w:tblPr>
      <w:tblGrid>
        <w:gridCol w:w="2745"/>
        <w:gridCol w:w="5777"/>
      </w:tblGrid>
      <w:tr w:rsidTr="00E14F9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This unit applies to the assembly of all types of plated patterns using a range of materials such as timber, timber composite and metal. It covers the manufacture (when appropriate) and mounting of runner systems.</w:t>
            </w:r>
          </w:p>
          <w:p w:rsidR="00000000" w:rsidRPr="001156DF" w:rsidP="001156DF">
            <w:pPr>
              <w:pStyle w:val="BodyText"/>
            </w:pPr>
            <w:r w:rsidRPr="001156DF">
              <w:t>This unit does not address machining compe</w:t>
            </w:r>
            <w:r w:rsidRPr="001156DF">
              <w:t xml:space="preserve">tencies. If these are required, appropriate units should also be accessed. </w:t>
            </w:r>
          </w:p>
          <w:p w:rsidR="00000000" w:rsidRPr="001156DF" w:rsidP="001156DF">
            <w:pPr>
              <w:pStyle w:val="BodyText"/>
            </w:pPr>
            <w:r w:rsidRPr="001156DF">
              <w:t>For cast aluminium plates, see Unit MEM04014B (Develop and manufacture production patterns). Where the manufacture of polymer-plated patterns is required, Unit MEM04011B (Produce p</w:t>
            </w:r>
            <w:r w:rsidRPr="001156DF">
              <w:t>olymer patterns) should also be accessed.</w:t>
            </w:r>
          </w:p>
          <w:p w:rsidR="00000000" w:rsidRPr="001156DF" w:rsidP="001156DF">
            <w:pPr>
              <w:pStyle w:val="BodyText"/>
            </w:pPr>
            <w:r w:rsidRPr="001156DF">
              <w:t>Where precision measurement is required, Unit MEM12003B (Perform precision mechanical measurement) should also be considered.</w:t>
            </w:r>
          </w:p>
          <w:p w:rsidR="00000000" w:rsidRPr="001156DF" w:rsidP="001156DF">
            <w:pPr>
              <w:pStyle w:val="BodyText"/>
            </w:pPr>
          </w:p>
          <w:p w:rsidR="00000000" w:rsidRPr="001156DF" w:rsidP="001156DF">
            <w:pPr>
              <w:pStyle w:val="BodyText"/>
            </w:pPr>
            <w:r w:rsidRPr="001156DF">
              <w:rPr>
                <w:rStyle w:val="SpecialBold"/>
              </w:rPr>
              <w:t>Band</w:t>
            </w:r>
            <w:r w:rsidRPr="001156DF">
              <w:t>:</w:t>
            </w:r>
            <w:r w:rsidRPr="001156DF">
              <w:tab/>
            </w:r>
            <w:r w:rsidRPr="001156DF">
              <w:rPr>
                <w:rStyle w:val="SpecialBold"/>
              </w:rPr>
              <w:t>A</w:t>
            </w:r>
          </w:p>
          <w:p w:rsidR="00000000" w:rsidRPr="001156DF" w:rsidP="001156DF">
            <w:pPr>
              <w:pStyle w:val="BodyText"/>
            </w:pPr>
            <w:r w:rsidRPr="001156DF">
              <w:rPr>
                <w:rStyle w:val="SpecialBold"/>
              </w:rPr>
              <w:t>Unit Weight</w:t>
            </w:r>
            <w:r w:rsidRPr="001156DF">
              <w:t>:</w:t>
            </w:r>
            <w:r w:rsidRPr="001156DF">
              <w:tab/>
            </w:r>
            <w:r w:rsidRPr="001156DF">
              <w:rPr>
                <w:rStyle w:val="SpecialBold"/>
              </w:rPr>
              <w:t>8</w:t>
            </w:r>
          </w:p>
        </w:tc>
      </w:tr>
    </w:tbl>
    <w:p w:rsidR="00E14F99" w:rsidP="001156DF">
      <w:pPr>
        <w:pStyle w:val="BodyText"/>
      </w:pPr>
    </w:p>
    <w:p w:rsidR="00E14F99" w:rsidP="001156DF">
      <w:pPr>
        <w:pStyle w:val="BodyText"/>
      </w:pPr>
    </w:p>
    <w:p w:rsidR="00000000" w:rsidRPr="001156DF" w:rsidP="001156DF">
      <w:pPr>
        <w:pStyle w:val="Heading1"/>
      </w:pPr>
      <w:bookmarkStart w:id="4" w:name="O_280243"/>
      <w:bookmarkEnd w:id="4"/>
      <w:r w:rsidRPr="001156DF">
        <w:t>Licensing/Regulatory Information</w:t>
      </w:r>
    </w:p>
    <w:p w:rsidR="00000000" w:rsidRPr="001156DF" w:rsidP="001156DF">
      <w:pPr>
        <w:pStyle w:val="BodyText"/>
      </w:pPr>
      <w:r w:rsidRPr="001156DF">
        <w:t>Not Applicable</w:t>
      </w:r>
    </w:p>
    <w:p w:rsidR="00000000" w:rsidRPr="001156DF" w:rsidP="001156DF">
      <w:pPr>
        <w:pStyle w:val="AllowPageBreak"/>
      </w:pPr>
    </w:p>
    <w:p w:rsidR="00000000" w:rsidRPr="001156DF" w:rsidP="001156DF">
      <w:pPr>
        <w:pStyle w:val="Heading1"/>
      </w:pPr>
      <w:bookmarkStart w:id="5" w:name="O_210321"/>
      <w:bookmarkEnd w:id="5"/>
      <w:r w:rsidRPr="001156DF">
        <w:t>Pre-Requisites</w:t>
      </w:r>
    </w:p>
    <w:tbl>
      <w:tblPr>
        <w:tblW w:w="0" w:type="auto"/>
        <w:tblLayout w:type="fixed"/>
        <w:tblCellMar>
          <w:left w:w="62" w:type="dxa"/>
          <w:right w:w="62" w:type="dxa"/>
        </w:tblCellMar>
        <w:tblLook w:val="0000"/>
      </w:tblPr>
      <w:tblGrid>
        <w:gridCol w:w="2712"/>
        <w:gridCol w:w="2207"/>
        <w:gridCol w:w="3603"/>
      </w:tblGrid>
      <w:tr w:rsidTr="00E14F99">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MEM04010B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Develop and manufacture wood patterns</w:t>
            </w: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MEM04018B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Perform general woodworking machine operations</w:t>
            </w: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Interpret technical drawing</w:t>
            </w: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MEM12006C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Mark off/out (general engineering)</w:t>
            </w: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Perform engineering measurements</w:t>
            </w: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MEM12024A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Perform computations</w:t>
            </w: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Use hand tools</w:t>
            </w: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Use power tools/hand held operations</w:t>
            </w:r>
          </w:p>
        </w:tc>
      </w:tr>
      <w:tr w:rsidTr="00E14F9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MEM30012A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Apply mathematical techniques in a manufacturing engineering or related environment</w:t>
            </w:r>
          </w:p>
        </w:tc>
      </w:tr>
    </w:tbl>
    <w:p w:rsidR="00E14F99" w:rsidP="001156DF">
      <w:pPr>
        <w:pStyle w:val="BodyText"/>
      </w:pPr>
    </w:p>
    <w:p w:rsidR="00E14F99" w:rsidP="001156DF">
      <w:pPr>
        <w:pStyle w:val="BodyText"/>
      </w:pPr>
    </w:p>
    <w:p w:rsidR="00000000" w:rsidRPr="001156DF" w:rsidP="001156DF">
      <w:pPr>
        <w:pStyle w:val="Heading1"/>
      </w:pPr>
      <w:bookmarkStart w:id="6" w:name="O_210320"/>
      <w:bookmarkEnd w:id="6"/>
      <w:r w:rsidRPr="001156DF">
        <w:t>Employability Skills Information</w:t>
      </w:r>
    </w:p>
    <w:tbl>
      <w:tblPr>
        <w:tblW w:w="0" w:type="auto"/>
        <w:tblLayout w:type="fixed"/>
        <w:tblCellMar>
          <w:left w:w="62" w:type="dxa"/>
          <w:right w:w="62" w:type="dxa"/>
        </w:tblCellMar>
        <w:tblLook w:val="0000"/>
      </w:tblPr>
      <w:tblGrid>
        <w:gridCol w:w="2802"/>
        <w:gridCol w:w="5720"/>
      </w:tblGrid>
      <w:tr w:rsidTr="00E14F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This unit contains employability skills.</w:t>
            </w:r>
          </w:p>
        </w:tc>
      </w:tr>
    </w:tbl>
    <w:p w:rsidR="00E14F99" w:rsidP="001156DF">
      <w:pPr>
        <w:pStyle w:val="BodyText"/>
      </w:pPr>
    </w:p>
    <w:p w:rsidR="00E14F99" w:rsidP="001156DF">
      <w:pPr>
        <w:pStyle w:val="BodyText"/>
      </w:pPr>
    </w:p>
    <w:p w:rsidR="00000000" w:rsidRPr="001156DF" w:rsidP="001156DF">
      <w:pPr>
        <w:pStyle w:val="Heading1"/>
      </w:pPr>
      <w:bookmarkStart w:id="7" w:name="O_290029"/>
      <w:bookmarkEnd w:id="7"/>
      <w:r w:rsidRPr="001156DF">
        <w:t>Elements and Performance Criteria Pre-Content</w:t>
      </w:r>
    </w:p>
    <w:tbl>
      <w:tblPr>
        <w:tblW w:w="0" w:type="auto"/>
        <w:tblLayout w:type="fixed"/>
        <w:tblCellMar>
          <w:left w:w="62" w:type="dxa"/>
          <w:right w:w="62" w:type="dxa"/>
        </w:tblCellMar>
        <w:tblLook w:val="0000"/>
      </w:tblPr>
      <w:tblGrid>
        <w:gridCol w:w="2582"/>
        <w:gridCol w:w="5940"/>
      </w:tblGrid>
      <w:tr w:rsidTr="00E14F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Performance criteria describe the performance needed to demonstrate achievement of the element. Where bold italicised text is used, further info</w:t>
            </w:r>
            <w:r w:rsidRPr="001156DF">
              <w:t>rmation is detailed in the required skills and knowledge section and the range statement. Assessment of performance is to be consistent with the evidence guide.</w:t>
            </w:r>
          </w:p>
        </w:tc>
      </w:tr>
    </w:tbl>
    <w:p w:rsidR="00000000" w:rsidRPr="001156DF" w:rsidP="001156DF">
      <w:pPr>
        <w:pStyle w:val="BodyText"/>
      </w:pPr>
    </w:p>
    <w:p w:rsidR="00000000" w:rsidRPr="001156DF" w:rsidP="001156DF">
      <w:pPr>
        <w:pStyle w:val="AllowPageBreak"/>
      </w:pPr>
    </w:p>
    <w:p w:rsidR="00000000" w:rsidRPr="001156DF" w:rsidP="001156DF">
      <w:pPr>
        <w:pStyle w:val="Heading1"/>
      </w:pPr>
      <w:bookmarkStart w:id="8" w:name="O_236696"/>
      <w:bookmarkEnd w:id="8"/>
      <w:r w:rsidRPr="001156DF">
        <w:t>Elements and Performance Criteria</w:t>
      </w:r>
    </w:p>
    <w:tbl>
      <w:tblPr>
        <w:tblW w:w="0" w:type="auto"/>
        <w:tblLayout w:type="fixed"/>
        <w:tblCellMar>
          <w:left w:w="62" w:type="dxa"/>
          <w:right w:w="62" w:type="dxa"/>
        </w:tblCellMar>
        <w:tblLook w:val="0000"/>
      </w:tblPr>
      <w:tblGrid>
        <w:gridCol w:w="2582"/>
        <w:gridCol w:w="5940"/>
      </w:tblGrid>
      <w:tr w:rsidTr="00E14F99">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PERFORMANCE CRITERIA</w:t>
            </w:r>
          </w:p>
        </w:tc>
      </w:tr>
      <w:tr w:rsidTr="00E14F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List"/>
              <w:rPr>
                <w:lang w:val="en-NZ"/>
              </w:rPr>
            </w:pPr>
            <w:r w:rsidRPr="001156DF">
              <w:t>1.</w:t>
            </w:r>
            <w:r w:rsidRPr="001156DF">
              <w:tab/>
            </w:r>
            <w:r w:rsidRPr="001156DF">
              <w:t xml:space="preserve">Determine job requirements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List2"/>
              <w:rPr>
                <w:lang w:val="en-NZ"/>
              </w:rPr>
            </w:pPr>
            <w:r w:rsidRPr="001156DF">
              <w:t>1.1.</w:t>
            </w:r>
            <w:r w:rsidRPr="001156DF">
              <w:tab/>
              <w:t>Job instructions and specifications are correctly interpreted and followed.</w:t>
            </w:r>
          </w:p>
        </w:tc>
      </w:tr>
      <w:tr w:rsidTr="00E14F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List"/>
              <w:rPr>
                <w:lang w:val="en-NZ"/>
              </w:rPr>
            </w:pPr>
            <w:r w:rsidRPr="001156DF">
              <w:t>2.</w:t>
            </w:r>
            <w:r w:rsidRPr="001156DF">
              <w:tab/>
              <w:t>Inspect and layout patterns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List2"/>
            </w:pPr>
            <w:r w:rsidRPr="001156DF">
              <w:t>2.1.</w:t>
            </w:r>
            <w:r w:rsidRPr="001156DF">
              <w:tab/>
              <w:t>Pattern(s) are inspected to ensure dimensions and surface finish conform to specifications.</w:t>
            </w:r>
          </w:p>
          <w:p w:rsidR="00000000" w:rsidRPr="001156DF" w:rsidP="001156DF">
            <w:pPr>
              <w:pStyle w:val="List2"/>
            </w:pPr>
            <w:r w:rsidRPr="001156DF">
              <w:t>2.2.</w:t>
            </w:r>
            <w:r w:rsidRPr="001156DF">
              <w:tab/>
              <w:t>Pattern and r</w:t>
            </w:r>
            <w:r w:rsidRPr="001156DF">
              <w:t>unner system is laid out to specifications from drawings, sketches or verbal instructions.</w:t>
            </w:r>
          </w:p>
          <w:p w:rsidR="00000000" w:rsidP="001156DF">
            <w:pPr>
              <w:pStyle w:val="List2"/>
              <w:rPr>
                <w:lang w:val="en-NZ"/>
              </w:rPr>
            </w:pPr>
            <w:r w:rsidRPr="001156DF">
              <w:t>2.3.</w:t>
            </w:r>
            <w:r w:rsidRPr="001156DF">
              <w:tab/>
              <w:t>Pattern(s) are correctly aligned.</w:t>
            </w:r>
          </w:p>
        </w:tc>
      </w:tr>
      <w:tr w:rsidTr="00E14F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List"/>
              <w:rPr>
                <w:lang w:val="en-NZ"/>
              </w:rPr>
            </w:pPr>
            <w:r w:rsidRPr="001156DF">
              <w:t>3.</w:t>
            </w:r>
            <w:r w:rsidRPr="001156DF">
              <w:tab/>
              <w:t>Mount pattern on plates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List2"/>
            </w:pPr>
            <w:r w:rsidRPr="001156DF">
              <w:t>3.1.</w:t>
            </w:r>
            <w:r w:rsidRPr="001156DF">
              <w:tab/>
              <w:t>Cope and drag patterns/double sided match plate patterns are attached to pattern plate/s acco</w:t>
            </w:r>
            <w:r w:rsidRPr="001156DF">
              <w:t>rding to specification.</w:t>
            </w:r>
          </w:p>
          <w:p w:rsidR="00000000" w:rsidP="001156DF">
            <w:pPr>
              <w:pStyle w:val="List2"/>
              <w:rPr>
                <w:lang w:val="en-NZ"/>
              </w:rPr>
            </w:pPr>
            <w:r w:rsidRPr="001156DF">
              <w:t>3.2.</w:t>
            </w:r>
            <w:r w:rsidRPr="001156DF">
              <w:tab/>
              <w:t>Cope and drag patterns/double sided match plate patterns are inspected for security and alignment.</w:t>
            </w:r>
          </w:p>
        </w:tc>
      </w:tr>
      <w:tr w:rsidTr="00E14F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List"/>
              <w:rPr>
                <w:lang w:val="en-NZ"/>
              </w:rPr>
            </w:pPr>
            <w:r w:rsidRPr="001156DF">
              <w:t>4.</w:t>
            </w:r>
            <w:r w:rsidRPr="001156DF">
              <w:tab/>
              <w:t>Mount runner system</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List2"/>
            </w:pPr>
            <w:r w:rsidRPr="001156DF">
              <w:t>4.1.</w:t>
            </w:r>
            <w:r w:rsidRPr="001156DF">
              <w:tab/>
              <w:t>Volume of runner system conforms to specification.</w:t>
            </w:r>
          </w:p>
          <w:p w:rsidR="00000000" w:rsidP="001156DF">
            <w:pPr>
              <w:pStyle w:val="List2"/>
              <w:rPr>
                <w:lang w:val="en-NZ"/>
              </w:rPr>
            </w:pPr>
            <w:r w:rsidRPr="001156DF">
              <w:t>4.2.</w:t>
            </w:r>
            <w:r w:rsidRPr="001156DF">
              <w:tab/>
            </w:r>
            <w:r w:rsidRPr="001156DF">
              <w:t>Runner components are attached to pattern plates using appropriate fixing and joining techniques to specification.</w:t>
            </w:r>
          </w:p>
        </w:tc>
      </w:tr>
      <w:tr w:rsidTr="00E14F9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List"/>
              <w:rPr>
                <w:lang w:val="en-NZ"/>
              </w:rPr>
            </w:pPr>
            <w:r w:rsidRPr="001156DF">
              <w:t>5.</w:t>
            </w:r>
            <w:r w:rsidRPr="001156DF">
              <w:tab/>
              <w:t>Inspect plated pattern assembly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List2"/>
            </w:pPr>
            <w:r w:rsidRPr="001156DF">
              <w:t>5.1.</w:t>
            </w:r>
            <w:r w:rsidRPr="001156DF">
              <w:tab/>
              <w:t>Surface and mouldability of plated pattern assembly are inspected for compliance with specifications</w:t>
            </w:r>
            <w:r w:rsidRPr="001156DF">
              <w:t>.</w:t>
            </w:r>
          </w:p>
        </w:tc>
      </w:tr>
    </w:tbl>
    <w:p w:rsidR="00E14F99" w:rsidP="001156DF">
      <w:pPr>
        <w:pStyle w:val="BodyText"/>
      </w:pPr>
    </w:p>
    <w:p w:rsidR="00E14F99" w:rsidP="001156DF">
      <w:pPr>
        <w:pStyle w:val="BodyText"/>
      </w:pPr>
    </w:p>
    <w:p w:rsidR="00000000" w:rsidRPr="001156DF" w:rsidP="001156DF">
      <w:pPr>
        <w:pStyle w:val="Heading1"/>
      </w:pPr>
      <w:bookmarkStart w:id="9" w:name="O_260646"/>
      <w:bookmarkEnd w:id="9"/>
      <w:r w:rsidRPr="001156DF">
        <w:t>Required Skills and Knowledge</w:t>
      </w:r>
    </w:p>
    <w:tbl>
      <w:tblPr>
        <w:tblW w:w="0" w:type="auto"/>
        <w:tblLayout w:type="fixed"/>
        <w:tblCellMar>
          <w:left w:w="62" w:type="dxa"/>
          <w:right w:w="62" w:type="dxa"/>
        </w:tblCellMar>
        <w:tblLook w:val="0000"/>
      </w:tblPr>
      <w:tblGrid>
        <w:gridCol w:w="8522"/>
      </w:tblGrid>
      <w:tr w:rsidTr="00E14F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REQUIRED SKILLS AND KNOWLEDGE</w:t>
            </w:r>
          </w:p>
        </w:tc>
      </w:tr>
      <w:tr w:rsidTr="00E14F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This section describes the skills and knowledge required for this unit.</w:t>
            </w:r>
          </w:p>
        </w:tc>
      </w:tr>
      <w:tr w:rsidTr="00E14F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Required skills</w:t>
            </w:r>
          </w:p>
        </w:tc>
      </w:tr>
      <w:tr w:rsidTr="00E14F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Look for evidence that confirms skills in:</w:t>
            </w:r>
          </w:p>
          <w:p w:rsidR="00000000" w:rsidRPr="001156DF" w:rsidP="001156DF">
            <w:pPr>
              <w:pStyle w:val="ListBullet"/>
            </w:pPr>
            <w:r w:rsidRPr="001156DF">
              <w:t>determining job requirements from written instructions, specifications, sketches and drawings</w:t>
            </w:r>
          </w:p>
          <w:p w:rsidR="00000000" w:rsidRPr="001156DF" w:rsidP="001156DF">
            <w:pPr>
              <w:pStyle w:val="ListBullet"/>
            </w:pPr>
            <w:r w:rsidRPr="001156DF">
              <w:t>planning and sequencing tasks</w:t>
            </w:r>
          </w:p>
          <w:p w:rsidR="00000000" w:rsidRPr="001156DF" w:rsidP="001156DF">
            <w:pPr>
              <w:pStyle w:val="ListBullet"/>
            </w:pPr>
            <w:r w:rsidRPr="001156DF">
              <w:t>checking and clarifying task-related information</w:t>
            </w:r>
          </w:p>
          <w:p w:rsidR="00000000" w:rsidRPr="001156DF" w:rsidP="001156DF">
            <w:pPr>
              <w:pStyle w:val="ListBullet"/>
            </w:pPr>
            <w:r w:rsidRPr="001156DF">
              <w:t>performing relevant calculations</w:t>
            </w:r>
          </w:p>
          <w:p w:rsidR="00000000" w:rsidRPr="001156DF" w:rsidP="001156DF">
            <w:pPr>
              <w:pStyle w:val="ListBullet"/>
            </w:pPr>
            <w:r w:rsidRPr="001156DF">
              <w:t>following verbal instructions</w:t>
            </w:r>
          </w:p>
          <w:p w:rsidR="00000000" w:rsidRPr="001156DF" w:rsidP="001156DF">
            <w:pPr>
              <w:pStyle w:val="ListBullet"/>
            </w:pPr>
            <w:r w:rsidRPr="001156DF">
              <w:t>applying surface fin</w:t>
            </w:r>
            <w:r w:rsidRPr="001156DF">
              <w:t>ishes for the moulding process</w:t>
            </w:r>
          </w:p>
          <w:p w:rsidR="00000000" w:rsidRPr="001156DF" w:rsidP="001156DF">
            <w:pPr>
              <w:pStyle w:val="ListBullet"/>
            </w:pPr>
            <w:r w:rsidRPr="001156DF">
              <w:t>laying out patterns and runner systems</w:t>
            </w:r>
          </w:p>
          <w:p w:rsidR="00000000" w:rsidRPr="001156DF" w:rsidP="001156DF">
            <w:pPr>
              <w:pStyle w:val="ListBullet"/>
            </w:pPr>
            <w:r w:rsidRPr="001156DF">
              <w:t>attaching pattern and runner components</w:t>
            </w:r>
          </w:p>
          <w:p w:rsidR="00000000" w:rsidRPr="001156DF" w:rsidP="001156DF">
            <w:pPr>
              <w:pStyle w:val="ListBullet"/>
            </w:pPr>
            <w:r w:rsidRPr="001156DF">
              <w:t>locating and aligning patterns</w:t>
            </w:r>
          </w:p>
          <w:p w:rsidR="00000000" w:rsidP="001156DF">
            <w:pPr>
              <w:pStyle w:val="ListBullet"/>
              <w:rPr>
                <w:lang w:val="en-NZ"/>
              </w:rPr>
            </w:pPr>
            <w:r w:rsidRPr="001156DF">
              <w:t>checking patterns for compliance</w:t>
            </w:r>
          </w:p>
        </w:tc>
      </w:tr>
      <w:tr w:rsidTr="00E14F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Required knowledge</w:t>
            </w:r>
          </w:p>
        </w:tc>
      </w:tr>
      <w:tr w:rsidTr="00E14F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 xml:space="preserve">Look for evidence that confirms knowledge of: </w:t>
            </w:r>
          </w:p>
          <w:p w:rsidR="00000000" w:rsidRPr="001156DF" w:rsidP="001156DF">
            <w:pPr>
              <w:pStyle w:val="ListBullet"/>
            </w:pPr>
            <w:r w:rsidRPr="001156DF">
              <w:t>units of measurement, numerical operations and calculations associated with assembling plated patterns</w:t>
            </w:r>
          </w:p>
          <w:p w:rsidR="00000000" w:rsidRPr="001156DF" w:rsidP="001156DF">
            <w:pPr>
              <w:pStyle w:val="ListBullet"/>
            </w:pPr>
            <w:r w:rsidRPr="001156DF">
              <w:t>fixing and drilling techniques</w:t>
            </w:r>
          </w:p>
          <w:p w:rsidR="00000000" w:rsidRPr="001156DF" w:rsidP="001156DF">
            <w:pPr>
              <w:pStyle w:val="ListBullet"/>
            </w:pPr>
            <w:r w:rsidRPr="001156DF">
              <w:t>the reason for using particular layout and runner system</w:t>
            </w:r>
          </w:p>
          <w:p w:rsidR="00000000" w:rsidRPr="001156DF" w:rsidP="001156DF">
            <w:pPr>
              <w:pStyle w:val="ListBullet"/>
            </w:pPr>
            <w:r w:rsidRPr="001156DF">
              <w:t>types of pattern plates</w:t>
            </w:r>
          </w:p>
          <w:p w:rsidR="00000000" w:rsidRPr="001156DF" w:rsidP="001156DF">
            <w:pPr>
              <w:pStyle w:val="ListBullet"/>
            </w:pPr>
            <w:r w:rsidRPr="001156DF">
              <w:t>the techniques for avoiding cross jointin</w:t>
            </w:r>
            <w:r w:rsidRPr="001156DF">
              <w:t>g or mismatch of the pattern and their relationship to the pin-centre</w:t>
            </w:r>
          </w:p>
          <w:p w:rsidR="00000000" w:rsidRPr="001156DF" w:rsidP="001156DF">
            <w:pPr>
              <w:pStyle w:val="ListBullet"/>
            </w:pPr>
            <w:r w:rsidRPr="001156DF">
              <w:t>methoding systems</w:t>
            </w:r>
          </w:p>
          <w:p w:rsidR="00000000" w:rsidRPr="001156DF" w:rsidP="001156DF">
            <w:pPr>
              <w:pStyle w:val="ListBullet"/>
            </w:pPr>
            <w:r w:rsidRPr="001156DF">
              <w:t>mouldability i.e. surface finish, face taper, convex or concave perspectives, undercuts, etc.</w:t>
            </w:r>
          </w:p>
          <w:p w:rsidR="00000000" w:rsidRPr="001156DF" w:rsidP="001156DF">
            <w:pPr>
              <w:pStyle w:val="ListBullet"/>
            </w:pPr>
            <w:r w:rsidRPr="001156DF">
              <w:t>moulding and casting techniques</w:t>
            </w:r>
          </w:p>
          <w:p w:rsidR="00000000" w:rsidRPr="001156DF" w:rsidP="001156DF">
            <w:pPr>
              <w:pStyle w:val="ListBullet"/>
            </w:pPr>
            <w:r w:rsidRPr="001156DF">
              <w:t>use and application of personal protective</w:t>
            </w:r>
            <w:r w:rsidRPr="001156DF">
              <w:t xml:space="preserve"> equipment</w:t>
            </w:r>
          </w:p>
          <w:p w:rsidR="00000000" w:rsidRPr="001156DF" w:rsidP="001156DF">
            <w:pPr>
              <w:pStyle w:val="ListBullet"/>
            </w:pPr>
            <w:r w:rsidRPr="001156DF">
              <w:t>safe work practices and procedures</w:t>
            </w:r>
          </w:p>
          <w:p w:rsidR="00000000" w:rsidRPr="001156DF" w:rsidP="001156DF">
            <w:pPr>
              <w:pStyle w:val="ListBullet"/>
            </w:pPr>
            <w:r w:rsidRPr="001156DF">
              <w:t>hazards and control measures associated with assembling plated patterns</w:t>
            </w:r>
          </w:p>
        </w:tc>
      </w:tr>
    </w:tbl>
    <w:p w:rsidR="00E14F99" w:rsidP="001156DF">
      <w:pPr>
        <w:pStyle w:val="BodyText"/>
      </w:pPr>
    </w:p>
    <w:p w:rsidR="00E14F99" w:rsidP="001156DF">
      <w:pPr>
        <w:pStyle w:val="BodyText"/>
      </w:pPr>
    </w:p>
    <w:p w:rsidR="00000000" w:rsidRPr="001156DF" w:rsidP="001156DF">
      <w:pPr>
        <w:pStyle w:val="AllowPageBreak"/>
      </w:pPr>
    </w:p>
    <w:p w:rsidR="00000000" w:rsidRPr="001156DF" w:rsidP="001156DF">
      <w:pPr>
        <w:pStyle w:val="Heading1"/>
      </w:pPr>
      <w:bookmarkStart w:id="10" w:name="O_244680"/>
      <w:bookmarkEnd w:id="10"/>
      <w:r w:rsidRPr="001156DF">
        <w:t>Evidence Guide</w:t>
      </w:r>
    </w:p>
    <w:tbl>
      <w:tblPr>
        <w:tblW w:w="9570" w:type="dxa"/>
        <w:tblLayout w:type="fixed"/>
        <w:tblCellMar>
          <w:left w:w="62" w:type="dxa"/>
          <w:right w:w="62" w:type="dxa"/>
        </w:tblCellMar>
        <w:tblLook w:val="0000"/>
      </w:tblPr>
      <w:tblGrid>
        <w:gridCol w:w="3908"/>
        <w:gridCol w:w="5662"/>
      </w:tblGrid>
      <w:tr w:rsidTr="00E14F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EVIDENCE GUIDE</w:t>
            </w:r>
          </w:p>
        </w:tc>
      </w:tr>
      <w:tr w:rsidTr="00E14F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The evidence </w:t>
            </w:r>
            <w:r w:rsidRPr="001156DF">
              <w:t>guide provides advice on assessment and must be read in conjunction with the performance criteria, required skills and knowledge, range statement and the Assessment Guidelines for the Training Package.</w:t>
            </w:r>
          </w:p>
        </w:tc>
      </w:tr>
      <w:tr w:rsidTr="00E14F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A person who demonstrates com</w:t>
            </w:r>
            <w:r w:rsidRPr="001156DF">
              <w:t>petency in this unit must be able to assemble plated patterns. Competency in this unit cannot be claimed until all prerequisites have been satisfied.</w:t>
            </w:r>
          </w:p>
        </w:tc>
      </w:tr>
      <w:tr w:rsidTr="00E14F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Assessors mu</w:t>
            </w:r>
            <w:r w:rsidRPr="001156DF">
              <w:t>st be satisfied that the candidate can competently and consistently perform all elements of the unit as specified by the criteria, including required knowledge, and be capable of applying the competency in new and different situations and contexts.</w:t>
            </w:r>
          </w:p>
        </w:tc>
      </w:tr>
      <w:tr w:rsidTr="00E14F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Contex</w:t>
            </w:r>
            <w:r w:rsidRPr="001156DF">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This unit may be assessed on the job, off the job or a combination of both on and off the job. Where assessment occurs off the job, that is the candidate is not in productive work, then an appropriate simulation m</w:t>
            </w:r>
            <w:r w:rsidRPr="001156DF">
              <w:t>ust be used where the range of conditions reflects realistic workplace situations. The competencies covered by this unit would be demonstrated by an individual working alone or as part of a team. The assessment environment should not disadvantage the candi</w:t>
            </w:r>
            <w:r w:rsidRPr="001156DF">
              <w:t>date.</w:t>
            </w:r>
          </w:p>
          <w:p w:rsidR="00000000" w:rsidP="001156DF">
            <w:pPr>
              <w:pStyle w:val="BodyText"/>
              <w:rPr>
                <w:lang w:val="en-NZ"/>
              </w:rPr>
            </w:pPr>
            <w:r w:rsidRPr="001156DF">
              <w:t>This unit could be assessed in conjunction with any other units addressing the safety, quality, communication, materials handling, recording and reporting associated with assembling plated patterns or other units requiring the exercise of the skills and kn</w:t>
            </w:r>
            <w:r w:rsidRPr="001156DF">
              <w:t>owledge covered by this unit.</w:t>
            </w:r>
          </w:p>
        </w:tc>
      </w:tr>
      <w:tr w:rsidTr="00E14F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Assessors should gather a range of evidence that is valid, sufficient, current and authentic. Evidence can be gathered through a variety of ways including direct observation, supervisor's reports, project</w:t>
            </w:r>
            <w:r w:rsidRPr="001156DF">
              <w:t xml:space="preserve"> work, samples and questioning. Questioning techniques should not require language, literacy and numeracy skills beyond those required in this unit of competency. The candidate must have access to all tools, equipment, materials and documentation required.</w:t>
            </w:r>
            <w:r w:rsidRPr="001156DF">
              <w:t xml:space="preserve"> The candidate must be permitted to refer to any relevant workplace procedures, product and manufacturing specifications, codes, standards, manuals and reference materials.</w:t>
            </w:r>
          </w:p>
        </w:tc>
      </w:tr>
      <w:tr w:rsidTr="00E14F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p>
        </w:tc>
      </w:tr>
    </w:tbl>
    <w:p w:rsidR="00E14F99" w:rsidP="001156DF">
      <w:pPr>
        <w:pStyle w:val="BodyText"/>
      </w:pPr>
    </w:p>
    <w:p w:rsidR="00E14F99" w:rsidP="001156DF">
      <w:pPr>
        <w:pStyle w:val="BodyText"/>
      </w:pPr>
    </w:p>
    <w:p w:rsidR="00000000" w:rsidRPr="001156DF" w:rsidP="001156DF">
      <w:pPr>
        <w:pStyle w:val="Heading1"/>
      </w:pPr>
      <w:bookmarkStart w:id="11" w:name="O_252663"/>
      <w:bookmarkEnd w:id="11"/>
      <w:r w:rsidRPr="001156DF">
        <w:t>Range Statement</w:t>
      </w:r>
    </w:p>
    <w:tbl>
      <w:tblPr>
        <w:tblW w:w="0" w:type="auto"/>
        <w:tblLayout w:type="fixed"/>
        <w:tblCellMar>
          <w:left w:w="62" w:type="dxa"/>
          <w:right w:w="62" w:type="dxa"/>
        </w:tblCellMar>
        <w:tblLook w:val="0000"/>
      </w:tblPr>
      <w:tblGrid>
        <w:gridCol w:w="3523"/>
        <w:gridCol w:w="4999"/>
      </w:tblGrid>
      <w:tr w:rsidTr="00E14F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 xml:space="preserve">RANGE </w:t>
            </w:r>
            <w:r w:rsidRPr="001156DF">
              <w:rPr>
                <w:rStyle w:val="SpecialBold"/>
              </w:rPr>
              <w:t>STATEMENT</w:t>
            </w:r>
          </w:p>
        </w:tc>
      </w:tr>
      <w:tr w:rsidTr="00E14F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 xml:space="preserve">The range statement relates to the unit of competency as a whole. It allows for different work environments and situations that may affect </w:t>
            </w:r>
            <w:r w:rsidRPr="001156DF">
              <w:t>performance. Bold italicised wording, if used in the performance criteria, is detailed below. Essential operating conditions that may be present with training and assessment (depending on the work situation, needs of the candidate, accessibility of the ite</w:t>
            </w:r>
            <w:r w:rsidRPr="001156DF">
              <w:t>m, and local industry and regional contexts) may also be included.</w:t>
            </w:r>
          </w:p>
        </w:tc>
      </w:tr>
      <w:tr w:rsidTr="00E14F9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Aligned</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t>Measurement and/or dowels</w:t>
            </w:r>
          </w:p>
        </w:tc>
      </w:tr>
      <w:tr w:rsidTr="00E14F99">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Calculations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The determination of contraction rates as well as applicable general engineering calculations</w:t>
            </w:r>
          </w:p>
        </w:tc>
      </w:tr>
    </w:tbl>
    <w:p w:rsidR="00E14F99" w:rsidP="001156DF">
      <w:pPr>
        <w:pStyle w:val="BodyText"/>
      </w:pPr>
    </w:p>
    <w:p w:rsidR="00E14F99" w:rsidP="001156DF">
      <w:pPr>
        <w:pStyle w:val="BodyText"/>
      </w:pPr>
    </w:p>
    <w:p w:rsidR="00000000" w:rsidRPr="001156DF" w:rsidP="001156DF">
      <w:pPr>
        <w:pStyle w:val="Heading1"/>
      </w:pPr>
      <w:bookmarkStart w:id="12" w:name="O_210325"/>
      <w:bookmarkEnd w:id="12"/>
      <w:r w:rsidRPr="001156DF">
        <w:t>Unit Sector(s)</w:t>
      </w:r>
    </w:p>
    <w:tbl>
      <w:tblPr>
        <w:tblW w:w="0" w:type="auto"/>
        <w:tblLayout w:type="fixed"/>
        <w:tblCellMar>
          <w:left w:w="62" w:type="dxa"/>
          <w:right w:w="62" w:type="dxa"/>
        </w:tblCellMar>
        <w:tblLook w:val="0000"/>
      </w:tblPr>
      <w:tblGrid>
        <w:gridCol w:w="2654"/>
        <w:gridCol w:w="5868"/>
      </w:tblGrid>
      <w:tr w:rsidTr="00E14F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p>
        </w:tc>
      </w:tr>
    </w:tbl>
    <w:p w:rsidR="00E14F99" w:rsidP="001156DF">
      <w:pPr>
        <w:pStyle w:val="BodyText"/>
      </w:pPr>
    </w:p>
    <w:p w:rsidR="00E14F99" w:rsidP="001156DF">
      <w:pPr>
        <w:pStyle w:val="BodyText"/>
      </w:pPr>
    </w:p>
    <w:p w:rsidR="00000000" w:rsidRPr="001156DF" w:rsidP="001156DF">
      <w:pPr>
        <w:pStyle w:val="Heading1"/>
      </w:pPr>
      <w:bookmarkStart w:id="13" w:name="O_210322"/>
      <w:bookmarkEnd w:id="13"/>
      <w:r w:rsidRPr="001156DF">
        <w:t>Co-requisite units</w:t>
      </w:r>
    </w:p>
    <w:tbl>
      <w:tblPr>
        <w:tblW w:w="0" w:type="auto"/>
        <w:tblLayout w:type="fixed"/>
        <w:tblCellMar>
          <w:left w:w="62" w:type="dxa"/>
          <w:right w:w="62" w:type="dxa"/>
        </w:tblCellMar>
        <w:tblLook w:val="0000"/>
      </w:tblPr>
      <w:tblGrid>
        <w:gridCol w:w="2641"/>
        <w:gridCol w:w="1322"/>
        <w:gridCol w:w="4559"/>
      </w:tblGrid>
      <w:tr w:rsidTr="00E14F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14F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p>
        </w:tc>
      </w:tr>
      <w:tr w:rsidTr="00E14F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p>
        </w:tc>
      </w:tr>
    </w:tbl>
    <w:p w:rsidR="00E14F99" w:rsidP="001156DF">
      <w:pPr>
        <w:pStyle w:val="BodyText"/>
      </w:pPr>
    </w:p>
    <w:p w:rsidR="00E14F99" w:rsidP="001156DF">
      <w:pPr>
        <w:pStyle w:val="BodyText"/>
      </w:pPr>
    </w:p>
    <w:p w:rsidR="00000000" w:rsidRPr="001156DF" w:rsidP="001156DF">
      <w:pPr>
        <w:pStyle w:val="Heading1"/>
      </w:pPr>
      <w:bookmarkStart w:id="14" w:name="O_210324"/>
      <w:bookmarkEnd w:id="14"/>
      <w:r w:rsidRPr="001156DF">
        <w:t>Competency field</w:t>
      </w:r>
    </w:p>
    <w:tbl>
      <w:tblPr>
        <w:tblW w:w="0" w:type="auto"/>
        <w:tblLayout w:type="fixed"/>
        <w:tblCellMar>
          <w:left w:w="62" w:type="dxa"/>
          <w:right w:w="62" w:type="dxa"/>
        </w:tblCellMar>
        <w:tblLook w:val="0000"/>
      </w:tblPr>
      <w:tblGrid>
        <w:gridCol w:w="2778"/>
        <w:gridCol w:w="5744"/>
      </w:tblGrid>
      <w:tr w:rsidTr="00E14F9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6DF">
            <w:pPr>
              <w:pStyle w:val="BodyText"/>
              <w:rPr>
                <w:lang w:val="en-NZ"/>
              </w:rPr>
            </w:pPr>
            <w:r w:rsidRPr="001156D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6DF" w:rsidP="001156DF">
            <w:pPr>
              <w:pStyle w:val="BodyText"/>
            </w:pPr>
            <w:r w:rsidRPr="001156DF">
              <w:t>Casting and moulding</w:t>
            </w:r>
          </w:p>
        </w:tc>
      </w:tr>
    </w:tbl>
    <w:p w:rsidR="00E14F99" w:rsidP="001156DF">
      <w:pPr>
        <w:pStyle w:val="BodyText"/>
      </w:pPr>
    </w:p>
    <w:p w:rsidR="00E14F99" w:rsidP="001156DF">
      <w:pPr>
        <w:pStyle w:val="BodyText"/>
      </w:pPr>
    </w:p>
    <w:p w:rsidR="00000000" w:rsidRPr="001156DF" w:rsidP="001156DF"/>
    <w:sectPr w:rsidSect="001156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F99" w:rsidP="00E14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99" w:rsidP="001156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4F99" w:rsidP="001156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4F99" w:rsidP="001156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F99" w:rsidP="00E14F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99" w:rsidP="001156DF">
    <w:pPr>
      <w:pStyle w:val="Header"/>
      <w:framePr w:wrap="around"/>
    </w:pPr>
    <w:r>
      <w:fldChar w:fldCharType="begin"/>
    </w:r>
    <w:r>
      <w:instrText xml:space="preserve"> TITLE   \* MERGEFORMAT </w:instrText>
    </w:r>
    <w:r>
      <w:fldChar w:fldCharType="separate"/>
    </w:r>
    <w:r>
      <w:t>MEM04012B Assemble plated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4F99" w:rsidP="001156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4C3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48C7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6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156DF"/>
    <w:pPr>
      <w:spacing w:before="360" w:after="60"/>
      <w:outlineLvl w:val="0"/>
    </w:pPr>
    <w:rPr>
      <w:sz w:val="32"/>
    </w:rPr>
  </w:style>
  <w:style w:type="paragraph" w:styleId="Heading2">
    <w:name w:val="heading 2"/>
    <w:basedOn w:val="HeadingBase"/>
    <w:next w:val="BodyText"/>
    <w:link w:val="Heading2Char"/>
    <w:qFormat/>
    <w:rsid w:val="001156DF"/>
    <w:pPr>
      <w:keepLines/>
      <w:spacing w:before="240" w:after="120"/>
      <w:outlineLvl w:val="1"/>
    </w:pPr>
    <w:rPr>
      <w:sz w:val="28"/>
      <w:szCs w:val="40"/>
    </w:rPr>
  </w:style>
  <w:style w:type="paragraph" w:styleId="Heading3">
    <w:name w:val="heading 3"/>
    <w:basedOn w:val="HeadingBase"/>
    <w:next w:val="BodyText"/>
    <w:link w:val="Heading3Char"/>
    <w:qFormat/>
    <w:rsid w:val="001156DF"/>
    <w:pPr>
      <w:spacing w:before="180" w:after="120"/>
      <w:outlineLvl w:val="2"/>
    </w:pPr>
    <w:rPr>
      <w:spacing w:val="-10"/>
      <w:kern w:val="32"/>
    </w:rPr>
  </w:style>
  <w:style w:type="paragraph" w:styleId="Heading4">
    <w:name w:val="heading 4"/>
    <w:basedOn w:val="HeadingBase"/>
    <w:next w:val="BodyText"/>
    <w:link w:val="Heading4Char"/>
    <w:qFormat/>
    <w:rsid w:val="001156DF"/>
    <w:pPr>
      <w:spacing w:before="160" w:after="120"/>
      <w:outlineLvl w:val="3"/>
    </w:pPr>
    <w:rPr>
      <w:sz w:val="22"/>
    </w:rPr>
  </w:style>
  <w:style w:type="paragraph" w:styleId="Heading5">
    <w:name w:val="heading 5"/>
    <w:basedOn w:val="HeadingBase"/>
    <w:next w:val="Normal"/>
    <w:link w:val="Heading5Char"/>
    <w:qFormat/>
    <w:rsid w:val="001156DF"/>
    <w:pPr>
      <w:spacing w:before="80"/>
      <w:outlineLvl w:val="4"/>
    </w:pPr>
    <w:rPr>
      <w:color w:val="918585"/>
      <w:sz w:val="20"/>
    </w:rPr>
  </w:style>
  <w:style w:type="paragraph" w:styleId="Heading6">
    <w:name w:val="heading 6"/>
    <w:basedOn w:val="HeadingBase"/>
    <w:next w:val="Normal"/>
    <w:link w:val="Heading6Char"/>
    <w:qFormat/>
    <w:rsid w:val="001156DF"/>
    <w:pPr>
      <w:spacing w:before="60"/>
      <w:outlineLvl w:val="5"/>
    </w:pPr>
    <w:rPr>
      <w:color w:val="918585"/>
      <w:sz w:val="20"/>
    </w:rPr>
  </w:style>
  <w:style w:type="paragraph" w:styleId="Heading7">
    <w:name w:val="heading 7"/>
    <w:basedOn w:val="Normal"/>
    <w:next w:val="Normal"/>
    <w:link w:val="Heading7Char"/>
    <w:qFormat/>
    <w:rsid w:val="001156DF"/>
    <w:pPr>
      <w:ind w:left="720"/>
      <w:outlineLvl w:val="6"/>
    </w:pPr>
    <w:rPr>
      <w:i/>
    </w:rPr>
  </w:style>
  <w:style w:type="paragraph" w:styleId="Heading8">
    <w:name w:val="heading 8"/>
    <w:basedOn w:val="Normal"/>
    <w:next w:val="Normal"/>
    <w:link w:val="Heading8Char"/>
    <w:qFormat/>
    <w:rsid w:val="001156DF"/>
    <w:pPr>
      <w:ind w:left="720"/>
      <w:outlineLvl w:val="7"/>
    </w:pPr>
    <w:rPr>
      <w:i/>
    </w:rPr>
  </w:style>
  <w:style w:type="paragraph" w:styleId="Heading9">
    <w:name w:val="heading 9"/>
    <w:basedOn w:val="Normal"/>
    <w:next w:val="Normal"/>
    <w:link w:val="Heading9Char"/>
    <w:qFormat/>
    <w:rsid w:val="001156DF"/>
    <w:pPr>
      <w:ind w:left="720"/>
      <w:outlineLvl w:val="8"/>
    </w:pPr>
    <w:rPr>
      <w:i/>
    </w:rPr>
  </w:style>
  <w:style w:type="character" w:default="1" w:styleId="DefaultParagraphFont">
    <w:name w:val="Default Paragraph Font"/>
    <w:uiPriority w:val="1"/>
    <w:unhideWhenUsed/>
    <w:rsid w:val="001156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6DF"/>
  </w:style>
  <w:style w:type="character" w:customStyle="1" w:styleId="Heading1Char">
    <w:name w:val="Heading 1 Char"/>
    <w:basedOn w:val="DefaultParagraphFont"/>
    <w:link w:val="Heading1"/>
    <w:rsid w:val="001156DF"/>
    <w:rPr>
      <w:rFonts w:ascii="Times New Roman" w:eastAsia="Times New Roman" w:hAnsi="Times New Roman" w:cs="Times New Roman"/>
      <w:b/>
      <w:sz w:val="32"/>
      <w:szCs w:val="20"/>
      <w:lang w:eastAsia="en-US"/>
    </w:rPr>
  </w:style>
  <w:style w:type="paragraph" w:styleId="BodyText">
    <w:name w:val="Body Text"/>
    <w:basedOn w:val="Normal"/>
    <w:link w:val="BodyTextChar"/>
    <w:rsid w:val="001156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6DF"/>
    <w:rPr>
      <w:rFonts w:ascii="Times New Roman" w:eastAsia="Times New Roman" w:hAnsi="Times New Roman" w:cs="Times New Roman"/>
      <w:sz w:val="24"/>
      <w:lang w:val="en-US" w:eastAsia="en-US"/>
    </w:rPr>
  </w:style>
  <w:style w:type="paragraph" w:styleId="Footer">
    <w:name w:val="footer"/>
    <w:basedOn w:val="Normal"/>
    <w:link w:val="FooterChar"/>
    <w:rsid w:val="001156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6DF"/>
    <w:rPr>
      <w:rFonts w:ascii="Times New Roman" w:eastAsia="Times New Roman" w:hAnsi="Times New Roman" w:cs="Times New Roman"/>
      <w:sz w:val="16"/>
      <w:lang w:val="en-US" w:eastAsia="en-US"/>
    </w:rPr>
  </w:style>
  <w:style w:type="paragraph" w:styleId="List">
    <w:name w:val="List"/>
    <w:basedOn w:val="BodyText"/>
    <w:next w:val="BodyText"/>
    <w:rsid w:val="001156DF"/>
    <w:pPr>
      <w:tabs>
        <w:tab w:val="left" w:pos="340"/>
      </w:tabs>
      <w:spacing w:before="60" w:after="60"/>
      <w:ind w:left="340" w:hanging="340"/>
    </w:pPr>
  </w:style>
  <w:style w:type="paragraph" w:styleId="ListBullet">
    <w:name w:val="List Bullet"/>
    <w:basedOn w:val="List"/>
    <w:rsid w:val="001156DF"/>
    <w:pPr>
      <w:numPr>
        <w:numId w:val="12"/>
      </w:numPr>
      <w:tabs>
        <w:tab w:val="clear" w:pos="340"/>
      </w:tabs>
      <w:spacing w:before="40" w:after="40"/>
    </w:pPr>
  </w:style>
  <w:style w:type="character" w:customStyle="1" w:styleId="SpecialBold">
    <w:name w:val="Special Bold"/>
    <w:basedOn w:val="DefaultParagraphFont"/>
    <w:rsid w:val="001156DF"/>
    <w:rPr>
      <w:b/>
      <w:spacing w:val="0"/>
    </w:rPr>
  </w:style>
  <w:style w:type="paragraph" w:styleId="Header">
    <w:name w:val="header"/>
    <w:basedOn w:val="Normal"/>
    <w:link w:val="HeaderChar"/>
    <w:rsid w:val="001156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6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156DF"/>
    <w:pPr>
      <w:spacing w:before="240" w:after="120"/>
      <w:outlineLvl w:val="0"/>
    </w:pPr>
    <w:rPr>
      <w:rFonts w:ascii="Times New Roman" w:hAnsi="Times New Roman"/>
      <w:b/>
      <w:sz w:val="28"/>
    </w:rPr>
  </w:style>
  <w:style w:type="paragraph" w:customStyle="1" w:styleId="AllowPageBreak">
    <w:name w:val="AllowPageBreak"/>
    <w:rsid w:val="001156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6DF"/>
    <w:pPr>
      <w:tabs>
        <w:tab w:val="left" w:pos="680"/>
      </w:tabs>
      <w:spacing w:before="60" w:after="60"/>
      <w:ind w:left="680" w:hanging="340"/>
    </w:pPr>
  </w:style>
  <w:style w:type="character" w:customStyle="1" w:styleId="Heading2Char">
    <w:name w:val="Heading 2 Char"/>
    <w:basedOn w:val="DefaultParagraphFont"/>
    <w:link w:val="Heading2"/>
    <w:rsid w:val="001156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6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6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6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6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6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156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156DF"/>
    <w:rPr>
      <w:rFonts w:ascii="Courier New" w:eastAsia="Times New Roman" w:hAnsi="Courier New" w:cs="Times New Roman"/>
      <w:i/>
      <w:szCs w:val="20"/>
      <w:lang w:val="en-US" w:eastAsia="en-US"/>
    </w:rPr>
  </w:style>
  <w:style w:type="paragraph" w:customStyle="1" w:styleId="HeadingBase">
    <w:name w:val="Heading Base"/>
    <w:rsid w:val="001156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6DF"/>
    <w:pPr>
      <w:tabs>
        <w:tab w:val="right" w:leader="dot" w:pos="9072"/>
      </w:tabs>
      <w:ind w:left="567"/>
    </w:pPr>
    <w:rPr>
      <w:szCs w:val="22"/>
    </w:rPr>
  </w:style>
  <w:style w:type="paragraph" w:customStyle="1" w:styleId="TOCBase">
    <w:name w:val="TOC Base"/>
    <w:rsid w:val="001156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6DF"/>
    <w:pPr>
      <w:tabs>
        <w:tab w:val="right" w:leader="dot" w:pos="9072"/>
      </w:tabs>
      <w:spacing w:before="40" w:after="40"/>
      <w:ind w:left="284"/>
    </w:pPr>
    <w:rPr>
      <w:rFonts w:ascii="Times New Roman" w:hAnsi="Times New Roman"/>
    </w:rPr>
  </w:style>
  <w:style w:type="paragraph" w:styleId="TOC1">
    <w:name w:val="toc 1"/>
    <w:basedOn w:val="TOCBase"/>
    <w:next w:val="Normal"/>
    <w:rsid w:val="001156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56DF"/>
    <w:pPr>
      <w:spacing w:before="5040"/>
      <w:jc w:val="center"/>
    </w:pPr>
    <w:rPr>
      <w:sz w:val="48"/>
      <w:szCs w:val="72"/>
      <w:lang w:val="en-US"/>
    </w:rPr>
  </w:style>
  <w:style w:type="character" w:customStyle="1" w:styleId="TitleChar">
    <w:name w:val="Title Char"/>
    <w:basedOn w:val="DefaultParagraphFont"/>
    <w:link w:val="Title"/>
    <w:rsid w:val="001156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6DF"/>
    <w:pPr>
      <w:tabs>
        <w:tab w:val="left" w:pos="3600"/>
        <w:tab w:val="left" w:pos="3958"/>
      </w:tabs>
    </w:pPr>
  </w:style>
  <w:style w:type="paragraph" w:customStyle="1" w:styleId="Note">
    <w:name w:val="Note"/>
    <w:basedOn w:val="BodyText"/>
    <w:rsid w:val="001156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6DF"/>
    <w:pPr>
      <w:framePr w:wrap="auto" w:hAnchor="text" w:y="6049"/>
    </w:pPr>
    <w:rPr>
      <w:color w:val="000000"/>
      <w:sz w:val="40"/>
    </w:rPr>
  </w:style>
  <w:style w:type="paragraph" w:customStyle="1" w:styleId="TOCTitle">
    <w:name w:val="TOCTitle"/>
    <w:basedOn w:val="Heading1"/>
    <w:rsid w:val="001156DF"/>
    <w:pPr>
      <w:spacing w:after="240"/>
      <w:jc w:val="center"/>
      <w:outlineLvl w:val="9"/>
    </w:pPr>
    <w:rPr>
      <w:caps/>
    </w:rPr>
  </w:style>
  <w:style w:type="paragraph" w:customStyle="1" w:styleId="Version">
    <w:name w:val="Version"/>
    <w:rsid w:val="001156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6DF"/>
    <w:pPr>
      <w:numPr>
        <w:numId w:val="13"/>
      </w:numPr>
      <w:tabs>
        <w:tab w:val="clear" w:pos="680"/>
      </w:tabs>
    </w:pPr>
  </w:style>
  <w:style w:type="paragraph" w:styleId="Index1">
    <w:name w:val="index 1"/>
    <w:basedOn w:val="Normal"/>
    <w:next w:val="Normal"/>
    <w:semiHidden/>
    <w:rsid w:val="001156DF"/>
    <w:pPr>
      <w:keepNext w:val="0"/>
      <w:tabs>
        <w:tab w:val="right" w:pos="4176"/>
      </w:tabs>
      <w:ind w:left="198" w:hanging="198"/>
    </w:pPr>
    <w:rPr>
      <w:rFonts w:ascii="Garamond" w:hAnsi="Garamond"/>
    </w:rPr>
  </w:style>
  <w:style w:type="paragraph" w:styleId="IndexHeading">
    <w:name w:val="index heading"/>
    <w:basedOn w:val="Normal"/>
    <w:next w:val="Index1"/>
    <w:semiHidden/>
    <w:rsid w:val="001156DF"/>
    <w:pPr>
      <w:spacing w:before="120" w:after="120"/>
    </w:pPr>
    <w:rPr>
      <w:rFonts w:ascii="Arial" w:hAnsi="Arial"/>
      <w:b/>
      <w:color w:val="918585"/>
      <w:sz w:val="24"/>
    </w:rPr>
  </w:style>
  <w:style w:type="paragraph" w:customStyle="1" w:styleId="Chapter">
    <w:name w:val="Chapter"/>
    <w:basedOn w:val="Normal"/>
    <w:rsid w:val="001156DF"/>
    <w:pPr>
      <w:spacing w:before="240"/>
    </w:pPr>
    <w:rPr>
      <w:rFonts w:ascii="Times New Roman" w:hAnsi="Times New Roman"/>
      <w:smallCaps/>
      <w:spacing w:val="80"/>
      <w:sz w:val="28"/>
    </w:rPr>
  </w:style>
  <w:style w:type="paragraph" w:customStyle="1" w:styleId="InChapter">
    <w:name w:val="InChapter"/>
    <w:basedOn w:val="Heading3"/>
    <w:rsid w:val="001156DF"/>
    <w:pPr>
      <w:spacing w:after="240"/>
      <w:outlineLvl w:val="9"/>
    </w:pPr>
    <w:rPr>
      <w:noProof/>
    </w:rPr>
  </w:style>
  <w:style w:type="paragraph" w:styleId="Index2">
    <w:name w:val="index 2"/>
    <w:basedOn w:val="Normal"/>
    <w:next w:val="Normal"/>
    <w:semiHidden/>
    <w:rsid w:val="001156DF"/>
    <w:pPr>
      <w:tabs>
        <w:tab w:val="right" w:pos="4176"/>
      </w:tabs>
      <w:ind w:left="568" w:hanging="284"/>
    </w:pPr>
    <w:rPr>
      <w:rFonts w:ascii="Garamond" w:hAnsi="Garamond"/>
    </w:rPr>
  </w:style>
  <w:style w:type="paragraph" w:customStyle="1" w:styleId="Byline">
    <w:name w:val="Byline"/>
    <w:rsid w:val="001156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6DF"/>
    <w:pPr>
      <w:tabs>
        <w:tab w:val="clear" w:pos="3600"/>
        <w:tab w:val="clear" w:pos="3958"/>
      </w:tabs>
      <w:jc w:val="right"/>
    </w:pPr>
  </w:style>
  <w:style w:type="character" w:styleId="Emphasis">
    <w:name w:val="Emphasis"/>
    <w:basedOn w:val="DefaultParagraphFont"/>
    <w:qFormat/>
    <w:rsid w:val="001156DF"/>
    <w:rPr>
      <w:i/>
    </w:rPr>
  </w:style>
  <w:style w:type="paragraph" w:styleId="Caption">
    <w:name w:val="caption"/>
    <w:basedOn w:val="BodyText"/>
    <w:next w:val="Normal"/>
    <w:qFormat/>
    <w:rsid w:val="001156DF"/>
    <w:pPr>
      <w:framePr w:w="2268" w:hSpace="181" w:vSpace="181" w:wrap="around" w:vAnchor="text" w:hAnchor="page" w:x="1135" w:y="285" w:anchorLock="1"/>
    </w:pPr>
    <w:rPr>
      <w:i/>
    </w:rPr>
  </w:style>
  <w:style w:type="paragraph" w:customStyle="1" w:styleId="MiniTOCTitle">
    <w:name w:val="MiniTOCTitle"/>
    <w:basedOn w:val="Heading4"/>
    <w:rsid w:val="001156DF"/>
    <w:pPr>
      <w:spacing w:before="240"/>
      <w:outlineLvl w:val="9"/>
    </w:pPr>
    <w:rPr>
      <w:noProof/>
      <w:sz w:val="24"/>
    </w:rPr>
  </w:style>
  <w:style w:type="paragraph" w:customStyle="1" w:styleId="MiniTOCItem">
    <w:name w:val="MiniTOCItem"/>
    <w:basedOn w:val="ListBullet"/>
    <w:rsid w:val="001156DF"/>
    <w:pPr>
      <w:numPr>
        <w:numId w:val="0"/>
      </w:numPr>
      <w:tabs>
        <w:tab w:val="right" w:leader="dot" w:pos="6521"/>
      </w:tabs>
      <w:spacing w:before="0" w:after="0"/>
    </w:pPr>
  </w:style>
  <w:style w:type="paragraph" w:customStyle="1" w:styleId="TOFTitle">
    <w:name w:val="TOFTitle"/>
    <w:basedOn w:val="TOCTitle"/>
    <w:rsid w:val="001156DF"/>
  </w:style>
  <w:style w:type="paragraph" w:styleId="TableofFigures">
    <w:name w:val="table of figures"/>
    <w:basedOn w:val="Normal"/>
    <w:next w:val="Normal"/>
    <w:semiHidden/>
    <w:rsid w:val="001156DF"/>
    <w:pPr>
      <w:tabs>
        <w:tab w:val="right" w:leader="dot" w:pos="9072"/>
      </w:tabs>
      <w:ind w:left="970" w:hanging="403"/>
    </w:pPr>
    <w:rPr>
      <w:rFonts w:ascii="Times New Roman" w:hAnsi="Times New Roman"/>
      <w:b/>
    </w:rPr>
  </w:style>
  <w:style w:type="paragraph" w:styleId="ListNumber">
    <w:name w:val="List Number"/>
    <w:basedOn w:val="List"/>
    <w:rsid w:val="001156DF"/>
    <w:pPr>
      <w:numPr>
        <w:numId w:val="10"/>
      </w:numPr>
    </w:pPr>
  </w:style>
  <w:style w:type="character" w:customStyle="1" w:styleId="WingdingSymbols">
    <w:name w:val="Wingding Symbols"/>
    <w:rsid w:val="001156DF"/>
    <w:rPr>
      <w:rFonts w:ascii="Wingdings" w:hAnsi="Wingdings"/>
    </w:rPr>
  </w:style>
  <w:style w:type="paragraph" w:customStyle="1" w:styleId="TableHeading">
    <w:name w:val="Table Heading"/>
    <w:basedOn w:val="HeadingBase"/>
    <w:rsid w:val="001156DF"/>
    <w:pPr>
      <w:keepLines/>
      <w:pBdr>
        <w:bottom w:val="single" w:sz="6" w:space="1" w:color="918585"/>
      </w:pBdr>
      <w:spacing w:before="240"/>
    </w:pPr>
  </w:style>
  <w:style w:type="character" w:customStyle="1" w:styleId="HotSpot">
    <w:name w:val="HotSpot"/>
    <w:rsid w:val="001156DF"/>
    <w:rPr>
      <w:color w:val="0033CC"/>
      <w:u w:val="none"/>
    </w:rPr>
  </w:style>
  <w:style w:type="paragraph" w:customStyle="1" w:styleId="BodyTextRight">
    <w:name w:val="Body Text Right"/>
    <w:basedOn w:val="BodyText"/>
    <w:rsid w:val="001156DF"/>
    <w:pPr>
      <w:spacing w:before="0" w:after="0"/>
      <w:jc w:val="right"/>
    </w:pPr>
  </w:style>
  <w:style w:type="paragraph" w:styleId="Index3">
    <w:name w:val="index 3"/>
    <w:basedOn w:val="ListNumber2"/>
    <w:next w:val="Normal"/>
    <w:semiHidden/>
    <w:rsid w:val="001156DF"/>
    <w:pPr>
      <w:numPr>
        <w:numId w:val="0"/>
      </w:numPr>
      <w:tabs>
        <w:tab w:val="right" w:leader="dot" w:pos="4176"/>
      </w:tabs>
    </w:pPr>
  </w:style>
  <w:style w:type="paragraph" w:styleId="ListNumber2">
    <w:name w:val="List Number 2"/>
    <w:basedOn w:val="List2"/>
    <w:rsid w:val="001156DF"/>
    <w:pPr>
      <w:numPr>
        <w:numId w:val="9"/>
      </w:numPr>
      <w:tabs>
        <w:tab w:val="clear" w:pos="1060"/>
      </w:tabs>
    </w:pPr>
  </w:style>
  <w:style w:type="paragraph" w:customStyle="1" w:styleId="MarginNote">
    <w:name w:val="Margin Note"/>
    <w:basedOn w:val="BodyText"/>
    <w:rsid w:val="001156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6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6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156DF"/>
    <w:rPr>
      <w:sz w:val="32"/>
    </w:rPr>
  </w:style>
  <w:style w:type="paragraph" w:customStyle="1" w:styleId="HeadingProcedure">
    <w:name w:val="Heading Procedure"/>
    <w:basedOn w:val="HeadingBase"/>
    <w:next w:val="Normal"/>
    <w:rsid w:val="001156DF"/>
    <w:pPr>
      <w:tabs>
        <w:tab w:val="left" w:pos="0"/>
      </w:tabs>
      <w:spacing w:before="120" w:after="60"/>
    </w:pPr>
    <w:rPr>
      <w:i/>
      <w:color w:val="918585"/>
      <w:sz w:val="22"/>
    </w:rPr>
  </w:style>
  <w:style w:type="paragraph" w:customStyle="1" w:styleId="TableBodyText">
    <w:name w:val="Table Body Text"/>
    <w:basedOn w:val="BodyText"/>
    <w:rsid w:val="001156DF"/>
    <w:pPr>
      <w:spacing w:before="60" w:after="60"/>
    </w:pPr>
  </w:style>
  <w:style w:type="paragraph" w:styleId="ListContinue">
    <w:name w:val="List Continue"/>
    <w:basedOn w:val="List"/>
    <w:rsid w:val="001156DF"/>
    <w:pPr>
      <w:ind w:firstLine="0"/>
    </w:pPr>
  </w:style>
  <w:style w:type="paragraph" w:customStyle="1" w:styleId="ListNote">
    <w:name w:val="List Note"/>
    <w:basedOn w:val="List"/>
    <w:rsid w:val="001156DF"/>
    <w:pPr>
      <w:pBdr>
        <w:top w:val="single" w:sz="6" w:space="2" w:color="918585"/>
        <w:bottom w:val="single" w:sz="6" w:space="2" w:color="918585"/>
      </w:pBdr>
      <w:tabs>
        <w:tab w:val="left" w:pos="1021"/>
      </w:tabs>
      <w:ind w:firstLine="0"/>
    </w:pPr>
  </w:style>
  <w:style w:type="paragraph" w:customStyle="1" w:styleId="Warning">
    <w:name w:val="Warning"/>
    <w:basedOn w:val="BodyText"/>
    <w:rsid w:val="001156DF"/>
    <w:pPr>
      <w:shd w:val="clear" w:color="auto" w:fill="D9D9D9"/>
      <w:tabs>
        <w:tab w:val="left" w:pos="992"/>
      </w:tabs>
      <w:ind w:left="119" w:right="119"/>
    </w:pPr>
    <w:rPr>
      <w:sz w:val="20"/>
    </w:rPr>
  </w:style>
  <w:style w:type="paragraph" w:customStyle="1" w:styleId="MarginIcons">
    <w:name w:val="Margin Icons"/>
    <w:basedOn w:val="BodyText"/>
    <w:rsid w:val="001156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6DF"/>
    <w:rPr>
      <w:rFonts w:ascii="Courier New" w:hAnsi="Courier New"/>
    </w:rPr>
  </w:style>
  <w:style w:type="paragraph" w:customStyle="1" w:styleId="NoteBullet">
    <w:name w:val="Note Bullet"/>
    <w:basedOn w:val="Note"/>
    <w:rsid w:val="001156DF"/>
    <w:pPr>
      <w:tabs>
        <w:tab w:val="clear" w:pos="680"/>
      </w:tabs>
      <w:spacing w:before="60" w:after="60"/>
    </w:pPr>
  </w:style>
  <w:style w:type="paragraph" w:customStyle="1" w:styleId="SubHeading2">
    <w:name w:val="SubHeading2"/>
    <w:basedOn w:val="HeadingBase"/>
    <w:rsid w:val="001156DF"/>
    <w:pPr>
      <w:spacing w:before="240" w:after="60"/>
    </w:pPr>
    <w:rPr>
      <w:sz w:val="20"/>
    </w:rPr>
  </w:style>
  <w:style w:type="paragraph" w:customStyle="1" w:styleId="SubHeading1">
    <w:name w:val="SubHeading1"/>
    <w:basedOn w:val="HeadingBase"/>
    <w:rsid w:val="001156DF"/>
    <w:pPr>
      <w:spacing w:before="240" w:after="60"/>
    </w:pPr>
    <w:rPr>
      <w:color w:val="918585"/>
      <w:sz w:val="22"/>
    </w:rPr>
  </w:style>
  <w:style w:type="paragraph" w:customStyle="1" w:styleId="SideHeading">
    <w:name w:val="Side Heading"/>
    <w:basedOn w:val="HeadingBase"/>
    <w:rsid w:val="001156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6DF"/>
    <w:pPr>
      <w:tabs>
        <w:tab w:val="num" w:pos="360"/>
      </w:tabs>
    </w:pPr>
  </w:style>
  <w:style w:type="paragraph" w:styleId="PlainText">
    <w:name w:val="Plain Text"/>
    <w:basedOn w:val="Normal"/>
    <w:link w:val="PlainTextChar"/>
    <w:rsid w:val="001156DF"/>
    <w:rPr>
      <w:sz w:val="20"/>
    </w:rPr>
  </w:style>
  <w:style w:type="character" w:customStyle="1" w:styleId="PlainTextChar">
    <w:name w:val="Plain Text Char"/>
    <w:basedOn w:val="DefaultParagraphFont"/>
    <w:link w:val="PlainText"/>
    <w:rsid w:val="001156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156DF"/>
    <w:rPr>
      <w:b/>
      <w:smallCaps/>
    </w:rPr>
  </w:style>
  <w:style w:type="paragraph" w:customStyle="1" w:styleId="TableListNumber">
    <w:name w:val="Table List Number"/>
    <w:basedOn w:val="ListNumber"/>
    <w:rsid w:val="001156DF"/>
    <w:pPr>
      <w:numPr>
        <w:numId w:val="0"/>
      </w:numPr>
    </w:pPr>
  </w:style>
  <w:style w:type="paragraph" w:styleId="TOC4">
    <w:name w:val="toc 4"/>
    <w:basedOn w:val="TOCBase"/>
    <w:next w:val="Normal"/>
    <w:semiHidden/>
    <w:rsid w:val="001156DF"/>
    <w:pPr>
      <w:tabs>
        <w:tab w:val="right" w:leader="dot" w:pos="9071"/>
      </w:tabs>
      <w:ind w:left="1701"/>
    </w:pPr>
  </w:style>
  <w:style w:type="paragraph" w:customStyle="1" w:styleId="ListAlpha">
    <w:name w:val="List Alpha"/>
    <w:basedOn w:val="List"/>
    <w:rsid w:val="001156DF"/>
    <w:pPr>
      <w:numPr>
        <w:numId w:val="8"/>
      </w:numPr>
    </w:pPr>
  </w:style>
  <w:style w:type="paragraph" w:customStyle="1" w:styleId="ListAlpha2">
    <w:name w:val="List Alpha 2"/>
    <w:basedOn w:val="List2"/>
    <w:rsid w:val="001156DF"/>
    <w:pPr>
      <w:numPr>
        <w:numId w:val="7"/>
      </w:numPr>
    </w:pPr>
  </w:style>
  <w:style w:type="paragraph" w:styleId="List3">
    <w:name w:val="List 3"/>
    <w:basedOn w:val="BodyText"/>
    <w:rsid w:val="001156DF"/>
    <w:pPr>
      <w:tabs>
        <w:tab w:val="left" w:pos="1021"/>
      </w:tabs>
      <w:spacing w:before="60" w:after="60"/>
      <w:ind w:left="1020" w:hanging="340"/>
    </w:pPr>
  </w:style>
  <w:style w:type="paragraph" w:styleId="List4">
    <w:name w:val="List 4"/>
    <w:basedOn w:val="BodyText"/>
    <w:rsid w:val="001156DF"/>
    <w:pPr>
      <w:tabs>
        <w:tab w:val="left" w:pos="1361"/>
      </w:tabs>
      <w:spacing w:before="60" w:after="60"/>
      <w:ind w:left="1361" w:hanging="340"/>
    </w:pPr>
  </w:style>
  <w:style w:type="paragraph" w:styleId="List5">
    <w:name w:val="List 5"/>
    <w:basedOn w:val="BodyText"/>
    <w:rsid w:val="001156DF"/>
    <w:pPr>
      <w:tabs>
        <w:tab w:val="left" w:pos="1701"/>
      </w:tabs>
      <w:spacing w:before="60" w:after="60"/>
      <w:ind w:left="1701" w:hanging="340"/>
    </w:pPr>
  </w:style>
  <w:style w:type="paragraph" w:styleId="ListBullet3">
    <w:name w:val="List Bullet 3"/>
    <w:basedOn w:val="List3"/>
    <w:rsid w:val="001156DF"/>
    <w:pPr>
      <w:numPr>
        <w:numId w:val="14"/>
      </w:numPr>
      <w:tabs>
        <w:tab w:val="clear" w:pos="1021"/>
      </w:tabs>
      <w:ind w:left="1037" w:hanging="357"/>
    </w:pPr>
  </w:style>
  <w:style w:type="paragraph" w:styleId="ListBullet4">
    <w:name w:val="List Bullet 4"/>
    <w:basedOn w:val="List4"/>
    <w:rsid w:val="001156DF"/>
    <w:pPr>
      <w:numPr>
        <w:numId w:val="2"/>
      </w:numPr>
    </w:pPr>
  </w:style>
  <w:style w:type="paragraph" w:styleId="ListBullet5">
    <w:name w:val="List Bullet 5"/>
    <w:basedOn w:val="List5"/>
    <w:rsid w:val="001156DF"/>
    <w:pPr>
      <w:numPr>
        <w:numId w:val="3"/>
      </w:numPr>
    </w:pPr>
  </w:style>
  <w:style w:type="paragraph" w:styleId="ListContinue2">
    <w:name w:val="List Continue 2"/>
    <w:basedOn w:val="List2"/>
    <w:rsid w:val="001156DF"/>
    <w:pPr>
      <w:ind w:firstLine="0"/>
    </w:pPr>
  </w:style>
  <w:style w:type="paragraph" w:styleId="ListContinue3">
    <w:name w:val="List Continue 3"/>
    <w:basedOn w:val="List3"/>
    <w:rsid w:val="001156DF"/>
    <w:pPr>
      <w:ind w:left="1021" w:firstLine="0"/>
    </w:pPr>
  </w:style>
  <w:style w:type="paragraph" w:styleId="ListContinue4">
    <w:name w:val="List Continue 4"/>
    <w:basedOn w:val="List4"/>
    <w:rsid w:val="001156DF"/>
    <w:pPr>
      <w:ind w:firstLine="0"/>
    </w:pPr>
  </w:style>
  <w:style w:type="paragraph" w:styleId="ListContinue5">
    <w:name w:val="List Continue 5"/>
    <w:basedOn w:val="List5"/>
    <w:rsid w:val="001156DF"/>
    <w:pPr>
      <w:ind w:firstLine="0"/>
    </w:pPr>
  </w:style>
  <w:style w:type="paragraph" w:styleId="ListNumber3">
    <w:name w:val="List Number 3"/>
    <w:basedOn w:val="List3"/>
    <w:rsid w:val="001156DF"/>
    <w:pPr>
      <w:numPr>
        <w:numId w:val="4"/>
      </w:numPr>
    </w:pPr>
  </w:style>
  <w:style w:type="paragraph" w:styleId="ListNumber4">
    <w:name w:val="List Number 4"/>
    <w:basedOn w:val="List4"/>
    <w:rsid w:val="001156DF"/>
    <w:pPr>
      <w:numPr>
        <w:numId w:val="5"/>
      </w:numPr>
    </w:pPr>
  </w:style>
  <w:style w:type="paragraph" w:styleId="ListNumber5">
    <w:name w:val="List Number 5"/>
    <w:basedOn w:val="List5"/>
    <w:rsid w:val="001156DF"/>
    <w:pPr>
      <w:numPr>
        <w:numId w:val="6"/>
      </w:numPr>
    </w:pPr>
  </w:style>
  <w:style w:type="paragraph" w:styleId="BlockText">
    <w:name w:val="Block Text"/>
    <w:basedOn w:val="Normal"/>
    <w:rsid w:val="001156DF"/>
    <w:pPr>
      <w:spacing w:after="120"/>
      <w:ind w:left="1440" w:right="1440"/>
    </w:pPr>
  </w:style>
  <w:style w:type="character" w:customStyle="1" w:styleId="Subscript">
    <w:name w:val="Subscript"/>
    <w:basedOn w:val="DefaultParagraphFont"/>
    <w:rsid w:val="001156DF"/>
    <w:rPr>
      <w:sz w:val="16"/>
      <w:vertAlign w:val="subscript"/>
    </w:rPr>
  </w:style>
  <w:style w:type="character" w:customStyle="1" w:styleId="Superscript">
    <w:name w:val="Superscript"/>
    <w:basedOn w:val="DefaultParagraphFont"/>
    <w:rsid w:val="001156DF"/>
    <w:rPr>
      <w:sz w:val="16"/>
      <w:vertAlign w:val="superscript"/>
    </w:rPr>
  </w:style>
  <w:style w:type="character" w:customStyle="1" w:styleId="Symbols">
    <w:name w:val="Symbols"/>
    <w:basedOn w:val="DefaultParagraphFont"/>
    <w:rsid w:val="001156DF"/>
    <w:rPr>
      <w:rFonts w:ascii="Symbol" w:hAnsi="Symbol"/>
    </w:rPr>
  </w:style>
  <w:style w:type="character" w:customStyle="1" w:styleId="MenuOptions">
    <w:name w:val="Menu Options"/>
    <w:basedOn w:val="DefaultParagraphFont"/>
    <w:rsid w:val="001156DF"/>
    <w:rPr>
      <w:rFonts w:ascii="Arial Narrow" w:hAnsi="Arial Narrow"/>
      <w:smallCaps/>
    </w:rPr>
  </w:style>
  <w:style w:type="character" w:customStyle="1" w:styleId="Buttons">
    <w:name w:val="Buttons"/>
    <w:basedOn w:val="DefaultParagraphFont"/>
    <w:rsid w:val="001156DF"/>
    <w:rPr>
      <w:b/>
    </w:rPr>
  </w:style>
  <w:style w:type="character" w:customStyle="1" w:styleId="Underlined">
    <w:name w:val="Underlined"/>
    <w:basedOn w:val="DefaultParagraphFont"/>
    <w:rsid w:val="001156DF"/>
    <w:rPr>
      <w:u w:val="single"/>
    </w:rPr>
  </w:style>
  <w:style w:type="paragraph" w:customStyle="1" w:styleId="TableBodyTextRight">
    <w:name w:val="Table Body Text Right"/>
    <w:basedOn w:val="TableBodyText"/>
    <w:rsid w:val="001156DF"/>
    <w:pPr>
      <w:widowControl w:val="0"/>
      <w:autoSpaceDE w:val="0"/>
      <w:autoSpaceDN w:val="0"/>
      <w:adjustRightInd w:val="0"/>
      <w:jc w:val="right"/>
    </w:pPr>
    <w:rPr>
      <w:rFonts w:cs="Arial"/>
      <w:szCs w:val="18"/>
    </w:rPr>
  </w:style>
  <w:style w:type="paragraph" w:customStyle="1" w:styleId="CopyrightText">
    <w:name w:val="Copyright Text"/>
    <w:basedOn w:val="BodyText"/>
    <w:rsid w:val="001156DF"/>
    <w:rPr>
      <w:sz w:val="18"/>
    </w:rPr>
  </w:style>
  <w:style w:type="paragraph" w:customStyle="1" w:styleId="BodySmallRight">
    <w:name w:val="Body Small Right"/>
    <w:basedOn w:val="BodyTextRight"/>
    <w:rsid w:val="001156DF"/>
    <w:rPr>
      <w:sz w:val="18"/>
      <w:szCs w:val="18"/>
    </w:rPr>
  </w:style>
  <w:style w:type="paragraph" w:customStyle="1" w:styleId="MarginEdition">
    <w:name w:val="Margin Edition"/>
    <w:basedOn w:val="MarginNote"/>
    <w:rsid w:val="001156DF"/>
    <w:pPr>
      <w:spacing w:before="0" w:after="0"/>
    </w:pPr>
    <w:rPr>
      <w:rFonts w:ascii="Times New Roman" w:hAnsi="Times New Roman"/>
      <w:color w:val="999999"/>
    </w:rPr>
  </w:style>
  <w:style w:type="paragraph" w:customStyle="1" w:styleId="Spacer">
    <w:name w:val="Spacer"/>
    <w:basedOn w:val="Normal"/>
    <w:rsid w:val="001156DF"/>
    <w:rPr>
      <w:sz w:val="2"/>
      <w:szCs w:val="2"/>
    </w:rPr>
  </w:style>
  <w:style w:type="character" w:customStyle="1" w:styleId="Small">
    <w:name w:val="Small"/>
    <w:basedOn w:val="DefaultParagraphFont"/>
    <w:rsid w:val="001156DF"/>
    <w:rPr>
      <w:sz w:val="16"/>
    </w:rPr>
  </w:style>
  <w:style w:type="paragraph" w:customStyle="1" w:styleId="WideTable">
    <w:name w:val="Wide Table"/>
    <w:basedOn w:val="Normal"/>
    <w:rsid w:val="001156DF"/>
    <w:pPr>
      <w:ind w:left="-1418"/>
    </w:pPr>
    <w:rPr>
      <w:sz w:val="2"/>
      <w:szCs w:val="2"/>
    </w:rPr>
  </w:style>
  <w:style w:type="character" w:styleId="PageNumber">
    <w:name w:val="page number"/>
    <w:basedOn w:val="DefaultParagraphFont"/>
    <w:rsid w:val="001156DF"/>
  </w:style>
  <w:style w:type="paragraph" w:styleId="Quote">
    <w:name w:val="Quote"/>
    <w:basedOn w:val="Heading1"/>
    <w:link w:val="QuoteChar"/>
    <w:qFormat/>
    <w:rsid w:val="001156DF"/>
    <w:rPr>
      <w:b w:val="0"/>
      <w:sz w:val="72"/>
      <w:szCs w:val="72"/>
      <w:lang w:val="en-NZ"/>
    </w:rPr>
  </w:style>
  <w:style w:type="character" w:customStyle="1" w:styleId="QuoteChar">
    <w:name w:val="Quote Char"/>
    <w:basedOn w:val="DefaultParagraphFont"/>
    <w:link w:val="Quote"/>
    <w:rsid w:val="001156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6DF"/>
    <w:pPr>
      <w:pageBreakBefore/>
    </w:pPr>
  </w:style>
  <w:style w:type="paragraph" w:customStyle="1" w:styleId="Border">
    <w:name w:val="Border"/>
    <w:basedOn w:val="Normal"/>
    <w:qFormat/>
    <w:rsid w:val="001156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6DF"/>
    <w:rPr>
      <w:b/>
      <w:bCs/>
      <w:i/>
      <w:iCs/>
      <w:color w:val="auto"/>
    </w:rPr>
  </w:style>
  <w:style w:type="paragraph" w:styleId="IntenseQuote">
    <w:name w:val="Intense Quote"/>
    <w:basedOn w:val="Normal"/>
    <w:next w:val="Normal"/>
    <w:link w:val="IntenseQuoteChar"/>
    <w:uiPriority w:val="30"/>
    <w:qFormat/>
    <w:rsid w:val="001156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6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156DF"/>
    <w:rPr>
      <w:smallCaps/>
      <w:color w:val="auto"/>
      <w:u w:val="single"/>
    </w:rPr>
  </w:style>
  <w:style w:type="character" w:styleId="IntenseReference">
    <w:name w:val="Intense Reference"/>
    <w:basedOn w:val="DefaultParagraphFont"/>
    <w:uiPriority w:val="32"/>
    <w:qFormat/>
    <w:rsid w:val="001156DF"/>
    <w:rPr>
      <w:b/>
      <w:bCs/>
      <w:smallCaps/>
      <w:color w:val="auto"/>
      <w:spacing w:val="5"/>
      <w:u w:val="single"/>
    </w:rPr>
  </w:style>
  <w:style w:type="paragraph" w:customStyle="1" w:styleId="2ColumnHeading">
    <w:name w:val="2Column Heading"/>
    <w:basedOn w:val="BodyText"/>
    <w:qFormat/>
    <w:rsid w:val="001156DF"/>
    <w:pPr>
      <w:spacing w:after="60"/>
      <w:ind w:left="-2268"/>
    </w:pPr>
    <w:rPr>
      <w:b/>
    </w:rPr>
  </w:style>
  <w:style w:type="paragraph" w:customStyle="1" w:styleId="Heading1TOC">
    <w:name w:val="Heading1 TOC"/>
    <w:basedOn w:val="Normal"/>
    <w:qFormat/>
    <w:rsid w:val="001156DF"/>
    <w:pPr>
      <w:spacing w:before="240" w:after="120"/>
    </w:pPr>
    <w:rPr>
      <w:rFonts w:ascii="Times New Roman" w:hAnsi="Times New Roman"/>
      <w:b/>
      <w:sz w:val="32"/>
    </w:rPr>
  </w:style>
  <w:style w:type="paragraph" w:customStyle="1" w:styleId="Heading2TOC">
    <w:name w:val="Heading2 TOC"/>
    <w:basedOn w:val="Normal"/>
    <w:qFormat/>
    <w:rsid w:val="001156DF"/>
    <w:pPr>
      <w:spacing w:before="240" w:after="60"/>
    </w:pPr>
    <w:rPr>
      <w:rFonts w:ascii="Times New Roman" w:hAnsi="Times New Roman"/>
      <w:b/>
      <w:sz w:val="28"/>
    </w:rPr>
  </w:style>
  <w:style w:type="character" w:customStyle="1" w:styleId="Underline">
    <w:name w:val="Underline"/>
    <w:basedOn w:val="DefaultParagraphFont"/>
    <w:qFormat/>
    <w:rsid w:val="001156DF"/>
    <w:rPr>
      <w:u w:val="single"/>
    </w:rPr>
  </w:style>
  <w:style w:type="character" w:customStyle="1" w:styleId="BoldandItalics">
    <w:name w:val="Bold and Italics"/>
    <w:qFormat/>
    <w:rsid w:val="001156DF"/>
    <w:rPr>
      <w:b/>
      <w:i/>
      <w:u w:val="none"/>
    </w:rPr>
  </w:style>
  <w:style w:type="paragraph" w:styleId="BalloonText">
    <w:name w:val="Balloon Text"/>
    <w:basedOn w:val="Normal"/>
    <w:link w:val="BalloonTextChar"/>
    <w:rsid w:val="001156DF"/>
    <w:rPr>
      <w:rFonts w:ascii="Tahoma" w:hAnsi="Tahoma" w:cs="Tahoma"/>
      <w:sz w:val="16"/>
      <w:szCs w:val="16"/>
    </w:rPr>
  </w:style>
  <w:style w:type="character" w:customStyle="1" w:styleId="BalloonTextChar">
    <w:name w:val="Balloon Text Char"/>
    <w:basedOn w:val="DefaultParagraphFont"/>
    <w:link w:val="BalloonText"/>
    <w:rsid w:val="001156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156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6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1022</Words>
  <Characters>6388</Characters>
  <Application>Microsoft Office Word</Application>
  <DocSecurity>0</DocSecurity>
  <Lines>248</Lines>
  <Paragraphs>117</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MEM04012B Assemble plated patterns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2012-05-27T01:27:00Z</dcterms:created>
  <dcterms:modified xsi:type="dcterms:W3CDTF">2012-05-27T01:27:00Z</dcterms:modified>
</cp:coreProperties>
</file>