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150" w:rsidP="00AF5150">
      <w:pPr>
        <w:pStyle w:val="Title"/>
      </w:pPr>
      <w:r>
        <w:fldChar w:fldCharType="begin"/>
      </w:r>
      <w:r>
        <w:instrText xml:space="preserve"> TITLE   \* MERGEFORMAT </w:instrText>
      </w:r>
      <w:r>
        <w:fldChar w:fldCharType="separate"/>
      </w:r>
      <w:r>
        <w:t>MEM04007B Pour molten metal</w:t>
      </w:r>
      <w:r>
        <w:fldChar w:fldCharType="end"/>
      </w:r>
    </w:p>
    <w:p w:rsidR="00AF5150" w:rsidP="00AF5150">
      <w:pPr>
        <w:pStyle w:val="Version"/>
        <w:sectPr w:rsidSect="00B97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F74" w:rsidP="00B97F74">
      <w:pPr>
        <w:pStyle w:val="SuperHeading"/>
      </w:pPr>
      <w:r w:rsidRPr="00B97F74">
        <w:t>MEM04007B Pour molten metal</w:t>
      </w:r>
    </w:p>
    <w:p w:rsidR="00000000" w:rsidRPr="00B97F74" w:rsidP="00B97F74">
      <w:pPr>
        <w:pStyle w:val="Heading1"/>
      </w:pPr>
      <w:bookmarkStart w:id="1" w:name="O_271979"/>
      <w:bookmarkEnd w:id="1"/>
      <w:r w:rsidRPr="00B97F74">
        <w:t>Modification History</w:t>
      </w:r>
    </w:p>
    <w:p w:rsidR="00000000" w:rsidRPr="00B97F74" w:rsidP="00B97F74">
      <w:pPr>
        <w:pStyle w:val="BodyText"/>
      </w:pPr>
      <w:r w:rsidRPr="00B97F74">
        <w:t>Not Applicable</w:t>
      </w:r>
    </w:p>
    <w:p w:rsidR="00000000" w:rsidRPr="00B97F74" w:rsidP="00B97F74">
      <w:pPr>
        <w:pStyle w:val="AllowPageBreak"/>
      </w:pPr>
    </w:p>
    <w:p w:rsidR="00000000" w:rsidRPr="00B97F74" w:rsidP="00B97F74">
      <w:pPr>
        <w:pStyle w:val="Heading1"/>
      </w:pPr>
      <w:bookmarkStart w:id="2" w:name="O_210291"/>
      <w:bookmarkEnd w:id="2"/>
      <w:r w:rsidRPr="00B97F74">
        <w:t>Unit Descriptor</w:t>
      </w:r>
    </w:p>
    <w:tbl>
      <w:tblPr>
        <w:tblW w:w="0" w:type="auto"/>
        <w:tblLayout w:type="fixed"/>
        <w:tblCellMar>
          <w:left w:w="62" w:type="dxa"/>
          <w:right w:w="62" w:type="dxa"/>
        </w:tblCellMar>
        <w:tblLook w:val="0000"/>
      </w:tblPr>
      <w:tblGrid>
        <w:gridCol w:w="2673"/>
        <w:gridCol w:w="5849"/>
      </w:tblGrid>
      <w:tr w:rsidTr="00AF515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This unit covers manually pouring mol</w:t>
            </w:r>
            <w:r w:rsidRPr="00B97F74">
              <w:t>ten metal.</w:t>
            </w:r>
          </w:p>
        </w:tc>
      </w:tr>
    </w:tbl>
    <w:p w:rsidR="00AF5150" w:rsidP="00B97F74">
      <w:pPr>
        <w:pStyle w:val="BodyText"/>
      </w:pPr>
    </w:p>
    <w:p w:rsidR="00AF5150" w:rsidP="00B97F74">
      <w:pPr>
        <w:pStyle w:val="BodyText"/>
      </w:pPr>
    </w:p>
    <w:p w:rsidR="00000000" w:rsidRPr="00B97F74" w:rsidP="00B97F74">
      <w:pPr>
        <w:pStyle w:val="Heading1"/>
      </w:pPr>
      <w:bookmarkStart w:id="3" w:name="O_210295"/>
      <w:bookmarkEnd w:id="3"/>
      <w:r w:rsidRPr="00B97F74">
        <w:t>Application of the Unit</w:t>
      </w:r>
    </w:p>
    <w:tbl>
      <w:tblPr>
        <w:tblW w:w="0" w:type="auto"/>
        <w:tblLayout w:type="fixed"/>
        <w:tblCellMar>
          <w:left w:w="62" w:type="dxa"/>
          <w:right w:w="62" w:type="dxa"/>
        </w:tblCellMar>
        <w:tblLook w:val="0000"/>
      </w:tblPr>
      <w:tblGrid>
        <w:gridCol w:w="2745"/>
        <w:gridCol w:w="5777"/>
      </w:tblGrid>
      <w:tr w:rsidTr="00AF515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This unit applies to the manual pouring of molten metal as part of metal casting and moulding processes.</w:t>
            </w:r>
          </w:p>
          <w:p w:rsidR="00000000" w:rsidRPr="00B97F74" w:rsidP="00B97F74">
            <w:pPr>
              <w:pStyle w:val="BodyText"/>
            </w:pPr>
            <w:r w:rsidRPr="00B97F74">
              <w:t>Where lifting and moving of ladles requires the use of overhead cranes, applicable units should also be selected.</w:t>
            </w:r>
          </w:p>
          <w:p w:rsidR="00000000" w:rsidRPr="00B97F74" w:rsidP="00B97F74">
            <w:pPr>
              <w:pStyle w:val="BodyText"/>
            </w:pPr>
          </w:p>
          <w:p w:rsidR="00000000" w:rsidRPr="00B97F74" w:rsidP="00B97F74">
            <w:pPr>
              <w:pStyle w:val="BodyText"/>
            </w:pPr>
            <w:r w:rsidRPr="00B97F74">
              <w:rPr>
                <w:rStyle w:val="SpecialBold"/>
              </w:rPr>
              <w:t>Band</w:t>
            </w:r>
            <w:r w:rsidRPr="00B97F74">
              <w:t>:</w:t>
            </w:r>
            <w:r w:rsidRPr="00B97F74">
              <w:tab/>
            </w:r>
            <w:r w:rsidRPr="00B97F74">
              <w:rPr>
                <w:rStyle w:val="SpecialBold"/>
              </w:rPr>
              <w:t>A</w:t>
            </w:r>
          </w:p>
          <w:p w:rsidR="00000000" w:rsidRPr="00B97F74" w:rsidP="00B97F74">
            <w:pPr>
              <w:pStyle w:val="BodyText"/>
            </w:pPr>
            <w:r w:rsidRPr="00B97F74">
              <w:rPr>
                <w:rStyle w:val="SpecialBold"/>
              </w:rPr>
              <w:t>Unit Weight</w:t>
            </w:r>
            <w:r w:rsidRPr="00B97F74">
              <w:t>:</w:t>
            </w:r>
            <w:r w:rsidRPr="00B97F74">
              <w:tab/>
            </w:r>
            <w:r w:rsidRPr="00B97F74">
              <w:rPr>
                <w:rStyle w:val="SpecialBold"/>
              </w:rPr>
              <w:t>4</w:t>
            </w:r>
          </w:p>
        </w:tc>
      </w:tr>
    </w:tbl>
    <w:p w:rsidR="00AF5150" w:rsidP="00B97F74">
      <w:pPr>
        <w:pStyle w:val="BodyText"/>
      </w:pPr>
    </w:p>
    <w:p w:rsidR="00AF5150" w:rsidP="00B97F74">
      <w:pPr>
        <w:pStyle w:val="BodyText"/>
      </w:pPr>
    </w:p>
    <w:p w:rsidR="00000000" w:rsidRPr="00B97F74" w:rsidP="00B97F74">
      <w:pPr>
        <w:pStyle w:val="Heading1"/>
      </w:pPr>
      <w:bookmarkStart w:id="4" w:name="O_280239"/>
      <w:bookmarkEnd w:id="4"/>
      <w:r w:rsidRPr="00B97F74">
        <w:t>Licensing/Regulatory Information</w:t>
      </w:r>
    </w:p>
    <w:p w:rsidR="00000000" w:rsidRPr="00B97F74" w:rsidP="00B97F74">
      <w:pPr>
        <w:pStyle w:val="BodyText"/>
      </w:pPr>
      <w:r w:rsidRPr="00B97F74">
        <w:t>Not Applicable</w:t>
      </w:r>
    </w:p>
    <w:p w:rsidR="00000000" w:rsidRPr="00B97F74" w:rsidP="00B97F74">
      <w:pPr>
        <w:pStyle w:val="AllowPageBreak"/>
      </w:pPr>
    </w:p>
    <w:p w:rsidR="00000000" w:rsidRPr="00B97F74" w:rsidP="00B97F74">
      <w:pPr>
        <w:pStyle w:val="Heading1"/>
      </w:pPr>
      <w:bookmarkStart w:id="5" w:name="O_210293"/>
      <w:bookmarkEnd w:id="5"/>
      <w:r w:rsidRPr="00B97F74">
        <w:t>Pre-Requisites</w:t>
      </w:r>
    </w:p>
    <w:tbl>
      <w:tblPr>
        <w:tblW w:w="0" w:type="auto"/>
        <w:tblLayout w:type="fixed"/>
        <w:tblCellMar>
          <w:left w:w="62" w:type="dxa"/>
          <w:right w:w="62" w:type="dxa"/>
        </w:tblCellMar>
        <w:tblLook w:val="0000"/>
      </w:tblPr>
      <w:tblGrid>
        <w:gridCol w:w="2720"/>
        <w:gridCol w:w="2195"/>
        <w:gridCol w:w="3607"/>
      </w:tblGrid>
      <w:tr w:rsidTr="00AF5150">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p>
        </w:tc>
      </w:tr>
      <w:tr w:rsidTr="00AF5150">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 xml:space="preserve">MEM13004B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Work safely with molten metals/glass</w:t>
            </w:r>
          </w:p>
        </w:tc>
      </w:tr>
      <w:tr w:rsidTr="00AF5150">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p>
        </w:tc>
      </w:tr>
    </w:tbl>
    <w:p w:rsidR="00AF5150" w:rsidP="00B97F74">
      <w:pPr>
        <w:pStyle w:val="BodyText"/>
      </w:pPr>
    </w:p>
    <w:p w:rsidR="00AF5150" w:rsidP="00B97F74">
      <w:pPr>
        <w:pStyle w:val="BodyText"/>
      </w:pPr>
    </w:p>
    <w:p w:rsidR="00000000" w:rsidRPr="00B97F74" w:rsidP="00B97F74">
      <w:pPr>
        <w:pStyle w:val="Heading1"/>
      </w:pPr>
      <w:bookmarkStart w:id="6" w:name="O_210292"/>
      <w:bookmarkEnd w:id="6"/>
      <w:r w:rsidRPr="00B97F74">
        <w:t>Employability Skills Information</w:t>
      </w:r>
    </w:p>
    <w:tbl>
      <w:tblPr>
        <w:tblW w:w="0" w:type="auto"/>
        <w:tblLayout w:type="fixed"/>
        <w:tblCellMar>
          <w:left w:w="62" w:type="dxa"/>
          <w:right w:w="62" w:type="dxa"/>
        </w:tblCellMar>
        <w:tblLook w:val="0000"/>
      </w:tblPr>
      <w:tblGrid>
        <w:gridCol w:w="2802"/>
        <w:gridCol w:w="5720"/>
      </w:tblGrid>
      <w:tr w:rsidTr="00AF51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This unit contains employability skills.</w:t>
            </w:r>
          </w:p>
        </w:tc>
      </w:tr>
    </w:tbl>
    <w:p w:rsidR="00AF5150" w:rsidP="00B97F74">
      <w:pPr>
        <w:pStyle w:val="BodyText"/>
      </w:pPr>
    </w:p>
    <w:p w:rsidR="00AF5150" w:rsidP="00B97F74">
      <w:pPr>
        <w:pStyle w:val="BodyText"/>
      </w:pPr>
    </w:p>
    <w:p w:rsidR="00000000" w:rsidRPr="00B97F74" w:rsidP="00B97F74">
      <w:pPr>
        <w:pStyle w:val="Heading1"/>
      </w:pPr>
      <w:bookmarkStart w:id="7" w:name="O_290025"/>
      <w:bookmarkEnd w:id="7"/>
      <w:r w:rsidRPr="00B97F74">
        <w:t>Elements and Performance Criteria Pre-Content</w:t>
      </w:r>
    </w:p>
    <w:tbl>
      <w:tblPr>
        <w:tblW w:w="0" w:type="auto"/>
        <w:tblLayout w:type="fixed"/>
        <w:tblCellMar>
          <w:left w:w="62" w:type="dxa"/>
          <w:right w:w="62" w:type="dxa"/>
        </w:tblCellMar>
        <w:tblLook w:val="0000"/>
      </w:tblPr>
      <w:tblGrid>
        <w:gridCol w:w="2548"/>
        <w:gridCol w:w="5974"/>
      </w:tblGrid>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Performance criteria describe the performance needed to demonstrate achievement of the element. Where bold italicised text is used, further information is detailed in the required skills and</w:t>
            </w:r>
            <w:r w:rsidRPr="00B97F74">
              <w:t xml:space="preserve"> knowledge section and the range statement. Assessment of performance is to be consistent with the evidence guide.</w:t>
            </w:r>
          </w:p>
        </w:tc>
      </w:tr>
    </w:tbl>
    <w:p w:rsidR="00000000" w:rsidRPr="00B97F74" w:rsidP="00B97F74">
      <w:pPr>
        <w:pStyle w:val="BodyText"/>
      </w:pPr>
    </w:p>
    <w:p w:rsidR="00000000" w:rsidRPr="00B97F74" w:rsidP="00B97F74">
      <w:pPr>
        <w:pStyle w:val="AllowPageBreak"/>
      </w:pPr>
    </w:p>
    <w:p w:rsidR="00000000" w:rsidRPr="00B97F74" w:rsidP="00B97F74">
      <w:pPr>
        <w:pStyle w:val="Heading1"/>
      </w:pPr>
      <w:bookmarkStart w:id="8" w:name="O_236692"/>
      <w:bookmarkEnd w:id="8"/>
      <w:r w:rsidRPr="00B97F74">
        <w:t>Elements and Performance Criteria</w:t>
      </w:r>
    </w:p>
    <w:tbl>
      <w:tblPr>
        <w:tblW w:w="0" w:type="auto"/>
        <w:tblLayout w:type="fixed"/>
        <w:tblCellMar>
          <w:left w:w="62" w:type="dxa"/>
          <w:right w:w="62" w:type="dxa"/>
        </w:tblCellMar>
        <w:tblLook w:val="0000"/>
      </w:tblPr>
      <w:tblGrid>
        <w:gridCol w:w="2548"/>
        <w:gridCol w:w="5974"/>
      </w:tblGrid>
      <w:tr w:rsidTr="00AF5150">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PERFORMANCE CRITERIA</w:t>
            </w:r>
          </w:p>
        </w:tc>
      </w:tr>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
              <w:rPr>
                <w:lang w:val="en-NZ"/>
              </w:rPr>
            </w:pPr>
            <w:r w:rsidRPr="00B97F74">
              <w:t>1.</w:t>
            </w:r>
            <w:r w:rsidRPr="00B97F74">
              <w:tab/>
              <w:t xml:space="preserve">Prepare for pouring molten metal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List2"/>
            </w:pPr>
            <w:r w:rsidRPr="00B97F74">
              <w:t>1.1.</w:t>
            </w:r>
            <w:r w:rsidRPr="00B97F74">
              <w:tab/>
            </w:r>
            <w:r w:rsidRPr="00B97F74">
              <w:t>The condition of the mould is checked according to standard operating procedures.</w:t>
            </w:r>
          </w:p>
          <w:p w:rsidR="00000000" w:rsidRPr="00B97F74" w:rsidP="00B97F74">
            <w:pPr>
              <w:pStyle w:val="List2"/>
            </w:pPr>
            <w:r w:rsidRPr="00B97F74">
              <w:t>1.2.</w:t>
            </w:r>
            <w:r w:rsidRPr="00B97F74">
              <w:tab/>
              <w:t>The condition of the ladle is checked according to standard operating procedures.</w:t>
            </w:r>
          </w:p>
          <w:p w:rsidR="00000000" w:rsidRPr="00B97F74" w:rsidP="00B97F74">
            <w:pPr>
              <w:pStyle w:val="List2"/>
            </w:pPr>
            <w:r w:rsidRPr="00B97F74">
              <w:t>1.3.</w:t>
            </w:r>
            <w:r w:rsidRPr="00B97F74">
              <w:tab/>
              <w:t>The temperature of molten metal is checked for conformance to specification, and p</w:t>
            </w:r>
            <w:r w:rsidRPr="00B97F74">
              <w:t>ouring method is sequenced to standard operating procedures.</w:t>
            </w:r>
          </w:p>
          <w:p w:rsidR="00000000" w:rsidP="00B97F74">
            <w:pPr>
              <w:pStyle w:val="List2"/>
              <w:rPr>
                <w:lang w:val="en-NZ"/>
              </w:rPr>
            </w:pPr>
            <w:r w:rsidRPr="00B97F74">
              <w:t>1.4.</w:t>
            </w:r>
            <w:r w:rsidRPr="00B97F74">
              <w:tab/>
              <w:t>The capacity of the required pour is identified against specification according to standard operating procedures.</w:t>
            </w:r>
          </w:p>
        </w:tc>
      </w:tr>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
              <w:rPr>
                <w:lang w:val="en-NZ"/>
              </w:rPr>
            </w:pPr>
            <w:r w:rsidRPr="00B97F74">
              <w:t>2.</w:t>
            </w:r>
            <w:r w:rsidRPr="00B97F74">
              <w:tab/>
              <w:t>Preheat or prepare ladle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2"/>
              <w:rPr>
                <w:lang w:val="en-NZ"/>
              </w:rPr>
            </w:pPr>
            <w:r w:rsidRPr="00B97F74">
              <w:t>2.1.</w:t>
            </w:r>
            <w:r w:rsidRPr="00B97F74">
              <w:tab/>
            </w:r>
            <w:r w:rsidRPr="00B97F74">
              <w:t>The ladle is preheated/prepared to receive molten metal.</w:t>
            </w:r>
          </w:p>
        </w:tc>
      </w:tr>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
              <w:rPr>
                <w:lang w:val="en-NZ"/>
              </w:rPr>
            </w:pPr>
            <w:r w:rsidRPr="00B97F74">
              <w:t>3.</w:t>
            </w:r>
            <w:r w:rsidRPr="00B97F74">
              <w:tab/>
              <w:t>Transfer ladle to furnace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List2"/>
            </w:pPr>
            <w:r w:rsidRPr="00B97F74">
              <w:t>3.1.</w:t>
            </w:r>
            <w:r w:rsidRPr="00B97F74">
              <w:tab/>
              <w:t>Safety clips are checked according to standard operating procedures.</w:t>
            </w:r>
          </w:p>
          <w:p w:rsidR="00000000" w:rsidRPr="00B97F74" w:rsidP="00B97F74">
            <w:pPr>
              <w:pStyle w:val="List2"/>
            </w:pPr>
            <w:r w:rsidRPr="00B97F74">
              <w:t>3.2.</w:t>
            </w:r>
            <w:r w:rsidRPr="00B97F74">
              <w:tab/>
              <w:t>The ladle is filled and transferred to the pouring area in accordance with standard operat</w:t>
            </w:r>
            <w:r w:rsidRPr="00B97F74">
              <w:t>ing procedures.</w:t>
            </w:r>
          </w:p>
          <w:p w:rsidR="00000000" w:rsidP="00B97F74">
            <w:pPr>
              <w:pStyle w:val="List2"/>
              <w:rPr>
                <w:lang w:val="en-NZ"/>
              </w:rPr>
            </w:pPr>
            <w:r w:rsidRPr="00B97F74">
              <w:t>3.3.</w:t>
            </w:r>
            <w:r w:rsidRPr="00B97F74">
              <w:tab/>
              <w:t>Additives are determined from specification and added to molten metal as required.</w:t>
            </w:r>
          </w:p>
        </w:tc>
      </w:tr>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
              <w:rPr>
                <w:lang w:val="en-NZ"/>
              </w:rPr>
            </w:pPr>
            <w:r w:rsidRPr="00B97F74">
              <w:t>4.</w:t>
            </w:r>
            <w:r w:rsidRPr="00B97F74">
              <w:tab/>
              <w:t>Maintain quality of metal as required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List2"/>
            </w:pPr>
            <w:r w:rsidRPr="00B97F74">
              <w:t>4.1.</w:t>
            </w:r>
            <w:r w:rsidRPr="00B97F74">
              <w:tab/>
              <w:t>Slag/dross is removed where necessary.</w:t>
            </w:r>
          </w:p>
          <w:p w:rsidR="00000000" w:rsidRPr="00B97F74" w:rsidP="00B97F74">
            <w:pPr>
              <w:pStyle w:val="List2"/>
            </w:pPr>
            <w:r w:rsidRPr="00B97F74">
              <w:t>4.2.</w:t>
            </w:r>
            <w:r w:rsidRPr="00B97F74">
              <w:tab/>
              <w:t>The temperature is monitored as required.</w:t>
            </w:r>
          </w:p>
          <w:p w:rsidR="00000000" w:rsidP="00B97F74">
            <w:pPr>
              <w:pStyle w:val="List2"/>
              <w:rPr>
                <w:lang w:val="en-NZ"/>
              </w:rPr>
            </w:pPr>
            <w:r w:rsidRPr="00B97F74">
              <w:t>4.3.</w:t>
            </w:r>
            <w:r w:rsidRPr="00B97F74">
              <w:tab/>
              <w:t>Chemical analy</w:t>
            </w:r>
            <w:r w:rsidRPr="00B97F74">
              <w:t>sis is undertaken and remedial action is applied as required to standard operating procedures.</w:t>
            </w:r>
          </w:p>
        </w:tc>
      </w:tr>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
              <w:rPr>
                <w:lang w:val="en-NZ"/>
              </w:rPr>
            </w:pPr>
            <w:r w:rsidRPr="00B97F74">
              <w:t>5.</w:t>
            </w:r>
            <w:r w:rsidRPr="00B97F74">
              <w:tab/>
              <w:t>Pour molten metal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List2"/>
            </w:pPr>
            <w:r w:rsidRPr="00B97F74">
              <w:t>5.1.</w:t>
            </w:r>
            <w:r w:rsidRPr="00B97F74">
              <w:tab/>
              <w:t>Personnel in the immediate area of the metal pour are informed that pour is to take place and appropriate safety clothing and equipmen</w:t>
            </w:r>
            <w:r w:rsidRPr="00B97F74">
              <w:t>t is used as specified in standard operating procedures.</w:t>
            </w:r>
          </w:p>
          <w:p w:rsidR="00000000" w:rsidRPr="00B97F74" w:rsidP="00B97F74">
            <w:pPr>
              <w:pStyle w:val="List2"/>
            </w:pPr>
            <w:r w:rsidRPr="00B97F74">
              <w:t>5.2.</w:t>
            </w:r>
            <w:r w:rsidRPr="00B97F74">
              <w:tab/>
              <w:t>Metal is poured safely to specification and in accordance with standard operating procedures.</w:t>
            </w:r>
          </w:p>
          <w:p w:rsidR="00000000" w:rsidRPr="00B97F74" w:rsidP="00B97F74">
            <w:pPr>
              <w:pStyle w:val="List2"/>
            </w:pPr>
            <w:r w:rsidRPr="00B97F74">
              <w:t>5.3.</w:t>
            </w:r>
            <w:r w:rsidRPr="00B97F74">
              <w:tab/>
              <w:t>Metal is poured at an appropriate and continuous rate.</w:t>
            </w:r>
          </w:p>
          <w:p w:rsidR="00000000" w:rsidP="00B97F74">
            <w:pPr>
              <w:pStyle w:val="List2"/>
              <w:rPr>
                <w:lang w:val="en-NZ"/>
              </w:rPr>
            </w:pPr>
            <w:r w:rsidRPr="00B97F74">
              <w:t>5.4.</w:t>
            </w:r>
            <w:r w:rsidRPr="00B97F74">
              <w:tab/>
              <w:t xml:space="preserve">A test bar is poured in accordance </w:t>
            </w:r>
            <w:r w:rsidRPr="00B97F74">
              <w:t>with standard operating procedures as required.</w:t>
            </w:r>
          </w:p>
        </w:tc>
      </w:tr>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
              <w:rPr>
                <w:lang w:val="en-NZ"/>
              </w:rPr>
            </w:pPr>
            <w:r w:rsidRPr="00B97F74">
              <w:t>6.</w:t>
            </w:r>
            <w:r w:rsidRPr="00B97F74">
              <w:tab/>
              <w:t>Empty excess metal from ladle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2"/>
              <w:rPr>
                <w:lang w:val="en-NZ"/>
              </w:rPr>
            </w:pPr>
            <w:r w:rsidRPr="00B97F74">
              <w:t>6.1.</w:t>
            </w:r>
            <w:r w:rsidRPr="00B97F74">
              <w:tab/>
              <w:t>Pigs are poured and tagged.</w:t>
            </w:r>
          </w:p>
        </w:tc>
      </w:tr>
      <w:tr w:rsidTr="00AF515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List"/>
              <w:rPr>
                <w:lang w:val="en-NZ"/>
              </w:rPr>
            </w:pPr>
            <w:r w:rsidRPr="00B97F74">
              <w:t>7.</w:t>
            </w:r>
            <w:r w:rsidRPr="00B97F74">
              <w:tab/>
              <w:t xml:space="preserve">Return ladle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List2"/>
            </w:pPr>
            <w:r w:rsidRPr="00B97F74">
              <w:t>7.1.</w:t>
            </w:r>
            <w:r w:rsidRPr="00B97F74">
              <w:tab/>
              <w:t>The ladle is emptied, cleaned and maintained according to standard operating procedures.</w:t>
            </w:r>
          </w:p>
        </w:tc>
      </w:tr>
    </w:tbl>
    <w:p w:rsidR="00AF5150" w:rsidP="00B97F74">
      <w:pPr>
        <w:pStyle w:val="BodyText"/>
      </w:pPr>
    </w:p>
    <w:p w:rsidR="00AF5150" w:rsidP="00B97F74">
      <w:pPr>
        <w:pStyle w:val="BodyText"/>
      </w:pPr>
    </w:p>
    <w:p w:rsidR="00000000" w:rsidRPr="00B97F74" w:rsidP="00B97F74">
      <w:pPr>
        <w:pStyle w:val="Heading1"/>
      </w:pPr>
      <w:bookmarkStart w:id="9" w:name="O_260642"/>
      <w:bookmarkEnd w:id="9"/>
      <w:r w:rsidRPr="00B97F74">
        <w:t>Required Skills and Knowledge</w:t>
      </w:r>
    </w:p>
    <w:tbl>
      <w:tblPr>
        <w:tblW w:w="0" w:type="auto"/>
        <w:tblLayout w:type="fixed"/>
        <w:tblCellMar>
          <w:left w:w="62" w:type="dxa"/>
          <w:right w:w="62" w:type="dxa"/>
        </w:tblCellMar>
        <w:tblLook w:val="0000"/>
      </w:tblPr>
      <w:tblGrid>
        <w:gridCol w:w="8522"/>
      </w:tblGrid>
      <w:tr w:rsidTr="00AF51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REQUIRED SKILLS AND KNOWLEDGE</w:t>
            </w:r>
          </w:p>
        </w:tc>
      </w:tr>
      <w:tr w:rsidTr="00AF51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This section describes the skills and knowledge required for this unit.</w:t>
            </w:r>
          </w:p>
        </w:tc>
      </w:tr>
      <w:tr w:rsidTr="00AF5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Required skills</w:t>
            </w:r>
          </w:p>
        </w:tc>
      </w:tr>
      <w:tr w:rsidTr="00AF5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Look for evidence that confirms skills in:</w:t>
            </w:r>
          </w:p>
          <w:p w:rsidR="00000000" w:rsidRPr="00B97F74" w:rsidP="00B97F74">
            <w:pPr>
              <w:pStyle w:val="ListBullet"/>
            </w:pPr>
            <w:r w:rsidRPr="00B97F74">
              <w:t>reading and following written instructions, standard operating procedures, specifications and standard test data sheets</w:t>
            </w:r>
          </w:p>
          <w:p w:rsidR="00000000" w:rsidRPr="00B97F74" w:rsidP="00B97F74">
            <w:pPr>
              <w:pStyle w:val="ListBullet"/>
            </w:pPr>
            <w:r w:rsidRPr="00B97F74">
              <w:t>selecting and checking ladle</w:t>
            </w:r>
          </w:p>
          <w:p w:rsidR="00000000" w:rsidRPr="00B97F74" w:rsidP="00B97F74">
            <w:pPr>
              <w:pStyle w:val="ListBullet"/>
            </w:pPr>
            <w:r w:rsidRPr="00B97F74">
              <w:t>preparing ladle for pouring</w:t>
            </w:r>
          </w:p>
          <w:p w:rsidR="00000000" w:rsidRPr="00B97F74" w:rsidP="00B97F74">
            <w:pPr>
              <w:pStyle w:val="ListBullet"/>
            </w:pPr>
            <w:r w:rsidRPr="00B97F74">
              <w:t>transferring metal to ladle</w:t>
            </w:r>
          </w:p>
          <w:p w:rsidR="00000000" w:rsidRPr="00B97F74" w:rsidP="00B97F74">
            <w:pPr>
              <w:pStyle w:val="ListBullet"/>
            </w:pPr>
            <w:r w:rsidRPr="00B97F74">
              <w:t>treating metal</w:t>
            </w:r>
          </w:p>
          <w:p w:rsidR="00000000" w:rsidRPr="00B97F74" w:rsidP="00B97F74">
            <w:pPr>
              <w:pStyle w:val="ListBullet"/>
            </w:pPr>
            <w:r w:rsidRPr="00B97F74">
              <w:t>removing slag and dross</w:t>
            </w:r>
          </w:p>
          <w:p w:rsidR="00000000" w:rsidRPr="00B97F74" w:rsidP="00B97F74">
            <w:pPr>
              <w:pStyle w:val="ListBullet"/>
            </w:pPr>
            <w:r w:rsidRPr="00B97F74">
              <w:t>sampling and</w:t>
            </w:r>
            <w:r w:rsidRPr="00B97F74">
              <w:t xml:space="preserve"> testing molten metal</w:t>
            </w:r>
          </w:p>
          <w:p w:rsidR="00000000" w:rsidRPr="00B97F74" w:rsidP="00B97F74">
            <w:pPr>
              <w:pStyle w:val="ListBullet"/>
            </w:pPr>
            <w:r w:rsidRPr="00B97F74">
              <w:t>pouring molten metal into moulds and pigs</w:t>
            </w:r>
          </w:p>
          <w:p w:rsidR="00000000" w:rsidRPr="00B97F74" w:rsidP="00B97F74">
            <w:pPr>
              <w:pStyle w:val="ListBullet"/>
            </w:pPr>
            <w:r w:rsidRPr="00B97F74">
              <w:t>tagging pig metal</w:t>
            </w:r>
          </w:p>
          <w:p w:rsidR="00000000" w:rsidP="00B97F74">
            <w:pPr>
              <w:pStyle w:val="ListBullet"/>
              <w:rPr>
                <w:lang w:val="en-NZ"/>
              </w:rPr>
            </w:pPr>
            <w:r w:rsidRPr="00B97F74">
              <w:t>using communication skills to effectively transfer skills and knowledge to employees</w:t>
            </w:r>
          </w:p>
        </w:tc>
      </w:tr>
      <w:tr w:rsidTr="00AF5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Required knowledge</w:t>
            </w:r>
          </w:p>
        </w:tc>
      </w:tr>
      <w:tr w:rsidTr="00AF5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Look for evidence that confirms knowledge of:</w:t>
            </w:r>
          </w:p>
          <w:p w:rsidR="00000000" w:rsidRPr="00B97F74" w:rsidP="00B97F74">
            <w:pPr>
              <w:pStyle w:val="ListBullet"/>
            </w:pPr>
            <w:r w:rsidRPr="00B97F74">
              <w:t>types and pouring characteristics of metals</w:t>
            </w:r>
          </w:p>
          <w:p w:rsidR="00000000" w:rsidRPr="00B97F74" w:rsidP="00B97F74">
            <w:pPr>
              <w:pStyle w:val="ListBullet"/>
            </w:pPr>
            <w:r w:rsidRPr="00B97F74">
              <w:t>types and characteristics of ladles</w:t>
            </w:r>
          </w:p>
          <w:p w:rsidR="00000000" w:rsidRPr="00B97F74" w:rsidP="00B97F74">
            <w:pPr>
              <w:pStyle w:val="ListBullet"/>
            </w:pPr>
            <w:r w:rsidRPr="00B97F74">
              <w:t>procedures for maintaining condition and integrity of ladle</w:t>
            </w:r>
          </w:p>
          <w:p w:rsidR="00000000" w:rsidRPr="00B97F74" w:rsidP="00B97F74">
            <w:pPr>
              <w:pStyle w:val="ListBullet"/>
            </w:pPr>
            <w:r w:rsidRPr="00B97F74">
              <w:t>procedures for safe handling and transference of molten metal</w:t>
            </w:r>
          </w:p>
          <w:p w:rsidR="00000000" w:rsidRPr="00B97F74" w:rsidP="00B97F74">
            <w:pPr>
              <w:pStyle w:val="ListBullet"/>
            </w:pPr>
            <w:r w:rsidRPr="00B97F74">
              <w:t>metal treatments, applications and procedures for maki</w:t>
            </w:r>
            <w:r w:rsidRPr="00B97F74">
              <w:t>ng additions to molten metal</w:t>
            </w:r>
          </w:p>
          <w:p w:rsidR="00000000" w:rsidRPr="00B97F74" w:rsidP="00B97F74">
            <w:pPr>
              <w:pStyle w:val="ListBullet"/>
            </w:pPr>
            <w:r w:rsidRPr="00B97F74">
              <w:t>slag and dross removing procedures</w:t>
            </w:r>
          </w:p>
          <w:p w:rsidR="00000000" w:rsidRPr="00B97F74" w:rsidP="00B97F74">
            <w:pPr>
              <w:pStyle w:val="ListBullet"/>
            </w:pPr>
            <w:r w:rsidRPr="00B97F74">
              <w:t>techniques for sampling and testing molten metal</w:t>
            </w:r>
          </w:p>
          <w:p w:rsidR="00000000" w:rsidRPr="00B97F74" w:rsidP="00B97F74">
            <w:pPr>
              <w:pStyle w:val="ListBullet"/>
            </w:pPr>
            <w:r w:rsidRPr="00B97F74">
              <w:t>pouring procedures</w:t>
            </w:r>
          </w:p>
          <w:p w:rsidR="00000000" w:rsidRPr="00B97F74" w:rsidP="00B97F74">
            <w:pPr>
              <w:pStyle w:val="ListBullet"/>
            </w:pPr>
            <w:r w:rsidRPr="00B97F74">
              <w:t>metal identification and tagging procedures</w:t>
            </w:r>
          </w:p>
          <w:p w:rsidR="00000000" w:rsidRPr="00B97F74" w:rsidP="00B97F74">
            <w:pPr>
              <w:pStyle w:val="ListBullet"/>
            </w:pPr>
            <w:r w:rsidRPr="00B97F74">
              <w:t>use and application of personal protective equipment</w:t>
            </w:r>
          </w:p>
          <w:p w:rsidR="00000000" w:rsidRPr="00B97F74" w:rsidP="00B97F74">
            <w:pPr>
              <w:pStyle w:val="ListBullet"/>
            </w:pPr>
            <w:r w:rsidRPr="00B97F74">
              <w:t>safe work practices and pro</w:t>
            </w:r>
            <w:r w:rsidRPr="00B97F74">
              <w:t>cedures</w:t>
            </w:r>
          </w:p>
          <w:p w:rsidR="00000000" w:rsidRPr="00B97F74" w:rsidP="00B97F74">
            <w:pPr>
              <w:pStyle w:val="ListBullet"/>
            </w:pPr>
            <w:r w:rsidRPr="00B97F74">
              <w:t>hazards and control measures associated with pouring molten metal</w:t>
            </w:r>
          </w:p>
        </w:tc>
      </w:tr>
    </w:tbl>
    <w:p w:rsidR="00AF5150" w:rsidP="00B97F74">
      <w:pPr>
        <w:pStyle w:val="BodyText"/>
      </w:pPr>
    </w:p>
    <w:p w:rsidR="00AF5150" w:rsidP="00B97F74">
      <w:pPr>
        <w:pStyle w:val="BodyText"/>
      </w:pPr>
    </w:p>
    <w:p w:rsidR="00000000" w:rsidRPr="00B97F74" w:rsidP="00B97F74">
      <w:pPr>
        <w:pStyle w:val="AllowPageBreak"/>
      </w:pPr>
    </w:p>
    <w:p w:rsidR="00000000" w:rsidRPr="00B97F74" w:rsidP="00B97F74">
      <w:pPr>
        <w:pStyle w:val="Heading1"/>
      </w:pPr>
      <w:bookmarkStart w:id="10" w:name="O_244676"/>
      <w:bookmarkEnd w:id="10"/>
      <w:r w:rsidRPr="00B97F74">
        <w:t>Evidence Guide</w:t>
      </w:r>
    </w:p>
    <w:tbl>
      <w:tblPr>
        <w:tblW w:w="9570" w:type="dxa"/>
        <w:tblLayout w:type="fixed"/>
        <w:tblCellMar>
          <w:left w:w="62" w:type="dxa"/>
          <w:right w:w="62" w:type="dxa"/>
        </w:tblCellMar>
        <w:tblLook w:val="0000"/>
      </w:tblPr>
      <w:tblGrid>
        <w:gridCol w:w="3908"/>
        <w:gridCol w:w="5662"/>
      </w:tblGrid>
      <w:tr w:rsidTr="00AF51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EVIDENCE GUIDE</w:t>
            </w:r>
          </w:p>
        </w:tc>
      </w:tr>
      <w:tr w:rsidTr="00AF51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The evidence guide provides advice on assessment and must be read in conjunctio</w:t>
            </w:r>
            <w:r w:rsidRPr="00B97F74">
              <w:t>n with the performance criteria, required skills and knowledge, range statement and the Assessment Guidelines for the Training Package.</w:t>
            </w:r>
          </w:p>
        </w:tc>
      </w:tr>
      <w:tr w:rsidTr="00AF5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A person who demonstrates competency in this unit must be able to pour molten metal. Competency</w:t>
            </w:r>
            <w:r w:rsidRPr="00B97F74">
              <w:t xml:space="preserve"> in this unit cannot be Claimed until all prerequisites have been satisfied.</w:t>
            </w:r>
          </w:p>
        </w:tc>
      </w:tr>
      <w:tr w:rsidTr="00AF5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Assessors must be satisfied that the candidate can competently and consistently perfo</w:t>
            </w:r>
            <w:r w:rsidRPr="00B97F74">
              <w:t>rm all elements of the unit as specified by the criteria, including required knowledge, and be capable of applying the competency in new and different situations and contexts.</w:t>
            </w:r>
          </w:p>
        </w:tc>
      </w:tr>
      <w:tr w:rsidTr="00AF5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This unit may be assessed on t</w:t>
            </w:r>
            <w:r w:rsidRPr="00B97F74">
              <w:t>he job, off the job or a combination of both on and off the job. Where assessment occurs off the job, that is the candidate is not in productive work, then an appropriate simulation must be used where the range of conditions reflects realistic workplace si</w:t>
            </w:r>
            <w:r w:rsidRPr="00B97F74">
              <w:t>tuations. The competencies covered by this unit would be demonstrated by an individual working alone or as part of a team. The assessment environment should not disadvantage the candidate.</w:t>
            </w:r>
          </w:p>
          <w:p w:rsidR="00000000" w:rsidP="00B97F74">
            <w:pPr>
              <w:pStyle w:val="BodyText"/>
              <w:rPr>
                <w:lang w:val="en-NZ"/>
              </w:rPr>
            </w:pPr>
            <w:r w:rsidRPr="00B97F74">
              <w:t>This unit could be assessed in conjunction with any other units addressing the safety, quality, communication, materials handling, recording and reporting associated with pouring molten metal or other units requiring the exercise of the skills and knowledg</w:t>
            </w:r>
            <w:r w:rsidRPr="00B97F74">
              <w:t>e covered by this unit.</w:t>
            </w:r>
          </w:p>
        </w:tc>
      </w:tr>
      <w:tr w:rsidTr="00AF5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Assessors should gather a range of evidence that is valid, sufficient, current and authentic. Evidence can be gathered through a variety of ways including direct observation, supervisor's reports, project work,</w:t>
            </w:r>
            <w:r w:rsidRPr="00B97F74">
              <w:t xml:space="preserve"> samples and questioning. Questioning techniques should not require language, literacy and numeracy skills beyond those required in this unit of competency. The candidate must have access to all tools, equipment, materials and documentation required. The c</w:t>
            </w:r>
            <w:r w:rsidRPr="00B97F74">
              <w:t>andidate must be permitted to refer to any relevant workplace procedures, product and manufacturing specifications, codes, standards, manuals and reference materials.</w:t>
            </w:r>
          </w:p>
        </w:tc>
      </w:tr>
      <w:tr w:rsidTr="00AF5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p>
        </w:tc>
      </w:tr>
    </w:tbl>
    <w:p w:rsidR="00AF5150" w:rsidP="00B97F74">
      <w:pPr>
        <w:pStyle w:val="BodyText"/>
      </w:pPr>
    </w:p>
    <w:p w:rsidR="00AF5150" w:rsidP="00B97F74">
      <w:pPr>
        <w:pStyle w:val="BodyText"/>
      </w:pPr>
    </w:p>
    <w:p w:rsidR="00000000" w:rsidRPr="00B97F74" w:rsidP="00B97F74">
      <w:pPr>
        <w:pStyle w:val="Heading1"/>
      </w:pPr>
      <w:bookmarkStart w:id="11" w:name="O_252659"/>
      <w:bookmarkEnd w:id="11"/>
      <w:r w:rsidRPr="00B97F74">
        <w:t>Range Statement</w:t>
      </w:r>
    </w:p>
    <w:tbl>
      <w:tblPr>
        <w:tblW w:w="0" w:type="auto"/>
        <w:tblLayout w:type="fixed"/>
        <w:tblCellMar>
          <w:left w:w="62" w:type="dxa"/>
          <w:right w:w="62" w:type="dxa"/>
        </w:tblCellMar>
        <w:tblLook w:val="0000"/>
      </w:tblPr>
      <w:tblGrid>
        <w:gridCol w:w="3490"/>
        <w:gridCol w:w="5032"/>
      </w:tblGrid>
      <w:tr w:rsidTr="00AF51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RANGE STATEME</w:t>
            </w:r>
            <w:r w:rsidRPr="00B97F74">
              <w:rPr>
                <w:rStyle w:val="SpecialBold"/>
              </w:rPr>
              <w:t>NT</w:t>
            </w:r>
          </w:p>
        </w:tc>
      </w:tr>
      <w:tr w:rsidTr="00AF51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 xml:space="preserve">The range statement relates to the unit of competency as a whole. It allows for different work environments and situations that may affect </w:t>
            </w:r>
            <w:r w:rsidRPr="00B97F74">
              <w:t>performance. Bold italicised wording, if used in the performance criteria, is detailed below. Essential operating conditions that may be present with training and assessment (depending on the work situation, needs of the candidate, accessibility of the ite</w:t>
            </w:r>
            <w:r w:rsidRPr="00B97F74">
              <w:t>m, and local industry and regional contexts) may also be included.</w:t>
            </w:r>
          </w:p>
        </w:tc>
      </w:tr>
      <w:tr w:rsidTr="00AF515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Ladle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t>Lip pour, tea pot, bottom pour, barrel, and bull ladles of varying capacity</w:t>
            </w:r>
          </w:p>
        </w:tc>
      </w:tr>
      <w:tr w:rsidTr="00AF515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Additives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Alloys, inoculants, spheroidisers, coagulants</w:t>
            </w:r>
          </w:p>
        </w:tc>
      </w:tr>
    </w:tbl>
    <w:p w:rsidR="00AF5150" w:rsidP="00B97F74">
      <w:pPr>
        <w:pStyle w:val="BodyText"/>
      </w:pPr>
    </w:p>
    <w:p w:rsidR="00AF5150" w:rsidP="00B97F74">
      <w:pPr>
        <w:pStyle w:val="BodyText"/>
      </w:pPr>
    </w:p>
    <w:p w:rsidR="00000000" w:rsidRPr="00B97F74" w:rsidP="00B97F74">
      <w:pPr>
        <w:pStyle w:val="Heading1"/>
      </w:pPr>
      <w:bookmarkStart w:id="12" w:name="O_210297"/>
      <w:bookmarkEnd w:id="12"/>
      <w:r w:rsidRPr="00B97F74">
        <w:t>Unit Sector(s)</w:t>
      </w:r>
    </w:p>
    <w:tbl>
      <w:tblPr>
        <w:tblW w:w="0" w:type="auto"/>
        <w:tblLayout w:type="fixed"/>
        <w:tblCellMar>
          <w:left w:w="62" w:type="dxa"/>
          <w:right w:w="62" w:type="dxa"/>
        </w:tblCellMar>
        <w:tblLook w:val="0000"/>
      </w:tblPr>
      <w:tblGrid>
        <w:gridCol w:w="2654"/>
        <w:gridCol w:w="5868"/>
      </w:tblGrid>
      <w:tr w:rsidTr="00AF51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p>
        </w:tc>
      </w:tr>
    </w:tbl>
    <w:p w:rsidR="00AF5150" w:rsidP="00B97F74">
      <w:pPr>
        <w:pStyle w:val="BodyText"/>
      </w:pPr>
    </w:p>
    <w:p w:rsidR="00AF5150" w:rsidP="00B97F74">
      <w:pPr>
        <w:pStyle w:val="BodyText"/>
      </w:pPr>
    </w:p>
    <w:p w:rsidR="00000000" w:rsidRPr="00B97F74" w:rsidP="00B97F74">
      <w:pPr>
        <w:pStyle w:val="Heading1"/>
      </w:pPr>
      <w:bookmarkStart w:id="13" w:name="O_210294"/>
      <w:bookmarkEnd w:id="13"/>
      <w:r w:rsidRPr="00B97F74">
        <w:t>Co-requisite units</w:t>
      </w:r>
    </w:p>
    <w:tbl>
      <w:tblPr>
        <w:tblW w:w="0" w:type="auto"/>
        <w:tblLayout w:type="fixed"/>
        <w:tblCellMar>
          <w:left w:w="62" w:type="dxa"/>
          <w:right w:w="62" w:type="dxa"/>
        </w:tblCellMar>
        <w:tblLook w:val="0000"/>
      </w:tblPr>
      <w:tblGrid>
        <w:gridCol w:w="2641"/>
        <w:gridCol w:w="1322"/>
        <w:gridCol w:w="4559"/>
      </w:tblGrid>
      <w:tr w:rsidTr="00AF51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p>
        </w:tc>
      </w:tr>
      <w:tr w:rsidTr="00AF51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p>
        </w:tc>
      </w:tr>
      <w:tr w:rsidTr="00AF51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p>
        </w:tc>
      </w:tr>
    </w:tbl>
    <w:p w:rsidR="00AF5150" w:rsidP="00B97F74">
      <w:pPr>
        <w:pStyle w:val="BodyText"/>
      </w:pPr>
    </w:p>
    <w:p w:rsidR="00AF5150" w:rsidP="00B97F74">
      <w:pPr>
        <w:pStyle w:val="BodyText"/>
      </w:pPr>
    </w:p>
    <w:p w:rsidR="00000000" w:rsidRPr="00B97F74" w:rsidP="00B97F74">
      <w:pPr>
        <w:pStyle w:val="Heading1"/>
      </w:pPr>
      <w:bookmarkStart w:id="14" w:name="O_210296"/>
      <w:bookmarkEnd w:id="14"/>
      <w:r w:rsidRPr="00B97F74">
        <w:t>Competency field</w:t>
      </w:r>
    </w:p>
    <w:tbl>
      <w:tblPr>
        <w:tblW w:w="0" w:type="auto"/>
        <w:tblLayout w:type="fixed"/>
        <w:tblCellMar>
          <w:left w:w="62" w:type="dxa"/>
          <w:right w:w="62" w:type="dxa"/>
        </w:tblCellMar>
        <w:tblLook w:val="0000"/>
      </w:tblPr>
      <w:tblGrid>
        <w:gridCol w:w="2778"/>
        <w:gridCol w:w="5744"/>
      </w:tblGrid>
      <w:tr w:rsidTr="00AF515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74">
            <w:pPr>
              <w:pStyle w:val="BodyText"/>
              <w:rPr>
                <w:lang w:val="en-NZ"/>
              </w:rPr>
            </w:pPr>
            <w:r w:rsidRPr="00B97F7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74" w:rsidP="00B97F74">
            <w:pPr>
              <w:pStyle w:val="BodyText"/>
            </w:pPr>
            <w:r w:rsidRPr="00B97F74">
              <w:t>Casting and moulding</w:t>
            </w:r>
          </w:p>
        </w:tc>
      </w:tr>
    </w:tbl>
    <w:p w:rsidR="00AF5150" w:rsidP="00B97F74">
      <w:pPr>
        <w:pStyle w:val="BodyText"/>
      </w:pPr>
    </w:p>
    <w:p w:rsidR="00AF5150" w:rsidP="00B97F74">
      <w:pPr>
        <w:pStyle w:val="BodyText"/>
      </w:pPr>
    </w:p>
    <w:p w:rsidR="00000000" w:rsidRPr="00B97F74" w:rsidP="00B97F74"/>
    <w:sectPr w:rsidSect="00B97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150" w:rsidP="00AF5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150" w:rsidP="00B97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5150" w:rsidP="00B97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5150" w:rsidP="00B97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74" w:rsidRPr="00AF5150" w:rsidP="00AF51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150" w:rsidP="00B97F74">
    <w:pPr>
      <w:pStyle w:val="Header"/>
      <w:framePr w:wrap="around"/>
    </w:pPr>
    <w:r>
      <w:fldChar w:fldCharType="begin"/>
    </w:r>
    <w:r>
      <w:instrText xml:space="preserve"> TITLE   \* MERGEFORMAT </w:instrText>
    </w:r>
    <w:r>
      <w:fldChar w:fldCharType="separate"/>
    </w:r>
    <w:r>
      <w:t>MEM04007B Pour molten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150" w:rsidP="00B97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785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A85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7F74"/>
    <w:pPr>
      <w:spacing w:before="360" w:after="60"/>
      <w:outlineLvl w:val="0"/>
    </w:pPr>
    <w:rPr>
      <w:sz w:val="32"/>
    </w:rPr>
  </w:style>
  <w:style w:type="paragraph" w:styleId="Heading2">
    <w:name w:val="heading 2"/>
    <w:basedOn w:val="HeadingBase"/>
    <w:next w:val="BodyText"/>
    <w:link w:val="Heading2Char"/>
    <w:qFormat/>
    <w:rsid w:val="00B97F74"/>
    <w:pPr>
      <w:keepLines/>
      <w:spacing w:before="240" w:after="120"/>
      <w:outlineLvl w:val="1"/>
    </w:pPr>
    <w:rPr>
      <w:sz w:val="28"/>
      <w:szCs w:val="40"/>
    </w:rPr>
  </w:style>
  <w:style w:type="paragraph" w:styleId="Heading3">
    <w:name w:val="heading 3"/>
    <w:basedOn w:val="HeadingBase"/>
    <w:next w:val="BodyText"/>
    <w:link w:val="Heading3Char"/>
    <w:qFormat/>
    <w:rsid w:val="00B97F74"/>
    <w:pPr>
      <w:spacing w:before="180" w:after="120"/>
      <w:outlineLvl w:val="2"/>
    </w:pPr>
    <w:rPr>
      <w:spacing w:val="-10"/>
      <w:kern w:val="32"/>
    </w:rPr>
  </w:style>
  <w:style w:type="paragraph" w:styleId="Heading4">
    <w:name w:val="heading 4"/>
    <w:basedOn w:val="HeadingBase"/>
    <w:next w:val="BodyText"/>
    <w:link w:val="Heading4Char"/>
    <w:qFormat/>
    <w:rsid w:val="00B97F74"/>
    <w:pPr>
      <w:spacing w:before="160" w:after="120"/>
      <w:outlineLvl w:val="3"/>
    </w:pPr>
    <w:rPr>
      <w:sz w:val="22"/>
    </w:rPr>
  </w:style>
  <w:style w:type="paragraph" w:styleId="Heading5">
    <w:name w:val="heading 5"/>
    <w:basedOn w:val="HeadingBase"/>
    <w:next w:val="Normal"/>
    <w:link w:val="Heading5Char"/>
    <w:qFormat/>
    <w:rsid w:val="00B97F74"/>
    <w:pPr>
      <w:spacing w:before="80"/>
      <w:outlineLvl w:val="4"/>
    </w:pPr>
    <w:rPr>
      <w:color w:val="918585"/>
      <w:sz w:val="20"/>
    </w:rPr>
  </w:style>
  <w:style w:type="paragraph" w:styleId="Heading6">
    <w:name w:val="heading 6"/>
    <w:basedOn w:val="HeadingBase"/>
    <w:next w:val="Normal"/>
    <w:link w:val="Heading6Char"/>
    <w:qFormat/>
    <w:rsid w:val="00B97F74"/>
    <w:pPr>
      <w:spacing w:before="60"/>
      <w:outlineLvl w:val="5"/>
    </w:pPr>
    <w:rPr>
      <w:color w:val="918585"/>
      <w:sz w:val="20"/>
    </w:rPr>
  </w:style>
  <w:style w:type="paragraph" w:styleId="Heading7">
    <w:name w:val="heading 7"/>
    <w:basedOn w:val="Normal"/>
    <w:next w:val="Normal"/>
    <w:link w:val="Heading7Char"/>
    <w:qFormat/>
    <w:rsid w:val="00B97F74"/>
    <w:pPr>
      <w:ind w:left="720"/>
      <w:outlineLvl w:val="6"/>
    </w:pPr>
    <w:rPr>
      <w:i/>
    </w:rPr>
  </w:style>
  <w:style w:type="paragraph" w:styleId="Heading8">
    <w:name w:val="heading 8"/>
    <w:basedOn w:val="Normal"/>
    <w:next w:val="Normal"/>
    <w:link w:val="Heading8Char"/>
    <w:qFormat/>
    <w:rsid w:val="00B97F74"/>
    <w:pPr>
      <w:ind w:left="720"/>
      <w:outlineLvl w:val="7"/>
    </w:pPr>
    <w:rPr>
      <w:i/>
    </w:rPr>
  </w:style>
  <w:style w:type="paragraph" w:styleId="Heading9">
    <w:name w:val="heading 9"/>
    <w:basedOn w:val="Normal"/>
    <w:next w:val="Normal"/>
    <w:link w:val="Heading9Char"/>
    <w:qFormat/>
    <w:rsid w:val="00B97F74"/>
    <w:pPr>
      <w:ind w:left="720"/>
      <w:outlineLvl w:val="8"/>
    </w:pPr>
    <w:rPr>
      <w:i/>
    </w:rPr>
  </w:style>
  <w:style w:type="character" w:default="1" w:styleId="DefaultParagraphFont">
    <w:name w:val="Default Paragraph Font"/>
    <w:uiPriority w:val="1"/>
    <w:unhideWhenUsed/>
    <w:rsid w:val="00B97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F74"/>
  </w:style>
  <w:style w:type="character" w:customStyle="1" w:styleId="Heading1Char">
    <w:name w:val="Heading 1 Char"/>
    <w:link w:val="Heading1"/>
    <w:rsid w:val="00B97F74"/>
    <w:rPr>
      <w:rFonts w:ascii="Times New Roman" w:eastAsia="Times New Roman" w:hAnsi="Times New Roman" w:cs="Times New Roman"/>
      <w:b/>
      <w:sz w:val="32"/>
      <w:szCs w:val="20"/>
      <w:lang w:eastAsia="en-US"/>
    </w:rPr>
  </w:style>
  <w:style w:type="paragraph" w:styleId="BodyText">
    <w:name w:val="Body Text"/>
    <w:basedOn w:val="Normal"/>
    <w:link w:val="BodyTextChar"/>
    <w:rsid w:val="00B97F74"/>
    <w:pPr>
      <w:spacing w:before="120" w:after="120"/>
      <w:contextualSpacing/>
    </w:pPr>
    <w:rPr>
      <w:rFonts w:ascii="Times New Roman" w:hAnsi="Times New Roman"/>
      <w:sz w:val="24"/>
      <w:szCs w:val="22"/>
    </w:rPr>
  </w:style>
  <w:style w:type="character" w:customStyle="1" w:styleId="BodyTextChar">
    <w:name w:val="Body Text Char"/>
    <w:link w:val="BodyText"/>
    <w:rsid w:val="00B97F74"/>
    <w:rPr>
      <w:rFonts w:ascii="Times New Roman" w:eastAsia="Times New Roman" w:hAnsi="Times New Roman" w:cs="Times New Roman"/>
      <w:sz w:val="24"/>
      <w:lang w:val="en-US" w:eastAsia="en-US"/>
    </w:rPr>
  </w:style>
  <w:style w:type="paragraph" w:styleId="Footer">
    <w:name w:val="footer"/>
    <w:basedOn w:val="Normal"/>
    <w:link w:val="FooterChar"/>
    <w:rsid w:val="00B97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7F74"/>
    <w:rPr>
      <w:rFonts w:ascii="Times New Roman" w:eastAsia="Times New Roman" w:hAnsi="Times New Roman" w:cs="Times New Roman"/>
      <w:sz w:val="16"/>
      <w:lang w:val="en-US" w:eastAsia="en-US"/>
    </w:rPr>
  </w:style>
  <w:style w:type="paragraph" w:styleId="List">
    <w:name w:val="List"/>
    <w:basedOn w:val="BodyText"/>
    <w:next w:val="BodyText"/>
    <w:rsid w:val="00B97F74"/>
    <w:pPr>
      <w:tabs>
        <w:tab w:val="left" w:pos="340"/>
      </w:tabs>
      <w:spacing w:before="60" w:after="60"/>
      <w:ind w:left="340" w:hanging="340"/>
    </w:pPr>
  </w:style>
  <w:style w:type="paragraph" w:styleId="ListBullet">
    <w:name w:val="List Bullet"/>
    <w:basedOn w:val="List"/>
    <w:rsid w:val="00B97F74"/>
    <w:pPr>
      <w:numPr>
        <w:numId w:val="12"/>
      </w:numPr>
      <w:tabs>
        <w:tab w:val="clear" w:pos="340"/>
      </w:tabs>
      <w:spacing w:before="40" w:after="40"/>
    </w:pPr>
  </w:style>
  <w:style w:type="character" w:customStyle="1" w:styleId="SpecialBold">
    <w:name w:val="Special Bold"/>
    <w:rsid w:val="00B97F74"/>
    <w:rPr>
      <w:b/>
      <w:spacing w:val="0"/>
    </w:rPr>
  </w:style>
  <w:style w:type="paragraph" w:customStyle="1" w:styleId="SuperHeading">
    <w:name w:val="SuperHeading"/>
    <w:basedOn w:val="Normal"/>
    <w:rsid w:val="00B97F74"/>
    <w:pPr>
      <w:spacing w:before="240" w:after="120"/>
      <w:outlineLvl w:val="0"/>
    </w:pPr>
    <w:rPr>
      <w:rFonts w:ascii="Times New Roman" w:hAnsi="Times New Roman"/>
      <w:b/>
      <w:sz w:val="28"/>
    </w:rPr>
  </w:style>
  <w:style w:type="paragraph" w:customStyle="1" w:styleId="AllowPageBreak">
    <w:name w:val="AllowPageBreak"/>
    <w:rsid w:val="00B97F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7F74"/>
    <w:pPr>
      <w:tabs>
        <w:tab w:val="left" w:pos="680"/>
      </w:tabs>
      <w:spacing w:before="60" w:after="60"/>
      <w:ind w:left="680" w:hanging="340"/>
    </w:pPr>
  </w:style>
  <w:style w:type="character" w:customStyle="1" w:styleId="Heading2Char">
    <w:name w:val="Heading 2 Char"/>
    <w:link w:val="Heading2"/>
    <w:rsid w:val="00B97F74"/>
    <w:rPr>
      <w:rFonts w:ascii="Times New Roman" w:eastAsia="Times New Roman" w:hAnsi="Times New Roman" w:cs="Times New Roman"/>
      <w:b/>
      <w:sz w:val="28"/>
      <w:szCs w:val="40"/>
      <w:lang w:eastAsia="en-US"/>
    </w:rPr>
  </w:style>
  <w:style w:type="character" w:customStyle="1" w:styleId="Heading3Char">
    <w:name w:val="Heading 3 Char"/>
    <w:link w:val="Heading3"/>
    <w:rsid w:val="00B97F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7F74"/>
    <w:rPr>
      <w:rFonts w:ascii="Times New Roman" w:eastAsia="Times New Roman" w:hAnsi="Times New Roman" w:cs="Times New Roman"/>
      <w:b/>
      <w:szCs w:val="20"/>
      <w:lang w:eastAsia="en-US"/>
    </w:rPr>
  </w:style>
  <w:style w:type="character" w:customStyle="1" w:styleId="Heading5Char">
    <w:name w:val="Heading 5 Char"/>
    <w:link w:val="Heading5"/>
    <w:rsid w:val="00B97F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7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7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7F74"/>
    <w:rPr>
      <w:rFonts w:ascii="Courier New" w:eastAsia="Times New Roman" w:hAnsi="Courier New" w:cs="Times New Roman"/>
      <w:i/>
      <w:szCs w:val="20"/>
      <w:lang w:val="en-US" w:eastAsia="en-US"/>
    </w:rPr>
  </w:style>
  <w:style w:type="paragraph" w:customStyle="1" w:styleId="HeadingBase">
    <w:name w:val="Heading Base"/>
    <w:rsid w:val="00B97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F74"/>
    <w:pPr>
      <w:tabs>
        <w:tab w:val="right" w:leader="dot" w:pos="9072"/>
      </w:tabs>
      <w:ind w:left="567"/>
    </w:pPr>
    <w:rPr>
      <w:szCs w:val="22"/>
    </w:rPr>
  </w:style>
  <w:style w:type="paragraph" w:customStyle="1" w:styleId="TOCBase">
    <w:name w:val="TOC Base"/>
    <w:rsid w:val="00B97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F74"/>
    <w:pPr>
      <w:tabs>
        <w:tab w:val="right" w:leader="dot" w:pos="9072"/>
      </w:tabs>
      <w:spacing w:before="40" w:after="40"/>
      <w:ind w:left="284"/>
    </w:pPr>
    <w:rPr>
      <w:rFonts w:ascii="Times New Roman" w:hAnsi="Times New Roman"/>
    </w:rPr>
  </w:style>
  <w:style w:type="paragraph" w:styleId="TOC1">
    <w:name w:val="toc 1"/>
    <w:basedOn w:val="TOCBase"/>
    <w:next w:val="Normal"/>
    <w:rsid w:val="00B97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7F74"/>
    <w:pPr>
      <w:spacing w:before="5040"/>
      <w:jc w:val="center"/>
    </w:pPr>
    <w:rPr>
      <w:sz w:val="48"/>
      <w:szCs w:val="72"/>
      <w:lang w:val="en-US"/>
    </w:rPr>
  </w:style>
  <w:style w:type="character" w:customStyle="1" w:styleId="TitleChar">
    <w:name w:val="Title Char"/>
    <w:link w:val="Title"/>
    <w:rsid w:val="00B97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F74"/>
    <w:pPr>
      <w:tabs>
        <w:tab w:val="left" w:pos="3600"/>
        <w:tab w:val="left" w:pos="3958"/>
      </w:tabs>
    </w:pPr>
  </w:style>
  <w:style w:type="paragraph" w:customStyle="1" w:styleId="Note">
    <w:name w:val="Note"/>
    <w:basedOn w:val="BodyText"/>
    <w:rsid w:val="00B97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F74"/>
    <w:pPr>
      <w:framePr w:wrap="auto" w:hAnchor="text" w:y="6049"/>
    </w:pPr>
    <w:rPr>
      <w:color w:val="000000"/>
      <w:sz w:val="40"/>
    </w:rPr>
  </w:style>
  <w:style w:type="paragraph" w:customStyle="1" w:styleId="TOCTitle">
    <w:name w:val="TOCTitle"/>
    <w:basedOn w:val="Heading1"/>
    <w:rsid w:val="00B97F74"/>
    <w:pPr>
      <w:spacing w:after="240"/>
      <w:jc w:val="center"/>
      <w:outlineLvl w:val="9"/>
    </w:pPr>
    <w:rPr>
      <w:caps/>
    </w:rPr>
  </w:style>
  <w:style w:type="paragraph" w:customStyle="1" w:styleId="Version">
    <w:name w:val="Version"/>
    <w:rsid w:val="00B97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F74"/>
    <w:pPr>
      <w:numPr>
        <w:numId w:val="13"/>
      </w:numPr>
      <w:tabs>
        <w:tab w:val="clear" w:pos="680"/>
      </w:tabs>
    </w:pPr>
  </w:style>
  <w:style w:type="paragraph" w:styleId="Index1">
    <w:name w:val="index 1"/>
    <w:basedOn w:val="Normal"/>
    <w:next w:val="Normal"/>
    <w:semiHidden/>
    <w:rsid w:val="00B97F74"/>
    <w:pPr>
      <w:keepNext w:val="0"/>
      <w:tabs>
        <w:tab w:val="right" w:pos="4176"/>
      </w:tabs>
      <w:ind w:left="198" w:hanging="198"/>
    </w:pPr>
    <w:rPr>
      <w:rFonts w:ascii="Garamond" w:hAnsi="Garamond"/>
    </w:rPr>
  </w:style>
  <w:style w:type="paragraph" w:styleId="IndexHeading">
    <w:name w:val="index heading"/>
    <w:basedOn w:val="Normal"/>
    <w:next w:val="Index1"/>
    <w:semiHidden/>
    <w:rsid w:val="00B97F74"/>
    <w:pPr>
      <w:spacing w:before="120" w:after="120"/>
    </w:pPr>
    <w:rPr>
      <w:rFonts w:ascii="Arial" w:hAnsi="Arial"/>
      <w:b/>
      <w:color w:val="918585"/>
      <w:sz w:val="24"/>
    </w:rPr>
  </w:style>
  <w:style w:type="paragraph" w:styleId="Header">
    <w:name w:val="header"/>
    <w:basedOn w:val="Normal"/>
    <w:link w:val="HeaderChar"/>
    <w:rsid w:val="00B97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7F74"/>
    <w:rPr>
      <w:rFonts w:ascii="Times New Roman" w:eastAsia="Times New Roman" w:hAnsi="Times New Roman" w:cs="Times New Roman"/>
      <w:sz w:val="16"/>
      <w:szCs w:val="20"/>
      <w:lang w:val="en-GB" w:eastAsia="en-US"/>
    </w:rPr>
  </w:style>
  <w:style w:type="paragraph" w:customStyle="1" w:styleId="Chapter">
    <w:name w:val="Chapter"/>
    <w:basedOn w:val="Normal"/>
    <w:rsid w:val="00B97F74"/>
    <w:pPr>
      <w:spacing w:before="240"/>
    </w:pPr>
    <w:rPr>
      <w:rFonts w:ascii="Times New Roman" w:hAnsi="Times New Roman"/>
      <w:smallCaps/>
      <w:spacing w:val="80"/>
      <w:sz w:val="28"/>
    </w:rPr>
  </w:style>
  <w:style w:type="paragraph" w:customStyle="1" w:styleId="InChapter">
    <w:name w:val="InChapter"/>
    <w:basedOn w:val="Heading3"/>
    <w:rsid w:val="00B97F74"/>
    <w:pPr>
      <w:spacing w:after="240"/>
      <w:outlineLvl w:val="9"/>
    </w:pPr>
    <w:rPr>
      <w:noProof/>
    </w:rPr>
  </w:style>
  <w:style w:type="paragraph" w:styleId="Index2">
    <w:name w:val="index 2"/>
    <w:basedOn w:val="Normal"/>
    <w:next w:val="Normal"/>
    <w:semiHidden/>
    <w:rsid w:val="00B97F74"/>
    <w:pPr>
      <w:tabs>
        <w:tab w:val="right" w:pos="4176"/>
      </w:tabs>
      <w:ind w:left="568" w:hanging="284"/>
    </w:pPr>
    <w:rPr>
      <w:rFonts w:ascii="Garamond" w:hAnsi="Garamond"/>
    </w:rPr>
  </w:style>
  <w:style w:type="paragraph" w:customStyle="1" w:styleId="Byline">
    <w:name w:val="Byline"/>
    <w:rsid w:val="00B97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F74"/>
    <w:pPr>
      <w:tabs>
        <w:tab w:val="clear" w:pos="3600"/>
        <w:tab w:val="clear" w:pos="3958"/>
      </w:tabs>
      <w:jc w:val="right"/>
    </w:pPr>
  </w:style>
  <w:style w:type="character" w:styleId="Emphasis">
    <w:name w:val="Emphasis"/>
    <w:qFormat/>
    <w:rsid w:val="00B97F74"/>
    <w:rPr>
      <w:i/>
    </w:rPr>
  </w:style>
  <w:style w:type="paragraph" w:styleId="Caption">
    <w:name w:val="caption"/>
    <w:basedOn w:val="BodyText"/>
    <w:next w:val="Normal"/>
    <w:qFormat/>
    <w:rsid w:val="00B97F74"/>
    <w:pPr>
      <w:framePr w:w="2268" w:hSpace="181" w:vSpace="181" w:wrap="around" w:vAnchor="text" w:hAnchor="page" w:x="1135" w:y="285" w:anchorLock="1"/>
    </w:pPr>
    <w:rPr>
      <w:i/>
    </w:rPr>
  </w:style>
  <w:style w:type="paragraph" w:customStyle="1" w:styleId="MiniTOCTitle">
    <w:name w:val="MiniTOCTitle"/>
    <w:basedOn w:val="Heading4"/>
    <w:rsid w:val="00B97F74"/>
    <w:pPr>
      <w:spacing w:before="240"/>
      <w:outlineLvl w:val="9"/>
    </w:pPr>
    <w:rPr>
      <w:noProof/>
      <w:sz w:val="24"/>
    </w:rPr>
  </w:style>
  <w:style w:type="paragraph" w:customStyle="1" w:styleId="MiniTOCItem">
    <w:name w:val="MiniTOCItem"/>
    <w:basedOn w:val="ListBullet"/>
    <w:rsid w:val="00B97F74"/>
    <w:pPr>
      <w:numPr>
        <w:numId w:val="0"/>
      </w:numPr>
      <w:tabs>
        <w:tab w:val="right" w:leader="dot" w:pos="6521"/>
      </w:tabs>
      <w:spacing w:before="0" w:after="0"/>
    </w:pPr>
  </w:style>
  <w:style w:type="paragraph" w:customStyle="1" w:styleId="TOFTitle">
    <w:name w:val="TOFTitle"/>
    <w:basedOn w:val="TOCTitle"/>
    <w:rsid w:val="00B97F74"/>
  </w:style>
  <w:style w:type="paragraph" w:styleId="TableofFigures">
    <w:name w:val="table of figures"/>
    <w:basedOn w:val="Normal"/>
    <w:next w:val="Normal"/>
    <w:semiHidden/>
    <w:rsid w:val="00B97F74"/>
    <w:pPr>
      <w:tabs>
        <w:tab w:val="right" w:leader="dot" w:pos="9072"/>
      </w:tabs>
      <w:ind w:left="970" w:hanging="403"/>
    </w:pPr>
    <w:rPr>
      <w:rFonts w:ascii="Times New Roman" w:hAnsi="Times New Roman"/>
      <w:b/>
    </w:rPr>
  </w:style>
  <w:style w:type="paragraph" w:styleId="ListNumber">
    <w:name w:val="List Number"/>
    <w:basedOn w:val="List"/>
    <w:rsid w:val="00B97F74"/>
    <w:pPr>
      <w:numPr>
        <w:numId w:val="10"/>
      </w:numPr>
    </w:pPr>
  </w:style>
  <w:style w:type="character" w:customStyle="1" w:styleId="WingdingSymbols">
    <w:name w:val="Wingding Symbols"/>
    <w:rsid w:val="00B97F74"/>
    <w:rPr>
      <w:rFonts w:ascii="Wingdings" w:hAnsi="Wingdings"/>
    </w:rPr>
  </w:style>
  <w:style w:type="paragraph" w:customStyle="1" w:styleId="TableHeading">
    <w:name w:val="Table Heading"/>
    <w:basedOn w:val="HeadingBase"/>
    <w:rsid w:val="00B97F74"/>
    <w:pPr>
      <w:keepLines/>
      <w:pBdr>
        <w:bottom w:val="single" w:sz="6" w:space="1" w:color="918585"/>
      </w:pBdr>
      <w:spacing w:before="240"/>
    </w:pPr>
  </w:style>
  <w:style w:type="character" w:customStyle="1" w:styleId="HotSpot">
    <w:name w:val="HotSpot"/>
    <w:rsid w:val="00B97F74"/>
    <w:rPr>
      <w:color w:val="0033CC"/>
      <w:u w:val="none"/>
    </w:rPr>
  </w:style>
  <w:style w:type="paragraph" w:customStyle="1" w:styleId="BodyTextRight">
    <w:name w:val="Body Text Right"/>
    <w:basedOn w:val="BodyText"/>
    <w:rsid w:val="00B97F74"/>
    <w:pPr>
      <w:spacing w:before="0" w:after="0"/>
      <w:jc w:val="right"/>
    </w:pPr>
  </w:style>
  <w:style w:type="paragraph" w:styleId="Index3">
    <w:name w:val="index 3"/>
    <w:basedOn w:val="ListNumber2"/>
    <w:next w:val="Normal"/>
    <w:semiHidden/>
    <w:rsid w:val="00B97F74"/>
    <w:pPr>
      <w:numPr>
        <w:numId w:val="0"/>
      </w:numPr>
      <w:tabs>
        <w:tab w:val="right" w:leader="dot" w:pos="4176"/>
      </w:tabs>
    </w:pPr>
  </w:style>
  <w:style w:type="paragraph" w:styleId="ListNumber2">
    <w:name w:val="List Number 2"/>
    <w:basedOn w:val="List2"/>
    <w:rsid w:val="00B97F74"/>
    <w:pPr>
      <w:numPr>
        <w:numId w:val="9"/>
      </w:numPr>
      <w:tabs>
        <w:tab w:val="clear" w:pos="1060"/>
      </w:tabs>
    </w:pPr>
  </w:style>
  <w:style w:type="paragraph" w:customStyle="1" w:styleId="MarginNote">
    <w:name w:val="Margin Note"/>
    <w:basedOn w:val="BodyText"/>
    <w:rsid w:val="00B97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7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7F74"/>
    <w:rPr>
      <w:sz w:val="32"/>
    </w:rPr>
  </w:style>
  <w:style w:type="paragraph" w:customStyle="1" w:styleId="HeadingProcedure">
    <w:name w:val="Heading Procedure"/>
    <w:basedOn w:val="HeadingBase"/>
    <w:next w:val="Normal"/>
    <w:rsid w:val="00B97F74"/>
    <w:pPr>
      <w:tabs>
        <w:tab w:val="left" w:pos="0"/>
      </w:tabs>
      <w:spacing w:before="120" w:after="60"/>
    </w:pPr>
    <w:rPr>
      <w:i/>
      <w:color w:val="918585"/>
      <w:sz w:val="22"/>
    </w:rPr>
  </w:style>
  <w:style w:type="paragraph" w:customStyle="1" w:styleId="TableBodyText">
    <w:name w:val="Table Body Text"/>
    <w:basedOn w:val="BodyText"/>
    <w:rsid w:val="00B97F74"/>
    <w:pPr>
      <w:spacing w:before="60" w:after="60"/>
    </w:pPr>
  </w:style>
  <w:style w:type="paragraph" w:styleId="ListContinue">
    <w:name w:val="List Continue"/>
    <w:basedOn w:val="List"/>
    <w:rsid w:val="00B97F74"/>
    <w:pPr>
      <w:ind w:firstLine="0"/>
    </w:pPr>
  </w:style>
  <w:style w:type="paragraph" w:customStyle="1" w:styleId="ListNote">
    <w:name w:val="List Note"/>
    <w:basedOn w:val="List"/>
    <w:rsid w:val="00B97F74"/>
    <w:pPr>
      <w:pBdr>
        <w:top w:val="single" w:sz="6" w:space="2" w:color="918585"/>
        <w:bottom w:val="single" w:sz="6" w:space="2" w:color="918585"/>
      </w:pBdr>
      <w:tabs>
        <w:tab w:val="left" w:pos="1021"/>
      </w:tabs>
      <w:ind w:firstLine="0"/>
    </w:pPr>
  </w:style>
  <w:style w:type="paragraph" w:customStyle="1" w:styleId="Warning">
    <w:name w:val="Warning"/>
    <w:basedOn w:val="BodyText"/>
    <w:rsid w:val="00B97F74"/>
    <w:pPr>
      <w:shd w:val="clear" w:color="auto" w:fill="D9D9D9"/>
      <w:tabs>
        <w:tab w:val="left" w:pos="992"/>
      </w:tabs>
      <w:ind w:left="119" w:right="119"/>
    </w:pPr>
    <w:rPr>
      <w:sz w:val="20"/>
    </w:rPr>
  </w:style>
  <w:style w:type="paragraph" w:customStyle="1" w:styleId="MarginIcons">
    <w:name w:val="Margin Icons"/>
    <w:basedOn w:val="BodyText"/>
    <w:rsid w:val="00B97F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7F74"/>
    <w:rPr>
      <w:rFonts w:ascii="Courier New" w:hAnsi="Courier New"/>
    </w:rPr>
  </w:style>
  <w:style w:type="paragraph" w:customStyle="1" w:styleId="NoteBullet">
    <w:name w:val="Note Bullet"/>
    <w:basedOn w:val="Note"/>
    <w:rsid w:val="00B97F74"/>
    <w:pPr>
      <w:tabs>
        <w:tab w:val="clear" w:pos="680"/>
      </w:tabs>
      <w:spacing w:before="60" w:after="60"/>
    </w:pPr>
  </w:style>
  <w:style w:type="paragraph" w:customStyle="1" w:styleId="SubHeading2">
    <w:name w:val="SubHeading2"/>
    <w:basedOn w:val="HeadingBase"/>
    <w:rsid w:val="00B97F74"/>
    <w:pPr>
      <w:spacing w:before="240" w:after="60"/>
    </w:pPr>
    <w:rPr>
      <w:sz w:val="20"/>
    </w:rPr>
  </w:style>
  <w:style w:type="paragraph" w:customStyle="1" w:styleId="SubHeading1">
    <w:name w:val="SubHeading1"/>
    <w:basedOn w:val="HeadingBase"/>
    <w:rsid w:val="00B97F74"/>
    <w:pPr>
      <w:spacing w:before="240" w:after="60"/>
    </w:pPr>
    <w:rPr>
      <w:color w:val="918585"/>
      <w:sz w:val="22"/>
    </w:rPr>
  </w:style>
  <w:style w:type="paragraph" w:customStyle="1" w:styleId="SideHeading">
    <w:name w:val="Side Heading"/>
    <w:basedOn w:val="HeadingBase"/>
    <w:rsid w:val="00B97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F74"/>
    <w:pPr>
      <w:tabs>
        <w:tab w:val="num" w:pos="360"/>
      </w:tabs>
    </w:pPr>
  </w:style>
  <w:style w:type="paragraph" w:styleId="PlainText">
    <w:name w:val="Plain Text"/>
    <w:basedOn w:val="Normal"/>
    <w:link w:val="PlainTextChar"/>
    <w:rsid w:val="00B97F74"/>
    <w:rPr>
      <w:sz w:val="20"/>
    </w:rPr>
  </w:style>
  <w:style w:type="character" w:customStyle="1" w:styleId="PlainTextChar">
    <w:name w:val="Plain Text Char"/>
    <w:basedOn w:val="DefaultParagraphFont"/>
    <w:link w:val="PlainText"/>
    <w:rsid w:val="00B97F74"/>
    <w:rPr>
      <w:rFonts w:ascii="Courier New" w:eastAsia="Times New Roman" w:hAnsi="Courier New" w:cs="Times New Roman"/>
      <w:sz w:val="20"/>
      <w:szCs w:val="20"/>
      <w:lang w:val="en-US" w:eastAsia="en-US"/>
    </w:rPr>
  </w:style>
  <w:style w:type="character" w:customStyle="1" w:styleId="MenuOption">
    <w:name w:val="Menu Option"/>
    <w:rsid w:val="00B97F74"/>
    <w:rPr>
      <w:b/>
      <w:smallCaps/>
    </w:rPr>
  </w:style>
  <w:style w:type="paragraph" w:customStyle="1" w:styleId="TableListNumber">
    <w:name w:val="Table List Number"/>
    <w:basedOn w:val="ListNumber"/>
    <w:rsid w:val="00B97F74"/>
    <w:pPr>
      <w:numPr>
        <w:numId w:val="0"/>
      </w:numPr>
    </w:pPr>
  </w:style>
  <w:style w:type="paragraph" w:styleId="TOC4">
    <w:name w:val="toc 4"/>
    <w:basedOn w:val="TOCBase"/>
    <w:next w:val="Normal"/>
    <w:semiHidden/>
    <w:rsid w:val="00B97F74"/>
    <w:pPr>
      <w:tabs>
        <w:tab w:val="right" w:leader="dot" w:pos="9071"/>
      </w:tabs>
      <w:ind w:left="1701"/>
    </w:pPr>
  </w:style>
  <w:style w:type="paragraph" w:customStyle="1" w:styleId="ListAlpha">
    <w:name w:val="List Alpha"/>
    <w:basedOn w:val="List"/>
    <w:rsid w:val="00B97F74"/>
    <w:pPr>
      <w:numPr>
        <w:numId w:val="8"/>
      </w:numPr>
    </w:pPr>
  </w:style>
  <w:style w:type="paragraph" w:customStyle="1" w:styleId="ListAlpha2">
    <w:name w:val="List Alpha 2"/>
    <w:basedOn w:val="List2"/>
    <w:rsid w:val="00B97F74"/>
    <w:pPr>
      <w:numPr>
        <w:numId w:val="7"/>
      </w:numPr>
    </w:pPr>
  </w:style>
  <w:style w:type="paragraph" w:styleId="List3">
    <w:name w:val="List 3"/>
    <w:basedOn w:val="BodyText"/>
    <w:rsid w:val="00B97F74"/>
    <w:pPr>
      <w:tabs>
        <w:tab w:val="left" w:pos="1021"/>
      </w:tabs>
      <w:spacing w:before="60" w:after="60"/>
      <w:ind w:left="1020" w:hanging="340"/>
    </w:pPr>
  </w:style>
  <w:style w:type="paragraph" w:styleId="List4">
    <w:name w:val="List 4"/>
    <w:basedOn w:val="BodyText"/>
    <w:rsid w:val="00B97F74"/>
    <w:pPr>
      <w:tabs>
        <w:tab w:val="left" w:pos="1361"/>
      </w:tabs>
      <w:spacing w:before="60" w:after="60"/>
      <w:ind w:left="1361" w:hanging="340"/>
    </w:pPr>
  </w:style>
  <w:style w:type="paragraph" w:styleId="List5">
    <w:name w:val="List 5"/>
    <w:basedOn w:val="BodyText"/>
    <w:rsid w:val="00B97F74"/>
    <w:pPr>
      <w:tabs>
        <w:tab w:val="left" w:pos="1701"/>
      </w:tabs>
      <w:spacing w:before="60" w:after="60"/>
      <w:ind w:left="1701" w:hanging="340"/>
    </w:pPr>
  </w:style>
  <w:style w:type="paragraph" w:styleId="ListBullet3">
    <w:name w:val="List Bullet 3"/>
    <w:basedOn w:val="List3"/>
    <w:rsid w:val="00B97F74"/>
    <w:pPr>
      <w:numPr>
        <w:numId w:val="14"/>
      </w:numPr>
      <w:tabs>
        <w:tab w:val="clear" w:pos="1021"/>
      </w:tabs>
      <w:ind w:left="1037" w:hanging="357"/>
    </w:pPr>
  </w:style>
  <w:style w:type="paragraph" w:styleId="ListBullet4">
    <w:name w:val="List Bullet 4"/>
    <w:basedOn w:val="List4"/>
    <w:rsid w:val="00B97F74"/>
    <w:pPr>
      <w:numPr>
        <w:numId w:val="2"/>
      </w:numPr>
    </w:pPr>
  </w:style>
  <w:style w:type="paragraph" w:styleId="ListBullet5">
    <w:name w:val="List Bullet 5"/>
    <w:basedOn w:val="List5"/>
    <w:rsid w:val="00B97F74"/>
    <w:pPr>
      <w:numPr>
        <w:numId w:val="3"/>
      </w:numPr>
    </w:pPr>
  </w:style>
  <w:style w:type="paragraph" w:styleId="ListContinue2">
    <w:name w:val="List Continue 2"/>
    <w:basedOn w:val="List2"/>
    <w:rsid w:val="00B97F74"/>
    <w:pPr>
      <w:ind w:firstLine="0"/>
    </w:pPr>
  </w:style>
  <w:style w:type="paragraph" w:styleId="ListContinue3">
    <w:name w:val="List Continue 3"/>
    <w:basedOn w:val="List3"/>
    <w:rsid w:val="00B97F74"/>
    <w:pPr>
      <w:ind w:left="1021" w:firstLine="0"/>
    </w:pPr>
  </w:style>
  <w:style w:type="paragraph" w:styleId="ListContinue4">
    <w:name w:val="List Continue 4"/>
    <w:basedOn w:val="List4"/>
    <w:rsid w:val="00B97F74"/>
    <w:pPr>
      <w:ind w:firstLine="0"/>
    </w:pPr>
  </w:style>
  <w:style w:type="paragraph" w:styleId="ListContinue5">
    <w:name w:val="List Continue 5"/>
    <w:basedOn w:val="List5"/>
    <w:rsid w:val="00B97F74"/>
    <w:pPr>
      <w:ind w:firstLine="0"/>
    </w:pPr>
  </w:style>
  <w:style w:type="paragraph" w:styleId="ListNumber3">
    <w:name w:val="List Number 3"/>
    <w:basedOn w:val="List3"/>
    <w:rsid w:val="00B97F74"/>
    <w:pPr>
      <w:numPr>
        <w:numId w:val="4"/>
      </w:numPr>
    </w:pPr>
  </w:style>
  <w:style w:type="paragraph" w:styleId="ListNumber4">
    <w:name w:val="List Number 4"/>
    <w:basedOn w:val="List4"/>
    <w:rsid w:val="00B97F74"/>
    <w:pPr>
      <w:numPr>
        <w:numId w:val="5"/>
      </w:numPr>
    </w:pPr>
  </w:style>
  <w:style w:type="paragraph" w:styleId="ListNumber5">
    <w:name w:val="List Number 5"/>
    <w:basedOn w:val="List5"/>
    <w:rsid w:val="00B97F74"/>
    <w:pPr>
      <w:numPr>
        <w:numId w:val="6"/>
      </w:numPr>
    </w:pPr>
  </w:style>
  <w:style w:type="paragraph" w:styleId="BlockText">
    <w:name w:val="Block Text"/>
    <w:basedOn w:val="Normal"/>
    <w:rsid w:val="00B97F74"/>
    <w:pPr>
      <w:spacing w:after="120"/>
      <w:ind w:left="1440" w:right="1440"/>
    </w:pPr>
  </w:style>
  <w:style w:type="character" w:customStyle="1" w:styleId="Subscript">
    <w:name w:val="Subscript"/>
    <w:rsid w:val="00B97F74"/>
    <w:rPr>
      <w:sz w:val="16"/>
      <w:vertAlign w:val="subscript"/>
    </w:rPr>
  </w:style>
  <w:style w:type="character" w:customStyle="1" w:styleId="Superscript">
    <w:name w:val="Superscript"/>
    <w:rsid w:val="00B97F74"/>
    <w:rPr>
      <w:sz w:val="16"/>
      <w:vertAlign w:val="superscript"/>
    </w:rPr>
  </w:style>
  <w:style w:type="character" w:customStyle="1" w:styleId="Symbols">
    <w:name w:val="Symbols"/>
    <w:rsid w:val="00B97F74"/>
    <w:rPr>
      <w:rFonts w:ascii="Symbol" w:hAnsi="Symbol"/>
    </w:rPr>
  </w:style>
  <w:style w:type="character" w:customStyle="1" w:styleId="MenuOptions">
    <w:name w:val="Menu Options"/>
    <w:rsid w:val="00B97F74"/>
    <w:rPr>
      <w:rFonts w:ascii="Arial Narrow" w:hAnsi="Arial Narrow"/>
      <w:smallCaps/>
    </w:rPr>
  </w:style>
  <w:style w:type="character" w:customStyle="1" w:styleId="Buttons">
    <w:name w:val="Buttons"/>
    <w:rsid w:val="00B97F74"/>
    <w:rPr>
      <w:b/>
    </w:rPr>
  </w:style>
  <w:style w:type="character" w:customStyle="1" w:styleId="Underlined">
    <w:name w:val="Underlined"/>
    <w:rsid w:val="00B97F74"/>
    <w:rPr>
      <w:u w:val="single"/>
    </w:rPr>
  </w:style>
  <w:style w:type="paragraph" w:customStyle="1" w:styleId="TableBodyTextRight">
    <w:name w:val="Table Body Text Right"/>
    <w:basedOn w:val="TableBodyText"/>
    <w:rsid w:val="00B97F74"/>
    <w:pPr>
      <w:widowControl w:val="0"/>
      <w:autoSpaceDE w:val="0"/>
      <w:autoSpaceDN w:val="0"/>
      <w:adjustRightInd w:val="0"/>
      <w:jc w:val="right"/>
    </w:pPr>
    <w:rPr>
      <w:rFonts w:cs="Arial"/>
      <w:szCs w:val="18"/>
    </w:rPr>
  </w:style>
  <w:style w:type="paragraph" w:customStyle="1" w:styleId="CopyrightText">
    <w:name w:val="Copyright Text"/>
    <w:basedOn w:val="BodyText"/>
    <w:rsid w:val="00B97F74"/>
    <w:rPr>
      <w:sz w:val="18"/>
    </w:rPr>
  </w:style>
  <w:style w:type="paragraph" w:customStyle="1" w:styleId="BodySmallRight">
    <w:name w:val="Body Small Right"/>
    <w:basedOn w:val="BodyTextRight"/>
    <w:rsid w:val="00B97F74"/>
    <w:rPr>
      <w:sz w:val="18"/>
      <w:szCs w:val="18"/>
    </w:rPr>
  </w:style>
  <w:style w:type="paragraph" w:customStyle="1" w:styleId="MarginEdition">
    <w:name w:val="Margin Edition"/>
    <w:basedOn w:val="MarginNote"/>
    <w:rsid w:val="00B97F74"/>
    <w:pPr>
      <w:spacing w:before="0" w:after="0"/>
    </w:pPr>
    <w:rPr>
      <w:rFonts w:ascii="Times New Roman" w:hAnsi="Times New Roman"/>
      <w:color w:val="999999"/>
    </w:rPr>
  </w:style>
  <w:style w:type="paragraph" w:customStyle="1" w:styleId="Spacer">
    <w:name w:val="Spacer"/>
    <w:basedOn w:val="Normal"/>
    <w:rsid w:val="00B97F74"/>
    <w:rPr>
      <w:sz w:val="2"/>
      <w:szCs w:val="2"/>
    </w:rPr>
  </w:style>
  <w:style w:type="character" w:customStyle="1" w:styleId="Small">
    <w:name w:val="Small"/>
    <w:rsid w:val="00B97F74"/>
    <w:rPr>
      <w:sz w:val="16"/>
    </w:rPr>
  </w:style>
  <w:style w:type="paragraph" w:customStyle="1" w:styleId="WideTable">
    <w:name w:val="Wide Table"/>
    <w:basedOn w:val="Normal"/>
    <w:rsid w:val="00B97F74"/>
    <w:pPr>
      <w:ind w:left="-1418"/>
    </w:pPr>
    <w:rPr>
      <w:sz w:val="2"/>
      <w:szCs w:val="2"/>
    </w:rPr>
  </w:style>
  <w:style w:type="character" w:styleId="PageNumber">
    <w:name w:val="page number"/>
    <w:rsid w:val="00B97F74"/>
  </w:style>
  <w:style w:type="paragraph" w:styleId="Quote">
    <w:name w:val="Quote"/>
    <w:basedOn w:val="Heading1"/>
    <w:link w:val="QuoteChar"/>
    <w:qFormat/>
    <w:rsid w:val="00B97F74"/>
    <w:rPr>
      <w:b w:val="0"/>
      <w:sz w:val="72"/>
      <w:szCs w:val="72"/>
      <w:lang w:val="en-NZ"/>
    </w:rPr>
  </w:style>
  <w:style w:type="character" w:customStyle="1" w:styleId="QuoteChar">
    <w:name w:val="Quote Char"/>
    <w:link w:val="Quote"/>
    <w:rsid w:val="00B97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F74"/>
    <w:pPr>
      <w:pageBreakBefore/>
    </w:pPr>
  </w:style>
  <w:style w:type="paragraph" w:customStyle="1" w:styleId="Border">
    <w:name w:val="Border"/>
    <w:basedOn w:val="Normal"/>
    <w:qFormat/>
    <w:rsid w:val="00B97F74"/>
    <w:pPr>
      <w:pBdr>
        <w:top w:val="single" w:sz="18" w:space="1" w:color="auto"/>
      </w:pBdr>
    </w:pPr>
    <w:rPr>
      <w:rFonts w:ascii="Times New Roman" w:hAnsi="Times New Roman"/>
      <w:color w:val="FFFFFF"/>
      <w:sz w:val="2"/>
    </w:rPr>
  </w:style>
  <w:style w:type="character" w:styleId="IntenseEmphasis">
    <w:name w:val="Intense Emphasis"/>
    <w:uiPriority w:val="21"/>
    <w:qFormat/>
    <w:rsid w:val="00B97F74"/>
    <w:rPr>
      <w:b/>
      <w:bCs/>
      <w:i/>
      <w:iCs/>
      <w:color w:val="auto"/>
    </w:rPr>
  </w:style>
  <w:style w:type="paragraph" w:styleId="IntenseQuote">
    <w:name w:val="Intense Quote"/>
    <w:basedOn w:val="Normal"/>
    <w:next w:val="Normal"/>
    <w:link w:val="IntenseQuoteChar"/>
    <w:uiPriority w:val="30"/>
    <w:qFormat/>
    <w:rsid w:val="00B97F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7F74"/>
    <w:rPr>
      <w:rFonts w:ascii="Courier New" w:eastAsia="Times New Roman" w:hAnsi="Courier New" w:cs="Times New Roman"/>
      <w:b/>
      <w:bCs/>
      <w:i/>
      <w:iCs/>
      <w:szCs w:val="20"/>
      <w:lang w:val="en-US" w:eastAsia="en-US"/>
    </w:rPr>
  </w:style>
  <w:style w:type="character" w:styleId="SubtleReference">
    <w:name w:val="Subtle Reference"/>
    <w:uiPriority w:val="31"/>
    <w:qFormat/>
    <w:rsid w:val="00B97F74"/>
    <w:rPr>
      <w:smallCaps/>
      <w:color w:val="auto"/>
      <w:u w:val="single"/>
    </w:rPr>
  </w:style>
  <w:style w:type="character" w:styleId="IntenseReference">
    <w:name w:val="Intense Reference"/>
    <w:uiPriority w:val="32"/>
    <w:qFormat/>
    <w:rsid w:val="00B97F74"/>
    <w:rPr>
      <w:b/>
      <w:bCs/>
      <w:smallCaps/>
      <w:color w:val="auto"/>
      <w:spacing w:val="5"/>
      <w:u w:val="single"/>
    </w:rPr>
  </w:style>
  <w:style w:type="paragraph" w:customStyle="1" w:styleId="2ColumnHeading">
    <w:name w:val="2Column Heading"/>
    <w:basedOn w:val="BodyText"/>
    <w:qFormat/>
    <w:rsid w:val="00B97F74"/>
    <w:pPr>
      <w:spacing w:after="60"/>
      <w:ind w:left="-2268"/>
    </w:pPr>
    <w:rPr>
      <w:b/>
    </w:rPr>
  </w:style>
  <w:style w:type="paragraph" w:customStyle="1" w:styleId="Heading1TOC">
    <w:name w:val="Heading1 TOC"/>
    <w:basedOn w:val="Normal"/>
    <w:qFormat/>
    <w:rsid w:val="00B97F74"/>
    <w:pPr>
      <w:spacing w:before="240" w:after="120"/>
    </w:pPr>
    <w:rPr>
      <w:rFonts w:ascii="Times New Roman" w:hAnsi="Times New Roman"/>
      <w:b/>
      <w:sz w:val="32"/>
    </w:rPr>
  </w:style>
  <w:style w:type="paragraph" w:customStyle="1" w:styleId="Heading2TOC">
    <w:name w:val="Heading2 TOC"/>
    <w:basedOn w:val="Normal"/>
    <w:qFormat/>
    <w:rsid w:val="00B97F74"/>
    <w:pPr>
      <w:spacing w:before="240" w:after="60"/>
    </w:pPr>
    <w:rPr>
      <w:rFonts w:ascii="Times New Roman" w:hAnsi="Times New Roman"/>
      <w:b/>
      <w:sz w:val="28"/>
    </w:rPr>
  </w:style>
  <w:style w:type="character" w:customStyle="1" w:styleId="Underline">
    <w:name w:val="Underline"/>
    <w:qFormat/>
    <w:rsid w:val="00B97F74"/>
    <w:rPr>
      <w:u w:val="single"/>
    </w:rPr>
  </w:style>
  <w:style w:type="character" w:customStyle="1" w:styleId="BoldandItalics">
    <w:name w:val="Bold and Italics"/>
    <w:qFormat/>
    <w:rsid w:val="00B97F74"/>
    <w:rPr>
      <w:b/>
      <w:i/>
      <w:u w:val="none"/>
    </w:rPr>
  </w:style>
  <w:style w:type="paragraph" w:styleId="BalloonText">
    <w:name w:val="Balloon Text"/>
    <w:basedOn w:val="Normal"/>
    <w:link w:val="BalloonTextChar"/>
    <w:rsid w:val="00B97F74"/>
    <w:rPr>
      <w:rFonts w:ascii="Tahoma" w:hAnsi="Tahoma" w:cs="Tahoma"/>
      <w:sz w:val="16"/>
      <w:szCs w:val="16"/>
    </w:rPr>
  </w:style>
  <w:style w:type="character" w:customStyle="1" w:styleId="BalloonTextChar">
    <w:name w:val="Balloon Text Char"/>
    <w:link w:val="BalloonText"/>
    <w:rsid w:val="00B97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7F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7F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1052</Words>
  <Characters>6214</Characters>
  <Application>Microsoft Office Word</Application>
  <DocSecurity>0</DocSecurity>
  <Lines>230</Lines>
  <Paragraphs>110</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MEM04007B Pour molten metal</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