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3E5" w:rsidP="001643E5">
      <w:pPr>
        <w:pStyle w:val="Title"/>
      </w:pPr>
      <w:r>
        <w:fldChar w:fldCharType="begin"/>
      </w:r>
      <w:r>
        <w:instrText xml:space="preserve"> TITLE   \* MERGEFORMAT </w:instrText>
      </w:r>
      <w:r>
        <w:fldChar w:fldCharType="separate"/>
      </w:r>
      <w:r>
        <w:t>MEM04004B Prepare and mix sand for metal moulding</w:t>
      </w:r>
      <w:r>
        <w:fldChar w:fldCharType="end"/>
      </w:r>
    </w:p>
    <w:p w:rsidR="001643E5" w:rsidP="001643E5">
      <w:pPr>
        <w:pStyle w:val="Version"/>
        <w:sectPr w:rsidSect="004E5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F00" w:rsidP="004E5F00">
      <w:pPr>
        <w:pStyle w:val="SuperHeading"/>
      </w:pPr>
      <w:r w:rsidRPr="004E5F00">
        <w:t>MEM04004B Prepare and mix sand for metal moulding</w:t>
      </w:r>
    </w:p>
    <w:p w:rsidR="00000000" w:rsidRPr="004E5F00" w:rsidP="004E5F00">
      <w:pPr>
        <w:pStyle w:val="Heading1"/>
      </w:pPr>
      <w:bookmarkStart w:id="1" w:name="O_271976"/>
      <w:bookmarkEnd w:id="1"/>
      <w:r w:rsidRPr="004E5F00">
        <w:t>Modification History</w:t>
      </w:r>
    </w:p>
    <w:p w:rsidR="00000000" w:rsidRPr="004E5F00" w:rsidP="004E5F00">
      <w:pPr>
        <w:pStyle w:val="BodyText"/>
      </w:pPr>
      <w:r w:rsidRPr="004E5F00">
        <w:t>Not Applicable</w:t>
      </w:r>
    </w:p>
    <w:p w:rsidR="00000000" w:rsidRPr="004E5F00" w:rsidP="004E5F00">
      <w:pPr>
        <w:pStyle w:val="AllowPageBreak"/>
      </w:pPr>
    </w:p>
    <w:p w:rsidR="00000000" w:rsidRPr="004E5F00" w:rsidP="004E5F00">
      <w:pPr>
        <w:pStyle w:val="Heading1"/>
      </w:pPr>
      <w:bookmarkStart w:id="2" w:name="O_210270"/>
      <w:bookmarkEnd w:id="2"/>
      <w:r w:rsidRPr="004E5F00">
        <w:t>Unit Descriptor</w:t>
      </w:r>
    </w:p>
    <w:tbl>
      <w:tblPr>
        <w:tblW w:w="0" w:type="auto"/>
        <w:tblLayout w:type="fixed"/>
        <w:tblCellMar>
          <w:left w:w="62" w:type="dxa"/>
          <w:right w:w="62" w:type="dxa"/>
        </w:tblCellMar>
        <w:tblLook w:val="0000"/>
      </w:tblPr>
      <w:tblGrid>
        <w:gridCol w:w="2673"/>
        <w:gridCol w:w="5849"/>
      </w:tblGrid>
      <w:tr w:rsidTr="001643E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t>This unit covers loading up a mixer, mixing the sand, taking test samples and interpreting the result</w:t>
            </w:r>
            <w:r w:rsidRPr="004E5F00">
              <w:t>s, discharging the sand and cleaning the mixer.</w:t>
            </w:r>
          </w:p>
        </w:tc>
      </w:tr>
    </w:tbl>
    <w:p w:rsidR="001643E5" w:rsidP="004E5F00">
      <w:pPr>
        <w:pStyle w:val="BodyText"/>
      </w:pPr>
    </w:p>
    <w:p w:rsidR="001643E5" w:rsidP="004E5F00">
      <w:pPr>
        <w:pStyle w:val="BodyText"/>
      </w:pPr>
    </w:p>
    <w:p w:rsidR="00000000" w:rsidRPr="004E5F00" w:rsidP="004E5F00">
      <w:pPr>
        <w:pStyle w:val="Heading1"/>
      </w:pPr>
      <w:bookmarkStart w:id="3" w:name="O_210274"/>
      <w:bookmarkEnd w:id="3"/>
      <w:r w:rsidRPr="004E5F00">
        <w:t>Application of the Unit</w:t>
      </w:r>
    </w:p>
    <w:tbl>
      <w:tblPr>
        <w:tblW w:w="0" w:type="auto"/>
        <w:tblLayout w:type="fixed"/>
        <w:tblCellMar>
          <w:left w:w="62" w:type="dxa"/>
          <w:right w:w="62" w:type="dxa"/>
        </w:tblCellMar>
        <w:tblLook w:val="0000"/>
      </w:tblPr>
      <w:tblGrid>
        <w:gridCol w:w="2745"/>
        <w:gridCol w:w="5777"/>
      </w:tblGrid>
      <w:tr w:rsidTr="001643E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t>This unit applies to the mixing of moulding sand in continuous and batch type mills.</w:t>
            </w:r>
          </w:p>
          <w:p w:rsidR="00000000" w:rsidRPr="004E5F00" w:rsidP="004E5F00">
            <w:pPr>
              <w:pStyle w:val="BodyText"/>
            </w:pPr>
          </w:p>
          <w:p w:rsidR="00000000" w:rsidRPr="004E5F00" w:rsidP="004E5F00">
            <w:pPr>
              <w:pStyle w:val="BodyText"/>
            </w:pPr>
            <w:r w:rsidRPr="004E5F00">
              <w:rPr>
                <w:rStyle w:val="SpecialBold"/>
              </w:rPr>
              <w:t>Band</w:t>
            </w:r>
            <w:r w:rsidRPr="004E5F00">
              <w:t>:</w:t>
            </w:r>
            <w:r w:rsidRPr="004E5F00">
              <w:tab/>
            </w:r>
            <w:r w:rsidRPr="004E5F00">
              <w:rPr>
                <w:rStyle w:val="SpecialBold"/>
              </w:rPr>
              <w:t>A</w:t>
            </w:r>
          </w:p>
          <w:p w:rsidR="00000000" w:rsidRPr="004E5F00" w:rsidP="004E5F00">
            <w:pPr>
              <w:pStyle w:val="BodyText"/>
            </w:pPr>
            <w:r w:rsidRPr="004E5F00">
              <w:rPr>
                <w:rStyle w:val="SpecialBold"/>
              </w:rPr>
              <w:t>Unit Weight</w:t>
            </w:r>
            <w:r w:rsidRPr="004E5F00">
              <w:t>:</w:t>
            </w:r>
            <w:r w:rsidRPr="004E5F00">
              <w:tab/>
            </w:r>
            <w:r w:rsidRPr="004E5F00">
              <w:rPr>
                <w:rStyle w:val="SpecialBold"/>
              </w:rPr>
              <w:t>4</w:t>
            </w:r>
          </w:p>
        </w:tc>
      </w:tr>
    </w:tbl>
    <w:p w:rsidR="001643E5" w:rsidP="004E5F00">
      <w:pPr>
        <w:pStyle w:val="BodyText"/>
      </w:pPr>
    </w:p>
    <w:p w:rsidR="001643E5" w:rsidP="004E5F00">
      <w:pPr>
        <w:pStyle w:val="BodyText"/>
      </w:pPr>
    </w:p>
    <w:p w:rsidR="00000000" w:rsidRPr="004E5F00" w:rsidP="004E5F00">
      <w:pPr>
        <w:pStyle w:val="Heading1"/>
      </w:pPr>
      <w:bookmarkStart w:id="4" w:name="O_280236"/>
      <w:bookmarkEnd w:id="4"/>
      <w:r w:rsidRPr="004E5F00">
        <w:t>Licensing/Regulatory Information</w:t>
      </w:r>
    </w:p>
    <w:p w:rsidR="00000000" w:rsidRPr="004E5F00" w:rsidP="004E5F00">
      <w:pPr>
        <w:pStyle w:val="BodyText"/>
      </w:pPr>
      <w:r w:rsidRPr="004E5F00">
        <w:t>Not Applicable</w:t>
      </w:r>
    </w:p>
    <w:p w:rsidR="00000000" w:rsidRPr="004E5F00" w:rsidP="004E5F00">
      <w:pPr>
        <w:pStyle w:val="AllowPageBreak"/>
      </w:pPr>
    </w:p>
    <w:p w:rsidR="00000000" w:rsidRPr="004E5F00" w:rsidP="004E5F00">
      <w:pPr>
        <w:pStyle w:val="Heading1"/>
      </w:pPr>
      <w:bookmarkStart w:id="5" w:name="O_210272"/>
      <w:bookmarkEnd w:id="5"/>
      <w:r w:rsidRPr="004E5F00">
        <w:t>Pre-Requisites</w:t>
      </w:r>
    </w:p>
    <w:tbl>
      <w:tblPr>
        <w:tblW w:w="0" w:type="auto"/>
        <w:tblLayout w:type="fixed"/>
        <w:tblCellMar>
          <w:left w:w="62" w:type="dxa"/>
          <w:right w:w="62" w:type="dxa"/>
        </w:tblCellMar>
        <w:tblLook w:val="0000"/>
      </w:tblPr>
      <w:tblGrid>
        <w:gridCol w:w="2775"/>
        <w:gridCol w:w="1295"/>
        <w:gridCol w:w="4452"/>
      </w:tblGrid>
      <w:tr w:rsidTr="001643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p>
        </w:tc>
      </w:tr>
      <w:tr w:rsidTr="001643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p>
        </w:tc>
      </w:tr>
      <w:tr w:rsidTr="001643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p>
        </w:tc>
      </w:tr>
    </w:tbl>
    <w:p w:rsidR="001643E5" w:rsidP="004E5F00">
      <w:pPr>
        <w:pStyle w:val="BodyText"/>
      </w:pPr>
    </w:p>
    <w:p w:rsidR="001643E5" w:rsidP="004E5F00">
      <w:pPr>
        <w:pStyle w:val="BodyText"/>
      </w:pPr>
    </w:p>
    <w:p w:rsidR="00000000" w:rsidRPr="004E5F00" w:rsidP="004E5F00">
      <w:pPr>
        <w:pStyle w:val="Heading1"/>
      </w:pPr>
      <w:bookmarkStart w:id="6" w:name="O_210271"/>
      <w:bookmarkEnd w:id="6"/>
      <w:r w:rsidRPr="004E5F00">
        <w:t>Employability Skills Information</w:t>
      </w:r>
    </w:p>
    <w:tbl>
      <w:tblPr>
        <w:tblW w:w="0" w:type="auto"/>
        <w:tblLayout w:type="fixed"/>
        <w:tblCellMar>
          <w:left w:w="62" w:type="dxa"/>
          <w:right w:w="62" w:type="dxa"/>
        </w:tblCellMar>
        <w:tblLook w:val="0000"/>
      </w:tblPr>
      <w:tblGrid>
        <w:gridCol w:w="2802"/>
        <w:gridCol w:w="5720"/>
      </w:tblGrid>
      <w:tr w:rsidTr="001643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t>This unit contains employability skills.</w:t>
            </w:r>
          </w:p>
        </w:tc>
      </w:tr>
    </w:tbl>
    <w:p w:rsidR="001643E5" w:rsidP="004E5F00">
      <w:pPr>
        <w:pStyle w:val="BodyText"/>
      </w:pPr>
    </w:p>
    <w:p w:rsidR="001643E5" w:rsidP="004E5F00">
      <w:pPr>
        <w:pStyle w:val="BodyText"/>
      </w:pPr>
    </w:p>
    <w:p w:rsidR="00000000" w:rsidRPr="004E5F00" w:rsidP="004E5F00">
      <w:pPr>
        <w:pStyle w:val="Heading1"/>
      </w:pPr>
      <w:bookmarkStart w:id="7" w:name="O_290022"/>
      <w:bookmarkEnd w:id="7"/>
      <w:r w:rsidRPr="004E5F00">
        <w:t>Elements and Performance Criteria Pre-Content</w:t>
      </w:r>
    </w:p>
    <w:tbl>
      <w:tblPr>
        <w:tblW w:w="0" w:type="auto"/>
        <w:tblLayout w:type="fixed"/>
        <w:tblCellMar>
          <w:left w:w="62" w:type="dxa"/>
          <w:right w:w="62" w:type="dxa"/>
        </w:tblCellMar>
        <w:tblLook w:val="0000"/>
      </w:tblPr>
      <w:tblGrid>
        <w:gridCol w:w="2568"/>
        <w:gridCol w:w="5954"/>
      </w:tblGrid>
      <w:tr w:rsidTr="001643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t>Performance criteria describe the performance needed to demonstrate achievement of the element. Where bold italicised text is used, further info</w:t>
            </w:r>
            <w:r w:rsidRPr="004E5F00">
              <w:t>rmation is detailed in the required skills and knowledge section and the range statement. Assessment of performance is to be consistent with the evidence guide.</w:t>
            </w:r>
          </w:p>
        </w:tc>
      </w:tr>
    </w:tbl>
    <w:p w:rsidR="00000000" w:rsidRPr="004E5F00" w:rsidP="004E5F00">
      <w:pPr>
        <w:pStyle w:val="BodyText"/>
      </w:pPr>
    </w:p>
    <w:p w:rsidR="00000000" w:rsidRPr="004E5F00" w:rsidP="004E5F00">
      <w:pPr>
        <w:pStyle w:val="AllowPageBreak"/>
      </w:pPr>
    </w:p>
    <w:p w:rsidR="00000000" w:rsidRPr="004E5F00" w:rsidP="004E5F00">
      <w:pPr>
        <w:pStyle w:val="Heading1"/>
      </w:pPr>
      <w:bookmarkStart w:id="8" w:name="O_236689"/>
      <w:bookmarkEnd w:id="8"/>
      <w:r w:rsidRPr="004E5F00">
        <w:t>Elements and Performance Criteria</w:t>
      </w:r>
    </w:p>
    <w:tbl>
      <w:tblPr>
        <w:tblW w:w="0" w:type="auto"/>
        <w:tblLayout w:type="fixed"/>
        <w:tblCellMar>
          <w:left w:w="62" w:type="dxa"/>
          <w:right w:w="62" w:type="dxa"/>
        </w:tblCellMar>
        <w:tblLook w:val="0000"/>
      </w:tblPr>
      <w:tblGrid>
        <w:gridCol w:w="2568"/>
        <w:gridCol w:w="5954"/>
      </w:tblGrid>
      <w:tr w:rsidTr="001643E5">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PERFORMANCE CRITERIA</w:t>
            </w:r>
          </w:p>
        </w:tc>
      </w:tr>
      <w:tr w:rsidTr="001643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List"/>
              <w:rPr>
                <w:lang w:val="en-NZ"/>
              </w:rPr>
            </w:pPr>
            <w:r w:rsidRPr="004E5F00">
              <w:t>1.</w:t>
            </w:r>
            <w:r w:rsidRPr="004E5F00">
              <w:tab/>
            </w:r>
            <w:r w:rsidRPr="004E5F00">
              <w:t>Load mixer (mill/muller)</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List2"/>
            </w:pPr>
            <w:r w:rsidRPr="004E5F00">
              <w:t>1.1.</w:t>
            </w:r>
            <w:r w:rsidRPr="004E5F00">
              <w:tab/>
              <w:t>All pre start-up checks are performed safely and according to standard operating procedures.</w:t>
            </w:r>
          </w:p>
          <w:p w:rsidR="00000000" w:rsidRPr="004E5F00" w:rsidP="004E5F00">
            <w:pPr>
              <w:pStyle w:val="List2"/>
            </w:pPr>
            <w:r w:rsidRPr="004E5F00">
              <w:t>1.2.</w:t>
            </w:r>
            <w:r w:rsidRPr="004E5F00">
              <w:tab/>
              <w:t>Formula for sand mix is determined according to standard operating procedures.</w:t>
            </w:r>
          </w:p>
          <w:p w:rsidR="00000000" w:rsidP="004E5F00">
            <w:pPr>
              <w:pStyle w:val="List2"/>
              <w:rPr>
                <w:lang w:val="en-NZ"/>
              </w:rPr>
            </w:pPr>
            <w:r w:rsidRPr="004E5F00">
              <w:t>1.3.</w:t>
            </w:r>
            <w:r w:rsidRPr="004E5F00">
              <w:tab/>
              <w:t xml:space="preserve">Materials are measured and loaded according </w:t>
            </w:r>
            <w:r w:rsidRPr="004E5F00">
              <w:t>to formula specification.</w:t>
            </w:r>
          </w:p>
        </w:tc>
      </w:tr>
      <w:tr w:rsidTr="001643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List"/>
              <w:rPr>
                <w:lang w:val="en-NZ"/>
              </w:rPr>
            </w:pPr>
            <w:r w:rsidRPr="004E5F00">
              <w:t>2.</w:t>
            </w:r>
            <w:r w:rsidRPr="004E5F00">
              <w:tab/>
              <w:t>Mix sand</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List2"/>
            </w:pPr>
            <w:r w:rsidRPr="004E5F00">
              <w:t>2.1.</w:t>
            </w:r>
            <w:r w:rsidRPr="004E5F00">
              <w:tab/>
              <w:t>Sand is mixed for correct time to specifications.</w:t>
            </w:r>
          </w:p>
          <w:p w:rsidR="00000000" w:rsidRPr="004E5F00" w:rsidP="004E5F00">
            <w:pPr>
              <w:pStyle w:val="List2"/>
            </w:pPr>
            <w:r w:rsidRPr="004E5F00">
              <w:t>2.2.</w:t>
            </w:r>
            <w:r w:rsidRPr="004E5F00">
              <w:tab/>
              <w:t>The performance of mixer and the condition of the sand is monitored.</w:t>
            </w:r>
          </w:p>
          <w:p w:rsidR="00000000" w:rsidRPr="004E5F00" w:rsidP="004E5F00">
            <w:pPr>
              <w:pStyle w:val="List2"/>
            </w:pPr>
            <w:r w:rsidRPr="004E5F00">
              <w:t>2.3.</w:t>
            </w:r>
            <w:r w:rsidRPr="004E5F00">
              <w:tab/>
              <w:t xml:space="preserve">Material supply is maintained. </w:t>
            </w:r>
          </w:p>
          <w:p w:rsidR="00000000" w:rsidP="004E5F00">
            <w:pPr>
              <w:pStyle w:val="List2"/>
              <w:rPr>
                <w:lang w:val="en-NZ"/>
              </w:rPr>
            </w:pPr>
            <w:r w:rsidRPr="004E5F00">
              <w:t>2.4.</w:t>
            </w:r>
            <w:r w:rsidRPr="004E5F00">
              <w:tab/>
              <w:t>Faults are reported.</w:t>
            </w:r>
          </w:p>
        </w:tc>
      </w:tr>
      <w:tr w:rsidTr="001643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List"/>
              <w:rPr>
                <w:lang w:val="en-NZ"/>
              </w:rPr>
            </w:pPr>
            <w:r w:rsidRPr="004E5F00">
              <w:t>3.</w:t>
            </w:r>
            <w:r w:rsidRPr="004E5F00">
              <w:tab/>
              <w:t>Take and test samples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List2"/>
            </w:pPr>
            <w:r w:rsidRPr="004E5F00">
              <w:t>3.1.</w:t>
            </w:r>
            <w:r w:rsidRPr="004E5F00">
              <w:tab/>
              <w:t>Sample is correctly extracted.</w:t>
            </w:r>
          </w:p>
          <w:p w:rsidR="00000000" w:rsidRPr="004E5F00" w:rsidP="004E5F00">
            <w:pPr>
              <w:pStyle w:val="List2"/>
            </w:pPr>
            <w:r w:rsidRPr="004E5F00">
              <w:t>3.2.</w:t>
            </w:r>
            <w:r w:rsidRPr="004E5F00">
              <w:tab/>
              <w:t>Test is applied in accordance with standard operating procedures.</w:t>
            </w:r>
          </w:p>
          <w:p w:rsidR="00000000" w:rsidRPr="004E5F00" w:rsidP="004E5F00">
            <w:pPr>
              <w:pStyle w:val="List2"/>
            </w:pPr>
            <w:r w:rsidRPr="004E5F00">
              <w:t>3.3.</w:t>
            </w:r>
            <w:r w:rsidRPr="004E5F00">
              <w:tab/>
              <w:t>Test results are compared against specifications.</w:t>
            </w:r>
          </w:p>
          <w:p w:rsidR="00000000" w:rsidP="004E5F00">
            <w:pPr>
              <w:pStyle w:val="List2"/>
              <w:rPr>
                <w:lang w:val="en-NZ"/>
              </w:rPr>
            </w:pPr>
            <w:r w:rsidRPr="004E5F00">
              <w:t>3.4.</w:t>
            </w:r>
            <w:r w:rsidRPr="004E5F00">
              <w:tab/>
              <w:t>Adjustments to formula/mix are made as required in accordance with standard operating pr</w:t>
            </w:r>
            <w:r w:rsidRPr="004E5F00">
              <w:t>ocedures.</w:t>
            </w:r>
          </w:p>
        </w:tc>
      </w:tr>
      <w:tr w:rsidTr="001643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List"/>
              <w:rPr>
                <w:lang w:val="en-NZ"/>
              </w:rPr>
            </w:pPr>
            <w:r w:rsidRPr="004E5F00">
              <w:t>4.</w:t>
            </w:r>
            <w:r w:rsidRPr="004E5F00">
              <w:tab/>
              <w:t>Discharge mixture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List2"/>
            </w:pPr>
            <w:r w:rsidRPr="004E5F00">
              <w:t>4.1.</w:t>
            </w:r>
            <w:r w:rsidRPr="004E5F00">
              <w:tab/>
              <w:t>Load is charged correctly according to standard operating procedures.</w:t>
            </w:r>
          </w:p>
          <w:p w:rsidR="00000000" w:rsidP="004E5F00">
            <w:pPr>
              <w:pStyle w:val="List2"/>
              <w:rPr>
                <w:lang w:val="en-NZ"/>
              </w:rPr>
            </w:pPr>
            <w:r w:rsidRPr="004E5F00">
              <w:t>4.2.</w:t>
            </w:r>
            <w:r w:rsidRPr="004E5F00">
              <w:tab/>
              <w:t>Unwanted treated sand is disposed of according to standard operating procedures.</w:t>
            </w:r>
          </w:p>
        </w:tc>
      </w:tr>
      <w:tr w:rsidTr="001643E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List"/>
              <w:rPr>
                <w:lang w:val="en-NZ"/>
              </w:rPr>
            </w:pPr>
            <w:r w:rsidRPr="004E5F00">
              <w:t>5.</w:t>
            </w:r>
            <w:r w:rsidRPr="004E5F00">
              <w:tab/>
              <w:t>Clean mixer</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List2"/>
            </w:pPr>
            <w:r w:rsidRPr="004E5F00">
              <w:t>5.1.</w:t>
            </w:r>
            <w:r w:rsidRPr="004E5F00">
              <w:tab/>
              <w:t xml:space="preserve">Mixer is shut down to standard safety and </w:t>
            </w:r>
            <w:r w:rsidRPr="004E5F00">
              <w:t>operating procedures.</w:t>
            </w:r>
          </w:p>
          <w:p w:rsidR="00000000" w:rsidRPr="004E5F00" w:rsidP="004E5F00">
            <w:pPr>
              <w:pStyle w:val="List2"/>
            </w:pPr>
            <w:r w:rsidRPr="004E5F00">
              <w:t>5.2.</w:t>
            </w:r>
            <w:r w:rsidRPr="004E5F00">
              <w:tab/>
              <w:t>Mixer is cleaned according to standard operating procedures.</w:t>
            </w:r>
          </w:p>
        </w:tc>
      </w:tr>
    </w:tbl>
    <w:p w:rsidR="001643E5" w:rsidP="004E5F00">
      <w:pPr>
        <w:pStyle w:val="BodyText"/>
      </w:pPr>
    </w:p>
    <w:p w:rsidR="001643E5" w:rsidP="004E5F00">
      <w:pPr>
        <w:pStyle w:val="BodyText"/>
      </w:pPr>
    </w:p>
    <w:p w:rsidR="00000000" w:rsidRPr="004E5F00" w:rsidP="004E5F00">
      <w:pPr>
        <w:pStyle w:val="Heading1"/>
      </w:pPr>
      <w:bookmarkStart w:id="9" w:name="O_260639"/>
      <w:bookmarkEnd w:id="9"/>
      <w:r w:rsidRPr="004E5F00">
        <w:t>Required Skills and Knowledge</w:t>
      </w:r>
    </w:p>
    <w:tbl>
      <w:tblPr>
        <w:tblW w:w="0" w:type="auto"/>
        <w:tblLayout w:type="fixed"/>
        <w:tblCellMar>
          <w:left w:w="62" w:type="dxa"/>
          <w:right w:w="62" w:type="dxa"/>
        </w:tblCellMar>
        <w:tblLook w:val="0000"/>
      </w:tblPr>
      <w:tblGrid>
        <w:gridCol w:w="8522"/>
      </w:tblGrid>
      <w:tr w:rsidTr="001643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REQUIRED SKILLS AND KNOWLEDGE</w:t>
            </w:r>
          </w:p>
        </w:tc>
      </w:tr>
      <w:tr w:rsidTr="001643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t>This section describes the skills and knowledge required for this unit.</w:t>
            </w:r>
          </w:p>
        </w:tc>
      </w:tr>
      <w:tr w:rsidTr="00164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Required skills</w:t>
            </w:r>
          </w:p>
        </w:tc>
      </w:tr>
      <w:tr w:rsidTr="00164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t>Look for evidence that confirms skills in:</w:t>
            </w:r>
          </w:p>
          <w:p w:rsidR="00000000" w:rsidRPr="004E5F00" w:rsidP="004E5F00">
            <w:pPr>
              <w:pStyle w:val="ListBullet"/>
            </w:pPr>
            <w:r w:rsidRPr="004E5F00">
              <w:t>reading and following written instructions and standard operating procedures</w:t>
            </w:r>
          </w:p>
          <w:p w:rsidR="00000000" w:rsidRPr="004E5F00" w:rsidP="004E5F00">
            <w:pPr>
              <w:pStyle w:val="ListBullet"/>
            </w:pPr>
            <w:r w:rsidRPr="004E5F00">
              <w:t>setting parameters for mixing</w:t>
            </w:r>
          </w:p>
          <w:p w:rsidR="00000000" w:rsidRPr="004E5F00" w:rsidP="004E5F00">
            <w:pPr>
              <w:pStyle w:val="ListBullet"/>
            </w:pPr>
            <w:r w:rsidRPr="004E5F00">
              <w:t xml:space="preserve">loading mixers </w:t>
            </w:r>
          </w:p>
          <w:p w:rsidR="00000000" w:rsidRPr="004E5F00" w:rsidP="004E5F00">
            <w:pPr>
              <w:pStyle w:val="ListBullet"/>
            </w:pPr>
            <w:r w:rsidRPr="004E5F00">
              <w:t>mixing sand and monitoring the process</w:t>
            </w:r>
          </w:p>
          <w:p w:rsidR="00000000" w:rsidRPr="004E5F00" w:rsidP="004E5F00">
            <w:pPr>
              <w:pStyle w:val="ListBullet"/>
            </w:pPr>
            <w:r w:rsidRPr="004E5F00">
              <w:t xml:space="preserve">sampling and testing mixed sand </w:t>
            </w:r>
          </w:p>
          <w:p w:rsidR="00000000" w:rsidRPr="004E5F00" w:rsidP="004E5F00">
            <w:pPr>
              <w:pStyle w:val="ListBullet"/>
            </w:pPr>
            <w:r w:rsidRPr="004E5F00">
              <w:t>discharging sand</w:t>
            </w:r>
          </w:p>
          <w:p w:rsidR="00000000" w:rsidRPr="004E5F00" w:rsidP="004E5F00">
            <w:pPr>
              <w:pStyle w:val="ListBullet"/>
            </w:pPr>
            <w:r w:rsidRPr="004E5F00">
              <w:t>closing down and cleaning</w:t>
            </w:r>
          </w:p>
          <w:p w:rsidR="00000000" w:rsidP="004E5F00">
            <w:pPr>
              <w:pStyle w:val="ListBullet"/>
              <w:rPr>
                <w:lang w:val="en-NZ"/>
              </w:rPr>
            </w:pPr>
            <w:r w:rsidRPr="004E5F00">
              <w:t>using measurement skills for preparing and mixing sand within the scope of this unit</w:t>
            </w:r>
          </w:p>
        </w:tc>
      </w:tr>
      <w:tr w:rsidTr="00164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Required knowledge</w:t>
            </w:r>
          </w:p>
        </w:tc>
      </w:tr>
      <w:tr w:rsidTr="00164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t>Look for evidence that confirms knowledge of:</w:t>
            </w:r>
          </w:p>
          <w:p w:rsidR="00000000" w:rsidRPr="004E5F00" w:rsidP="004E5F00">
            <w:pPr>
              <w:pStyle w:val="ListBullet"/>
            </w:pPr>
            <w:r w:rsidRPr="004E5F00">
              <w:t>characteristics, safe handling procedure and mixture applic</w:t>
            </w:r>
            <w:r w:rsidRPr="004E5F00">
              <w:t xml:space="preserve">ations of sand and binding agent </w:t>
            </w:r>
          </w:p>
          <w:p w:rsidR="00000000" w:rsidRPr="004E5F00" w:rsidP="004E5F00">
            <w:pPr>
              <w:pStyle w:val="ListBullet"/>
            </w:pPr>
            <w:r w:rsidRPr="004E5F00">
              <w:t xml:space="preserve">moulding requirements </w:t>
            </w:r>
          </w:p>
          <w:p w:rsidR="00000000" w:rsidRPr="004E5F00" w:rsidP="004E5F00">
            <w:pPr>
              <w:pStyle w:val="ListBullet"/>
            </w:pPr>
            <w:r w:rsidRPr="004E5F00">
              <w:t xml:space="preserve">mixers, applications, loading, operating and unloading procedures </w:t>
            </w:r>
          </w:p>
          <w:p w:rsidR="00000000" w:rsidRPr="004E5F00" w:rsidP="004E5F00">
            <w:pPr>
              <w:pStyle w:val="ListBullet"/>
            </w:pPr>
            <w:r w:rsidRPr="004E5F00">
              <w:t>volumes, quantities, ratios and percentages</w:t>
            </w:r>
          </w:p>
          <w:p w:rsidR="00000000" w:rsidRPr="004E5F00" w:rsidP="004E5F00">
            <w:pPr>
              <w:pStyle w:val="ListBullet"/>
            </w:pPr>
            <w:r w:rsidRPr="004E5F00">
              <w:t>sampling, testing and acceptance criteria for mixed sand</w:t>
            </w:r>
          </w:p>
          <w:p w:rsidR="00000000" w:rsidRPr="004E5F00" w:rsidP="004E5F00">
            <w:pPr>
              <w:pStyle w:val="ListBullet"/>
            </w:pPr>
            <w:r w:rsidRPr="004E5F00">
              <w:t>procedures for cleaning and shutting down mixer</w:t>
            </w:r>
          </w:p>
          <w:p w:rsidR="00000000" w:rsidRPr="004E5F00" w:rsidP="004E5F00">
            <w:pPr>
              <w:pStyle w:val="ListBullet"/>
            </w:pPr>
            <w:r w:rsidRPr="004E5F00">
              <w:t xml:space="preserve">environmental requirements for the disposal of unwanted sand </w:t>
            </w:r>
          </w:p>
          <w:p w:rsidR="00000000" w:rsidRPr="004E5F00" w:rsidP="004E5F00">
            <w:pPr>
              <w:pStyle w:val="ListBullet"/>
            </w:pPr>
            <w:r w:rsidRPr="004E5F00">
              <w:t xml:space="preserve">use and application of personal protective equipment </w:t>
            </w:r>
          </w:p>
          <w:p w:rsidR="00000000" w:rsidRPr="004E5F00" w:rsidP="004E5F00">
            <w:pPr>
              <w:pStyle w:val="ListBullet"/>
            </w:pPr>
            <w:r w:rsidRPr="004E5F00">
              <w:t>safe work practices and procedures</w:t>
            </w:r>
          </w:p>
          <w:p w:rsidR="00000000" w:rsidRPr="004E5F00" w:rsidP="004E5F00">
            <w:pPr>
              <w:pStyle w:val="ListBullet"/>
            </w:pPr>
            <w:r w:rsidRPr="004E5F00">
              <w:t>hazards and control measures related to preparing and mix</w:t>
            </w:r>
            <w:r w:rsidRPr="004E5F00">
              <w:t>ing sand for metal moulding</w:t>
            </w:r>
          </w:p>
        </w:tc>
      </w:tr>
    </w:tbl>
    <w:p w:rsidR="001643E5" w:rsidP="004E5F00">
      <w:pPr>
        <w:pStyle w:val="BodyText"/>
      </w:pPr>
    </w:p>
    <w:p w:rsidR="001643E5" w:rsidP="004E5F00">
      <w:pPr>
        <w:pStyle w:val="BodyText"/>
      </w:pPr>
    </w:p>
    <w:p w:rsidR="00000000" w:rsidRPr="004E5F00" w:rsidP="004E5F00">
      <w:pPr>
        <w:pStyle w:val="AllowPageBreak"/>
      </w:pPr>
    </w:p>
    <w:p w:rsidR="00000000" w:rsidRPr="004E5F00" w:rsidP="004E5F00">
      <w:pPr>
        <w:pStyle w:val="Heading1"/>
      </w:pPr>
      <w:bookmarkStart w:id="10" w:name="O_244673"/>
      <w:bookmarkEnd w:id="10"/>
      <w:r w:rsidRPr="004E5F00">
        <w:t>Evidence Guide</w:t>
      </w:r>
    </w:p>
    <w:tbl>
      <w:tblPr>
        <w:tblW w:w="9570" w:type="dxa"/>
        <w:tblLayout w:type="fixed"/>
        <w:tblCellMar>
          <w:left w:w="62" w:type="dxa"/>
          <w:right w:w="62" w:type="dxa"/>
        </w:tblCellMar>
        <w:tblLook w:val="0000"/>
      </w:tblPr>
      <w:tblGrid>
        <w:gridCol w:w="3908"/>
        <w:gridCol w:w="5662"/>
      </w:tblGrid>
      <w:tr w:rsidTr="001643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EVIDENCE GUIDE</w:t>
            </w:r>
          </w:p>
        </w:tc>
      </w:tr>
      <w:tr w:rsidTr="001643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t xml:space="preserve">The evidence guide provides advice on assessment and must be read in conjunction with the performance criteria, required skills and knowledge, </w:t>
            </w:r>
            <w:r w:rsidRPr="004E5F00">
              <w:t>range statement and the Assessment Guidelines for the Training Package.</w:t>
            </w:r>
          </w:p>
        </w:tc>
      </w:tr>
      <w:tr w:rsidTr="00164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t xml:space="preserve">A person who demonstrates competency in this unit must be able to prepare and mix moulding sand. </w:t>
            </w:r>
          </w:p>
        </w:tc>
      </w:tr>
      <w:tr w:rsidTr="00164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t>Assessors must be satisfied that the candidate can competently and consistently perform all elements of the unit as specified by the criteria, including required k</w:t>
            </w:r>
            <w:r w:rsidRPr="004E5F00">
              <w:t>nowledge, and be capable of applying the competency in new and different situations and contexts.</w:t>
            </w:r>
          </w:p>
        </w:tc>
      </w:tr>
      <w:tr w:rsidTr="00164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t>This unit may be assessed on the job, off the job or a combination of both on and off the job. Where assessm</w:t>
            </w:r>
            <w:r w:rsidRPr="004E5F00">
              <w:t>ent occurs off the job, that is the candidate is not in productive work, then an appropriate simulation must be used where the range of conditions reflects realistic workplace situations. The competencies covered by this unit would be demonstrated by an in</w:t>
            </w:r>
            <w:r w:rsidRPr="004E5F00">
              <w:t>dividual working alone or as part of a team. The assessment environment should not disadvantage the candidate.</w:t>
            </w:r>
          </w:p>
          <w:p w:rsidR="00000000" w:rsidP="004E5F00">
            <w:pPr>
              <w:pStyle w:val="BodyText"/>
              <w:rPr>
                <w:lang w:val="en-NZ"/>
              </w:rPr>
            </w:pPr>
            <w:r w:rsidRPr="004E5F00">
              <w:t xml:space="preserve">This unit could be assessed in conjunction with any other units addressing the safety, quality, communication, materials handling, recording and </w:t>
            </w:r>
            <w:r w:rsidRPr="004E5F00">
              <w:t>reporting associated with mixing moulding sand or other units requiring the exercise of the skills and knowledge covered by this unit.</w:t>
            </w:r>
          </w:p>
        </w:tc>
      </w:tr>
      <w:tr w:rsidTr="00164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t>Assessors should gather a range of evidence that is valid, sufficient, current and authentic. Evide</w:t>
            </w:r>
            <w:r w:rsidRPr="004E5F00">
              <w:t xml:space="preserve">nce can be gathered through a variety of ways including direct observation, supervisor's reports, project work, samples and questioning. Questioning techniques should not require language, literacy and numeracy skills beyond those required in this unit of </w:t>
            </w:r>
            <w:r w:rsidRPr="004E5F00">
              <w:t>competency. The candidate must have access to all tools, equipment, materials and documentation required. The candidate must be permitted to refer to any relevant workplace procedures, product and manufacturing specifications, codes, standards, manuals and</w:t>
            </w:r>
            <w:r w:rsidRPr="004E5F00">
              <w:t xml:space="preserve"> reference materials.</w:t>
            </w:r>
          </w:p>
        </w:tc>
      </w:tr>
      <w:tr w:rsidTr="00164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p>
        </w:tc>
      </w:tr>
    </w:tbl>
    <w:p w:rsidR="001643E5" w:rsidP="004E5F00">
      <w:pPr>
        <w:pStyle w:val="BodyText"/>
      </w:pPr>
    </w:p>
    <w:p w:rsidR="001643E5" w:rsidP="004E5F00">
      <w:pPr>
        <w:pStyle w:val="BodyText"/>
      </w:pPr>
    </w:p>
    <w:p w:rsidR="00000000" w:rsidRPr="004E5F00" w:rsidP="004E5F00">
      <w:pPr>
        <w:pStyle w:val="Heading1"/>
      </w:pPr>
      <w:bookmarkStart w:id="11" w:name="O_252656"/>
      <w:bookmarkEnd w:id="11"/>
      <w:r w:rsidRPr="004E5F00">
        <w:t>Range Statement</w:t>
      </w:r>
    </w:p>
    <w:tbl>
      <w:tblPr>
        <w:tblW w:w="0" w:type="auto"/>
        <w:tblLayout w:type="fixed"/>
        <w:tblCellMar>
          <w:left w:w="62" w:type="dxa"/>
          <w:right w:w="62" w:type="dxa"/>
        </w:tblCellMar>
        <w:tblLook w:val="0000"/>
      </w:tblPr>
      <w:tblGrid>
        <w:gridCol w:w="3505"/>
        <w:gridCol w:w="5017"/>
      </w:tblGrid>
      <w:tr w:rsidTr="001643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RANGE STATEMENT</w:t>
            </w:r>
          </w:p>
        </w:tc>
      </w:tr>
      <w:tr w:rsidTr="001643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t xml:space="preserve">The range statement relates to the unit of competency as a whole. It allows for different work environments and situations that may affect </w:t>
            </w:r>
            <w:r w:rsidRPr="004E5F00">
              <w:t>performance. Bold italicised wording, if used in the performance criteria, is detailed below. Essential operating conditions that may be present with training and assessment (depending on the work situation, needs of the candidate, accessibility of the ite</w:t>
            </w:r>
            <w:r w:rsidRPr="004E5F00">
              <w:t>m, and local industry and regional contexts) may also be included.</w:t>
            </w:r>
          </w:p>
        </w:tc>
      </w:tr>
      <w:tr w:rsidTr="001643E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Materials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t>Sand, silica, zircon, chromite, mixtures, water</w:t>
            </w:r>
          </w:p>
        </w:tc>
      </w:tr>
      <w:tr w:rsidTr="001643E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Faults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t>Chemical ratios - acid, binder, water</w:t>
            </w:r>
          </w:p>
        </w:tc>
      </w:tr>
      <w:tr w:rsidTr="001643E5">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Mixer</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t>Batch and continuous mixers</w:t>
            </w:r>
          </w:p>
        </w:tc>
      </w:tr>
    </w:tbl>
    <w:p w:rsidR="001643E5" w:rsidP="004E5F00">
      <w:pPr>
        <w:pStyle w:val="BodyText"/>
      </w:pPr>
    </w:p>
    <w:p w:rsidR="001643E5" w:rsidP="004E5F00">
      <w:pPr>
        <w:pStyle w:val="BodyText"/>
      </w:pPr>
    </w:p>
    <w:p w:rsidR="00000000" w:rsidRPr="004E5F00" w:rsidP="004E5F00">
      <w:pPr>
        <w:pStyle w:val="Heading1"/>
      </w:pPr>
      <w:bookmarkStart w:id="12" w:name="O_210276"/>
      <w:bookmarkEnd w:id="12"/>
      <w:r w:rsidRPr="004E5F00">
        <w:t>Unit Sector(s)</w:t>
      </w:r>
    </w:p>
    <w:tbl>
      <w:tblPr>
        <w:tblW w:w="0" w:type="auto"/>
        <w:tblLayout w:type="fixed"/>
        <w:tblCellMar>
          <w:left w:w="62" w:type="dxa"/>
          <w:right w:w="62" w:type="dxa"/>
        </w:tblCellMar>
        <w:tblLook w:val="0000"/>
      </w:tblPr>
      <w:tblGrid>
        <w:gridCol w:w="2654"/>
        <w:gridCol w:w="5868"/>
      </w:tblGrid>
      <w:tr w:rsidTr="001643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p>
        </w:tc>
      </w:tr>
    </w:tbl>
    <w:p w:rsidR="001643E5" w:rsidP="004E5F00">
      <w:pPr>
        <w:pStyle w:val="BodyText"/>
      </w:pPr>
    </w:p>
    <w:p w:rsidR="001643E5" w:rsidP="004E5F00">
      <w:pPr>
        <w:pStyle w:val="BodyText"/>
      </w:pPr>
    </w:p>
    <w:p w:rsidR="00000000" w:rsidRPr="004E5F00" w:rsidP="004E5F00">
      <w:pPr>
        <w:pStyle w:val="Heading1"/>
      </w:pPr>
      <w:bookmarkStart w:id="13" w:name="O_210273"/>
      <w:bookmarkEnd w:id="13"/>
      <w:r w:rsidRPr="004E5F00">
        <w:t>Co-requisite units</w:t>
      </w:r>
    </w:p>
    <w:tbl>
      <w:tblPr>
        <w:tblW w:w="0" w:type="auto"/>
        <w:tblLayout w:type="fixed"/>
        <w:tblCellMar>
          <w:left w:w="62" w:type="dxa"/>
          <w:right w:w="62" w:type="dxa"/>
        </w:tblCellMar>
        <w:tblLook w:val="0000"/>
      </w:tblPr>
      <w:tblGrid>
        <w:gridCol w:w="2641"/>
        <w:gridCol w:w="1322"/>
        <w:gridCol w:w="4559"/>
      </w:tblGrid>
      <w:tr w:rsidTr="001643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p>
        </w:tc>
      </w:tr>
      <w:tr w:rsidTr="001643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p>
        </w:tc>
      </w:tr>
      <w:tr w:rsidTr="001643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p>
        </w:tc>
      </w:tr>
    </w:tbl>
    <w:p w:rsidR="001643E5" w:rsidP="004E5F00">
      <w:pPr>
        <w:pStyle w:val="BodyText"/>
      </w:pPr>
    </w:p>
    <w:p w:rsidR="001643E5" w:rsidP="004E5F00">
      <w:pPr>
        <w:pStyle w:val="BodyText"/>
      </w:pPr>
    </w:p>
    <w:p w:rsidR="00000000" w:rsidRPr="004E5F00" w:rsidP="004E5F00">
      <w:pPr>
        <w:pStyle w:val="Heading1"/>
      </w:pPr>
      <w:bookmarkStart w:id="14" w:name="O_210275"/>
      <w:bookmarkEnd w:id="14"/>
      <w:r w:rsidRPr="004E5F00">
        <w:t>Competency field</w:t>
      </w:r>
    </w:p>
    <w:tbl>
      <w:tblPr>
        <w:tblW w:w="0" w:type="auto"/>
        <w:tblLayout w:type="fixed"/>
        <w:tblCellMar>
          <w:left w:w="62" w:type="dxa"/>
          <w:right w:w="62" w:type="dxa"/>
        </w:tblCellMar>
        <w:tblLook w:val="0000"/>
      </w:tblPr>
      <w:tblGrid>
        <w:gridCol w:w="2778"/>
        <w:gridCol w:w="5744"/>
      </w:tblGrid>
      <w:tr w:rsidTr="001643E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F00">
            <w:pPr>
              <w:pStyle w:val="BodyText"/>
              <w:rPr>
                <w:lang w:val="en-NZ"/>
              </w:rPr>
            </w:pPr>
            <w:r w:rsidRPr="004E5F0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F00" w:rsidP="004E5F00">
            <w:pPr>
              <w:pStyle w:val="BodyText"/>
            </w:pPr>
            <w:r w:rsidRPr="004E5F00">
              <w:t>Casting and moulding</w:t>
            </w:r>
          </w:p>
        </w:tc>
      </w:tr>
    </w:tbl>
    <w:p w:rsidR="001643E5" w:rsidP="004E5F00">
      <w:pPr>
        <w:pStyle w:val="BodyText"/>
      </w:pPr>
    </w:p>
    <w:p w:rsidR="001643E5" w:rsidP="004E5F00">
      <w:pPr>
        <w:pStyle w:val="BodyText"/>
      </w:pPr>
    </w:p>
    <w:p w:rsidR="00000000" w:rsidRPr="004E5F00" w:rsidP="004E5F00"/>
    <w:sectPr w:rsidSect="004E5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3E5" w:rsidP="00164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E5" w:rsidP="004E5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43E5" w:rsidP="004E5F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43E5" w:rsidP="004E5F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3E5" w:rsidP="001643E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E5" w:rsidP="004E5F00">
    <w:pPr>
      <w:pStyle w:val="Header"/>
      <w:framePr w:wrap="around"/>
    </w:pPr>
    <w:r>
      <w:fldChar w:fldCharType="begin"/>
    </w:r>
    <w:r>
      <w:instrText xml:space="preserve"> TITLE   \* MERGEFORMAT </w:instrText>
    </w:r>
    <w:r>
      <w:fldChar w:fldCharType="separate"/>
    </w:r>
    <w:r>
      <w:t>MEM04004B Prepare and mix sand for metal moulding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43E5" w:rsidP="004E5F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0EF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4E5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F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5F00"/>
    <w:pPr>
      <w:spacing w:before="360" w:after="60"/>
      <w:outlineLvl w:val="0"/>
    </w:pPr>
    <w:rPr>
      <w:sz w:val="32"/>
    </w:rPr>
  </w:style>
  <w:style w:type="paragraph" w:styleId="Heading2">
    <w:name w:val="heading 2"/>
    <w:basedOn w:val="HeadingBase"/>
    <w:next w:val="BodyText"/>
    <w:link w:val="Heading2Char"/>
    <w:qFormat/>
    <w:rsid w:val="004E5F00"/>
    <w:pPr>
      <w:keepLines/>
      <w:spacing w:before="240" w:after="120"/>
      <w:outlineLvl w:val="1"/>
    </w:pPr>
    <w:rPr>
      <w:sz w:val="28"/>
      <w:szCs w:val="40"/>
    </w:rPr>
  </w:style>
  <w:style w:type="paragraph" w:styleId="Heading3">
    <w:name w:val="heading 3"/>
    <w:basedOn w:val="HeadingBase"/>
    <w:next w:val="BodyText"/>
    <w:link w:val="Heading3Char"/>
    <w:qFormat/>
    <w:rsid w:val="004E5F00"/>
    <w:pPr>
      <w:spacing w:before="180" w:after="120"/>
      <w:outlineLvl w:val="2"/>
    </w:pPr>
    <w:rPr>
      <w:spacing w:val="-10"/>
      <w:kern w:val="32"/>
    </w:rPr>
  </w:style>
  <w:style w:type="paragraph" w:styleId="Heading4">
    <w:name w:val="heading 4"/>
    <w:basedOn w:val="HeadingBase"/>
    <w:next w:val="BodyText"/>
    <w:link w:val="Heading4Char"/>
    <w:qFormat/>
    <w:rsid w:val="004E5F00"/>
    <w:pPr>
      <w:spacing w:before="160" w:after="120"/>
      <w:outlineLvl w:val="3"/>
    </w:pPr>
    <w:rPr>
      <w:sz w:val="22"/>
    </w:rPr>
  </w:style>
  <w:style w:type="paragraph" w:styleId="Heading5">
    <w:name w:val="heading 5"/>
    <w:basedOn w:val="HeadingBase"/>
    <w:next w:val="Normal"/>
    <w:link w:val="Heading5Char"/>
    <w:qFormat/>
    <w:rsid w:val="004E5F00"/>
    <w:pPr>
      <w:spacing w:before="80"/>
      <w:outlineLvl w:val="4"/>
    </w:pPr>
    <w:rPr>
      <w:color w:val="918585"/>
      <w:sz w:val="20"/>
    </w:rPr>
  </w:style>
  <w:style w:type="paragraph" w:styleId="Heading6">
    <w:name w:val="heading 6"/>
    <w:basedOn w:val="HeadingBase"/>
    <w:next w:val="Normal"/>
    <w:link w:val="Heading6Char"/>
    <w:qFormat/>
    <w:rsid w:val="004E5F00"/>
    <w:pPr>
      <w:spacing w:before="60"/>
      <w:outlineLvl w:val="5"/>
    </w:pPr>
    <w:rPr>
      <w:color w:val="918585"/>
      <w:sz w:val="20"/>
    </w:rPr>
  </w:style>
  <w:style w:type="paragraph" w:styleId="Heading7">
    <w:name w:val="heading 7"/>
    <w:basedOn w:val="Normal"/>
    <w:next w:val="Normal"/>
    <w:link w:val="Heading7Char"/>
    <w:qFormat/>
    <w:rsid w:val="004E5F00"/>
    <w:pPr>
      <w:ind w:left="720"/>
      <w:outlineLvl w:val="6"/>
    </w:pPr>
    <w:rPr>
      <w:i/>
    </w:rPr>
  </w:style>
  <w:style w:type="paragraph" w:styleId="Heading8">
    <w:name w:val="heading 8"/>
    <w:basedOn w:val="Normal"/>
    <w:next w:val="Normal"/>
    <w:link w:val="Heading8Char"/>
    <w:qFormat/>
    <w:rsid w:val="004E5F00"/>
    <w:pPr>
      <w:ind w:left="720"/>
      <w:outlineLvl w:val="7"/>
    </w:pPr>
    <w:rPr>
      <w:i/>
    </w:rPr>
  </w:style>
  <w:style w:type="paragraph" w:styleId="Heading9">
    <w:name w:val="heading 9"/>
    <w:basedOn w:val="Normal"/>
    <w:next w:val="Normal"/>
    <w:link w:val="Heading9Char"/>
    <w:qFormat/>
    <w:rsid w:val="004E5F00"/>
    <w:pPr>
      <w:ind w:left="720"/>
      <w:outlineLvl w:val="8"/>
    </w:pPr>
    <w:rPr>
      <w:i/>
    </w:rPr>
  </w:style>
  <w:style w:type="character" w:default="1" w:styleId="DefaultParagraphFont">
    <w:name w:val="Default Paragraph Font"/>
    <w:uiPriority w:val="1"/>
    <w:unhideWhenUsed/>
    <w:rsid w:val="004E5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F00"/>
  </w:style>
  <w:style w:type="character" w:customStyle="1" w:styleId="Heading1Char">
    <w:name w:val="Heading 1 Char"/>
    <w:basedOn w:val="DefaultParagraphFont"/>
    <w:link w:val="Heading1"/>
    <w:rsid w:val="004E5F00"/>
    <w:rPr>
      <w:rFonts w:ascii="Times New Roman" w:eastAsia="Times New Roman" w:hAnsi="Times New Roman" w:cs="Times New Roman"/>
      <w:b/>
      <w:sz w:val="32"/>
      <w:szCs w:val="20"/>
      <w:lang w:eastAsia="en-US"/>
    </w:rPr>
  </w:style>
  <w:style w:type="paragraph" w:styleId="BodyText">
    <w:name w:val="Body Text"/>
    <w:basedOn w:val="Normal"/>
    <w:link w:val="BodyTextChar"/>
    <w:rsid w:val="004E5F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F00"/>
    <w:rPr>
      <w:rFonts w:ascii="Times New Roman" w:eastAsia="Times New Roman" w:hAnsi="Times New Roman" w:cs="Times New Roman"/>
      <w:sz w:val="24"/>
      <w:lang w:val="en-US" w:eastAsia="en-US"/>
    </w:rPr>
  </w:style>
  <w:style w:type="paragraph" w:styleId="Footer">
    <w:name w:val="footer"/>
    <w:basedOn w:val="Normal"/>
    <w:link w:val="FooterChar"/>
    <w:rsid w:val="004E5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F00"/>
    <w:rPr>
      <w:rFonts w:ascii="Times New Roman" w:eastAsia="Times New Roman" w:hAnsi="Times New Roman" w:cs="Times New Roman"/>
      <w:sz w:val="16"/>
      <w:lang w:val="en-US" w:eastAsia="en-US"/>
    </w:rPr>
  </w:style>
  <w:style w:type="paragraph" w:styleId="List">
    <w:name w:val="List"/>
    <w:basedOn w:val="BodyText"/>
    <w:next w:val="BodyText"/>
    <w:rsid w:val="004E5F00"/>
    <w:pPr>
      <w:tabs>
        <w:tab w:val="left" w:pos="340"/>
      </w:tabs>
      <w:spacing w:before="60" w:after="60"/>
      <w:ind w:left="340" w:hanging="340"/>
    </w:pPr>
  </w:style>
  <w:style w:type="paragraph" w:styleId="ListBullet">
    <w:name w:val="List Bullet"/>
    <w:basedOn w:val="List"/>
    <w:rsid w:val="004E5F00"/>
    <w:pPr>
      <w:numPr>
        <w:numId w:val="12"/>
      </w:numPr>
      <w:tabs>
        <w:tab w:val="clear" w:pos="340"/>
      </w:tabs>
      <w:spacing w:before="40" w:after="40"/>
    </w:pPr>
  </w:style>
  <w:style w:type="character" w:customStyle="1" w:styleId="SpecialBold">
    <w:name w:val="Special Bold"/>
    <w:basedOn w:val="DefaultParagraphFont"/>
    <w:rsid w:val="004E5F00"/>
    <w:rPr>
      <w:b/>
      <w:spacing w:val="0"/>
    </w:rPr>
  </w:style>
  <w:style w:type="paragraph" w:styleId="Header">
    <w:name w:val="header"/>
    <w:basedOn w:val="Normal"/>
    <w:link w:val="HeaderChar"/>
    <w:rsid w:val="004E5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F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5F00"/>
    <w:pPr>
      <w:spacing w:before="240" w:after="120"/>
      <w:outlineLvl w:val="0"/>
    </w:pPr>
    <w:rPr>
      <w:rFonts w:ascii="Times New Roman" w:hAnsi="Times New Roman"/>
      <w:b/>
      <w:sz w:val="28"/>
    </w:rPr>
  </w:style>
  <w:style w:type="paragraph" w:customStyle="1" w:styleId="AllowPageBreak">
    <w:name w:val="AllowPageBreak"/>
    <w:rsid w:val="004E5F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5F00"/>
    <w:pPr>
      <w:tabs>
        <w:tab w:val="left" w:pos="680"/>
      </w:tabs>
      <w:spacing w:before="60" w:after="60"/>
      <w:ind w:left="680" w:hanging="340"/>
    </w:pPr>
  </w:style>
  <w:style w:type="character" w:customStyle="1" w:styleId="Heading2Char">
    <w:name w:val="Heading 2 Char"/>
    <w:basedOn w:val="DefaultParagraphFont"/>
    <w:link w:val="Heading2"/>
    <w:rsid w:val="004E5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F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5F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5F00"/>
    <w:rPr>
      <w:rFonts w:ascii="Courier New" w:eastAsia="Times New Roman" w:hAnsi="Courier New" w:cs="Times New Roman"/>
      <w:i/>
      <w:szCs w:val="20"/>
      <w:lang w:val="en-US" w:eastAsia="en-US"/>
    </w:rPr>
  </w:style>
  <w:style w:type="paragraph" w:customStyle="1" w:styleId="HeadingBase">
    <w:name w:val="Heading Base"/>
    <w:rsid w:val="004E5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F00"/>
    <w:pPr>
      <w:tabs>
        <w:tab w:val="right" w:leader="dot" w:pos="9072"/>
      </w:tabs>
      <w:ind w:left="567"/>
    </w:pPr>
    <w:rPr>
      <w:szCs w:val="22"/>
    </w:rPr>
  </w:style>
  <w:style w:type="paragraph" w:customStyle="1" w:styleId="TOCBase">
    <w:name w:val="TOC Base"/>
    <w:rsid w:val="004E5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F00"/>
    <w:pPr>
      <w:tabs>
        <w:tab w:val="right" w:leader="dot" w:pos="9072"/>
      </w:tabs>
      <w:spacing w:before="40" w:after="40"/>
      <w:ind w:left="284"/>
    </w:pPr>
    <w:rPr>
      <w:rFonts w:ascii="Times New Roman" w:hAnsi="Times New Roman"/>
    </w:rPr>
  </w:style>
  <w:style w:type="paragraph" w:styleId="TOC1">
    <w:name w:val="toc 1"/>
    <w:basedOn w:val="TOCBase"/>
    <w:next w:val="Normal"/>
    <w:rsid w:val="004E5F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5F00"/>
    <w:pPr>
      <w:spacing w:before="5040"/>
      <w:jc w:val="center"/>
    </w:pPr>
    <w:rPr>
      <w:sz w:val="48"/>
      <w:szCs w:val="72"/>
      <w:lang w:val="en-US"/>
    </w:rPr>
  </w:style>
  <w:style w:type="character" w:customStyle="1" w:styleId="TitleChar">
    <w:name w:val="Title Char"/>
    <w:basedOn w:val="DefaultParagraphFont"/>
    <w:link w:val="Title"/>
    <w:rsid w:val="004E5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F00"/>
    <w:pPr>
      <w:tabs>
        <w:tab w:val="left" w:pos="3600"/>
        <w:tab w:val="left" w:pos="3958"/>
      </w:tabs>
    </w:pPr>
  </w:style>
  <w:style w:type="paragraph" w:customStyle="1" w:styleId="Note">
    <w:name w:val="Note"/>
    <w:basedOn w:val="BodyText"/>
    <w:rsid w:val="004E5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F00"/>
    <w:pPr>
      <w:framePr w:wrap="auto" w:hAnchor="text" w:y="6049"/>
    </w:pPr>
    <w:rPr>
      <w:color w:val="000000"/>
      <w:sz w:val="40"/>
    </w:rPr>
  </w:style>
  <w:style w:type="paragraph" w:customStyle="1" w:styleId="TOCTitle">
    <w:name w:val="TOCTitle"/>
    <w:basedOn w:val="Heading1"/>
    <w:rsid w:val="004E5F00"/>
    <w:pPr>
      <w:spacing w:after="240"/>
      <w:jc w:val="center"/>
      <w:outlineLvl w:val="9"/>
    </w:pPr>
    <w:rPr>
      <w:caps/>
    </w:rPr>
  </w:style>
  <w:style w:type="paragraph" w:customStyle="1" w:styleId="Version">
    <w:name w:val="Version"/>
    <w:rsid w:val="004E5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F00"/>
    <w:pPr>
      <w:numPr>
        <w:numId w:val="13"/>
      </w:numPr>
      <w:tabs>
        <w:tab w:val="clear" w:pos="680"/>
      </w:tabs>
    </w:pPr>
  </w:style>
  <w:style w:type="paragraph" w:styleId="Index1">
    <w:name w:val="index 1"/>
    <w:basedOn w:val="Normal"/>
    <w:next w:val="Normal"/>
    <w:semiHidden/>
    <w:rsid w:val="004E5F00"/>
    <w:pPr>
      <w:keepNext w:val="0"/>
      <w:tabs>
        <w:tab w:val="right" w:pos="4176"/>
      </w:tabs>
      <w:ind w:left="198" w:hanging="198"/>
    </w:pPr>
    <w:rPr>
      <w:rFonts w:ascii="Garamond" w:hAnsi="Garamond"/>
    </w:rPr>
  </w:style>
  <w:style w:type="paragraph" w:styleId="IndexHeading">
    <w:name w:val="index heading"/>
    <w:basedOn w:val="Normal"/>
    <w:next w:val="Index1"/>
    <w:semiHidden/>
    <w:rsid w:val="004E5F00"/>
    <w:pPr>
      <w:spacing w:before="120" w:after="120"/>
    </w:pPr>
    <w:rPr>
      <w:rFonts w:ascii="Arial" w:hAnsi="Arial"/>
      <w:b/>
      <w:color w:val="918585"/>
      <w:sz w:val="24"/>
    </w:rPr>
  </w:style>
  <w:style w:type="paragraph" w:customStyle="1" w:styleId="Chapter">
    <w:name w:val="Chapter"/>
    <w:basedOn w:val="Normal"/>
    <w:rsid w:val="004E5F00"/>
    <w:pPr>
      <w:spacing w:before="240"/>
    </w:pPr>
    <w:rPr>
      <w:rFonts w:ascii="Times New Roman" w:hAnsi="Times New Roman"/>
      <w:smallCaps/>
      <w:spacing w:val="80"/>
      <w:sz w:val="28"/>
    </w:rPr>
  </w:style>
  <w:style w:type="paragraph" w:customStyle="1" w:styleId="InChapter">
    <w:name w:val="InChapter"/>
    <w:basedOn w:val="Heading3"/>
    <w:rsid w:val="004E5F00"/>
    <w:pPr>
      <w:spacing w:after="240"/>
      <w:outlineLvl w:val="9"/>
    </w:pPr>
    <w:rPr>
      <w:noProof/>
    </w:rPr>
  </w:style>
  <w:style w:type="paragraph" w:styleId="Index2">
    <w:name w:val="index 2"/>
    <w:basedOn w:val="Normal"/>
    <w:next w:val="Normal"/>
    <w:semiHidden/>
    <w:rsid w:val="004E5F00"/>
    <w:pPr>
      <w:tabs>
        <w:tab w:val="right" w:pos="4176"/>
      </w:tabs>
      <w:ind w:left="568" w:hanging="284"/>
    </w:pPr>
    <w:rPr>
      <w:rFonts w:ascii="Garamond" w:hAnsi="Garamond"/>
    </w:rPr>
  </w:style>
  <w:style w:type="paragraph" w:customStyle="1" w:styleId="Byline">
    <w:name w:val="Byline"/>
    <w:rsid w:val="004E5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F00"/>
    <w:pPr>
      <w:tabs>
        <w:tab w:val="clear" w:pos="3600"/>
        <w:tab w:val="clear" w:pos="3958"/>
      </w:tabs>
      <w:jc w:val="right"/>
    </w:pPr>
  </w:style>
  <w:style w:type="character" w:styleId="Emphasis">
    <w:name w:val="Emphasis"/>
    <w:basedOn w:val="DefaultParagraphFont"/>
    <w:qFormat/>
    <w:rsid w:val="004E5F00"/>
    <w:rPr>
      <w:i/>
    </w:rPr>
  </w:style>
  <w:style w:type="paragraph" w:styleId="Caption">
    <w:name w:val="caption"/>
    <w:basedOn w:val="BodyText"/>
    <w:next w:val="Normal"/>
    <w:qFormat/>
    <w:rsid w:val="004E5F00"/>
    <w:pPr>
      <w:framePr w:w="2268" w:hSpace="181" w:vSpace="181" w:wrap="around" w:vAnchor="text" w:hAnchor="page" w:x="1135" w:y="285" w:anchorLock="1"/>
    </w:pPr>
    <w:rPr>
      <w:i/>
    </w:rPr>
  </w:style>
  <w:style w:type="paragraph" w:customStyle="1" w:styleId="MiniTOCTitle">
    <w:name w:val="MiniTOCTitle"/>
    <w:basedOn w:val="Heading4"/>
    <w:rsid w:val="004E5F00"/>
    <w:pPr>
      <w:spacing w:before="240"/>
      <w:outlineLvl w:val="9"/>
    </w:pPr>
    <w:rPr>
      <w:noProof/>
      <w:sz w:val="24"/>
    </w:rPr>
  </w:style>
  <w:style w:type="paragraph" w:customStyle="1" w:styleId="MiniTOCItem">
    <w:name w:val="MiniTOCItem"/>
    <w:basedOn w:val="ListBullet"/>
    <w:rsid w:val="004E5F00"/>
    <w:pPr>
      <w:numPr>
        <w:numId w:val="0"/>
      </w:numPr>
      <w:tabs>
        <w:tab w:val="right" w:leader="dot" w:pos="6521"/>
      </w:tabs>
      <w:spacing w:before="0" w:after="0"/>
    </w:pPr>
  </w:style>
  <w:style w:type="paragraph" w:customStyle="1" w:styleId="TOFTitle">
    <w:name w:val="TOFTitle"/>
    <w:basedOn w:val="TOCTitle"/>
    <w:rsid w:val="004E5F00"/>
  </w:style>
  <w:style w:type="paragraph" w:styleId="TableofFigures">
    <w:name w:val="table of figures"/>
    <w:basedOn w:val="Normal"/>
    <w:next w:val="Normal"/>
    <w:semiHidden/>
    <w:rsid w:val="004E5F00"/>
    <w:pPr>
      <w:tabs>
        <w:tab w:val="right" w:leader="dot" w:pos="9072"/>
      </w:tabs>
      <w:ind w:left="970" w:hanging="403"/>
    </w:pPr>
    <w:rPr>
      <w:rFonts w:ascii="Times New Roman" w:hAnsi="Times New Roman"/>
      <w:b/>
    </w:rPr>
  </w:style>
  <w:style w:type="paragraph" w:styleId="ListNumber">
    <w:name w:val="List Number"/>
    <w:basedOn w:val="List"/>
    <w:rsid w:val="004E5F00"/>
    <w:pPr>
      <w:numPr>
        <w:numId w:val="10"/>
      </w:numPr>
    </w:pPr>
  </w:style>
  <w:style w:type="character" w:customStyle="1" w:styleId="WingdingSymbols">
    <w:name w:val="Wingding Symbols"/>
    <w:rsid w:val="004E5F00"/>
    <w:rPr>
      <w:rFonts w:ascii="Wingdings" w:hAnsi="Wingdings"/>
    </w:rPr>
  </w:style>
  <w:style w:type="paragraph" w:customStyle="1" w:styleId="TableHeading">
    <w:name w:val="Table Heading"/>
    <w:basedOn w:val="HeadingBase"/>
    <w:rsid w:val="004E5F00"/>
    <w:pPr>
      <w:keepLines/>
      <w:pBdr>
        <w:bottom w:val="single" w:sz="6" w:space="1" w:color="918585"/>
      </w:pBdr>
      <w:spacing w:before="240"/>
    </w:pPr>
  </w:style>
  <w:style w:type="character" w:customStyle="1" w:styleId="HotSpot">
    <w:name w:val="HotSpot"/>
    <w:rsid w:val="004E5F00"/>
    <w:rPr>
      <w:color w:val="0033CC"/>
      <w:u w:val="none"/>
    </w:rPr>
  </w:style>
  <w:style w:type="paragraph" w:customStyle="1" w:styleId="BodyTextRight">
    <w:name w:val="Body Text Right"/>
    <w:basedOn w:val="BodyText"/>
    <w:rsid w:val="004E5F00"/>
    <w:pPr>
      <w:spacing w:before="0" w:after="0"/>
      <w:jc w:val="right"/>
    </w:pPr>
  </w:style>
  <w:style w:type="paragraph" w:styleId="Index3">
    <w:name w:val="index 3"/>
    <w:basedOn w:val="ListNumber2"/>
    <w:next w:val="Normal"/>
    <w:semiHidden/>
    <w:rsid w:val="004E5F00"/>
    <w:pPr>
      <w:numPr>
        <w:numId w:val="0"/>
      </w:numPr>
      <w:tabs>
        <w:tab w:val="right" w:leader="dot" w:pos="4176"/>
      </w:tabs>
    </w:pPr>
  </w:style>
  <w:style w:type="paragraph" w:styleId="ListNumber2">
    <w:name w:val="List Number 2"/>
    <w:basedOn w:val="List2"/>
    <w:rsid w:val="004E5F00"/>
    <w:pPr>
      <w:numPr>
        <w:numId w:val="9"/>
      </w:numPr>
      <w:tabs>
        <w:tab w:val="clear" w:pos="1060"/>
      </w:tabs>
    </w:pPr>
  </w:style>
  <w:style w:type="paragraph" w:customStyle="1" w:styleId="MarginNote">
    <w:name w:val="Margin Note"/>
    <w:basedOn w:val="BodyText"/>
    <w:rsid w:val="004E5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F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5F00"/>
    <w:rPr>
      <w:sz w:val="32"/>
    </w:rPr>
  </w:style>
  <w:style w:type="paragraph" w:customStyle="1" w:styleId="HeadingProcedure">
    <w:name w:val="Heading Procedure"/>
    <w:basedOn w:val="HeadingBase"/>
    <w:next w:val="Normal"/>
    <w:rsid w:val="004E5F00"/>
    <w:pPr>
      <w:tabs>
        <w:tab w:val="left" w:pos="0"/>
      </w:tabs>
      <w:spacing w:before="120" w:after="60"/>
    </w:pPr>
    <w:rPr>
      <w:i/>
      <w:color w:val="918585"/>
      <w:sz w:val="22"/>
    </w:rPr>
  </w:style>
  <w:style w:type="paragraph" w:customStyle="1" w:styleId="TableBodyText">
    <w:name w:val="Table Body Text"/>
    <w:basedOn w:val="BodyText"/>
    <w:rsid w:val="004E5F00"/>
    <w:pPr>
      <w:spacing w:before="60" w:after="60"/>
    </w:pPr>
  </w:style>
  <w:style w:type="paragraph" w:styleId="ListContinue">
    <w:name w:val="List Continue"/>
    <w:basedOn w:val="List"/>
    <w:rsid w:val="004E5F00"/>
    <w:pPr>
      <w:ind w:firstLine="0"/>
    </w:pPr>
  </w:style>
  <w:style w:type="paragraph" w:customStyle="1" w:styleId="ListNote">
    <w:name w:val="List Note"/>
    <w:basedOn w:val="List"/>
    <w:rsid w:val="004E5F00"/>
    <w:pPr>
      <w:pBdr>
        <w:top w:val="single" w:sz="6" w:space="2" w:color="918585"/>
        <w:bottom w:val="single" w:sz="6" w:space="2" w:color="918585"/>
      </w:pBdr>
      <w:tabs>
        <w:tab w:val="left" w:pos="1021"/>
      </w:tabs>
      <w:ind w:firstLine="0"/>
    </w:pPr>
  </w:style>
  <w:style w:type="paragraph" w:customStyle="1" w:styleId="Warning">
    <w:name w:val="Warning"/>
    <w:basedOn w:val="BodyText"/>
    <w:rsid w:val="004E5F00"/>
    <w:pPr>
      <w:shd w:val="clear" w:color="auto" w:fill="D9D9D9"/>
      <w:tabs>
        <w:tab w:val="left" w:pos="992"/>
      </w:tabs>
      <w:ind w:left="119" w:right="119"/>
    </w:pPr>
    <w:rPr>
      <w:sz w:val="20"/>
    </w:rPr>
  </w:style>
  <w:style w:type="paragraph" w:customStyle="1" w:styleId="MarginIcons">
    <w:name w:val="Margin Icons"/>
    <w:basedOn w:val="BodyText"/>
    <w:rsid w:val="004E5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F00"/>
    <w:rPr>
      <w:rFonts w:ascii="Courier New" w:hAnsi="Courier New"/>
    </w:rPr>
  </w:style>
  <w:style w:type="paragraph" w:customStyle="1" w:styleId="NoteBullet">
    <w:name w:val="Note Bullet"/>
    <w:basedOn w:val="Note"/>
    <w:rsid w:val="004E5F00"/>
    <w:pPr>
      <w:tabs>
        <w:tab w:val="clear" w:pos="680"/>
      </w:tabs>
      <w:spacing w:before="60" w:after="60"/>
    </w:pPr>
  </w:style>
  <w:style w:type="paragraph" w:customStyle="1" w:styleId="SubHeading2">
    <w:name w:val="SubHeading2"/>
    <w:basedOn w:val="HeadingBase"/>
    <w:rsid w:val="004E5F00"/>
    <w:pPr>
      <w:spacing w:before="240" w:after="60"/>
    </w:pPr>
    <w:rPr>
      <w:sz w:val="20"/>
    </w:rPr>
  </w:style>
  <w:style w:type="paragraph" w:customStyle="1" w:styleId="SubHeading1">
    <w:name w:val="SubHeading1"/>
    <w:basedOn w:val="HeadingBase"/>
    <w:rsid w:val="004E5F00"/>
    <w:pPr>
      <w:spacing w:before="240" w:after="60"/>
    </w:pPr>
    <w:rPr>
      <w:color w:val="918585"/>
      <w:sz w:val="22"/>
    </w:rPr>
  </w:style>
  <w:style w:type="paragraph" w:customStyle="1" w:styleId="SideHeading">
    <w:name w:val="Side Heading"/>
    <w:basedOn w:val="HeadingBase"/>
    <w:rsid w:val="004E5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F00"/>
    <w:pPr>
      <w:tabs>
        <w:tab w:val="num" w:pos="360"/>
      </w:tabs>
    </w:pPr>
  </w:style>
  <w:style w:type="paragraph" w:styleId="PlainText">
    <w:name w:val="Plain Text"/>
    <w:basedOn w:val="Normal"/>
    <w:link w:val="PlainTextChar"/>
    <w:rsid w:val="004E5F00"/>
    <w:rPr>
      <w:sz w:val="20"/>
    </w:rPr>
  </w:style>
  <w:style w:type="character" w:customStyle="1" w:styleId="PlainTextChar">
    <w:name w:val="Plain Text Char"/>
    <w:basedOn w:val="DefaultParagraphFont"/>
    <w:link w:val="PlainText"/>
    <w:rsid w:val="004E5F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5F00"/>
    <w:rPr>
      <w:b/>
      <w:smallCaps/>
    </w:rPr>
  </w:style>
  <w:style w:type="paragraph" w:customStyle="1" w:styleId="TableListNumber">
    <w:name w:val="Table List Number"/>
    <w:basedOn w:val="ListNumber"/>
    <w:rsid w:val="004E5F00"/>
    <w:pPr>
      <w:numPr>
        <w:numId w:val="0"/>
      </w:numPr>
    </w:pPr>
  </w:style>
  <w:style w:type="paragraph" w:styleId="TOC4">
    <w:name w:val="toc 4"/>
    <w:basedOn w:val="TOCBase"/>
    <w:next w:val="Normal"/>
    <w:semiHidden/>
    <w:rsid w:val="004E5F00"/>
    <w:pPr>
      <w:tabs>
        <w:tab w:val="right" w:leader="dot" w:pos="9071"/>
      </w:tabs>
      <w:ind w:left="1701"/>
    </w:pPr>
  </w:style>
  <w:style w:type="paragraph" w:customStyle="1" w:styleId="ListAlpha">
    <w:name w:val="List Alpha"/>
    <w:basedOn w:val="List"/>
    <w:rsid w:val="004E5F00"/>
    <w:pPr>
      <w:numPr>
        <w:numId w:val="8"/>
      </w:numPr>
    </w:pPr>
  </w:style>
  <w:style w:type="paragraph" w:customStyle="1" w:styleId="ListAlpha2">
    <w:name w:val="List Alpha 2"/>
    <w:basedOn w:val="List2"/>
    <w:rsid w:val="004E5F00"/>
    <w:pPr>
      <w:numPr>
        <w:numId w:val="7"/>
      </w:numPr>
    </w:pPr>
  </w:style>
  <w:style w:type="paragraph" w:styleId="List3">
    <w:name w:val="List 3"/>
    <w:basedOn w:val="BodyText"/>
    <w:rsid w:val="004E5F00"/>
    <w:pPr>
      <w:tabs>
        <w:tab w:val="left" w:pos="1021"/>
      </w:tabs>
      <w:spacing w:before="60" w:after="60"/>
      <w:ind w:left="1020" w:hanging="340"/>
    </w:pPr>
  </w:style>
  <w:style w:type="paragraph" w:styleId="List4">
    <w:name w:val="List 4"/>
    <w:basedOn w:val="BodyText"/>
    <w:rsid w:val="004E5F00"/>
    <w:pPr>
      <w:tabs>
        <w:tab w:val="left" w:pos="1361"/>
      </w:tabs>
      <w:spacing w:before="60" w:after="60"/>
      <w:ind w:left="1361" w:hanging="340"/>
    </w:pPr>
  </w:style>
  <w:style w:type="paragraph" w:styleId="List5">
    <w:name w:val="List 5"/>
    <w:basedOn w:val="BodyText"/>
    <w:rsid w:val="004E5F00"/>
    <w:pPr>
      <w:tabs>
        <w:tab w:val="left" w:pos="1701"/>
      </w:tabs>
      <w:spacing w:before="60" w:after="60"/>
      <w:ind w:left="1701" w:hanging="340"/>
    </w:pPr>
  </w:style>
  <w:style w:type="paragraph" w:styleId="ListBullet3">
    <w:name w:val="List Bullet 3"/>
    <w:basedOn w:val="List3"/>
    <w:rsid w:val="004E5F00"/>
    <w:pPr>
      <w:numPr>
        <w:numId w:val="14"/>
      </w:numPr>
      <w:tabs>
        <w:tab w:val="clear" w:pos="1021"/>
      </w:tabs>
      <w:ind w:left="1037" w:hanging="357"/>
    </w:pPr>
  </w:style>
  <w:style w:type="paragraph" w:styleId="ListBullet4">
    <w:name w:val="List Bullet 4"/>
    <w:basedOn w:val="List4"/>
    <w:rsid w:val="004E5F00"/>
    <w:pPr>
      <w:numPr>
        <w:numId w:val="2"/>
      </w:numPr>
    </w:pPr>
  </w:style>
  <w:style w:type="paragraph" w:styleId="ListBullet5">
    <w:name w:val="List Bullet 5"/>
    <w:basedOn w:val="List5"/>
    <w:rsid w:val="004E5F00"/>
    <w:pPr>
      <w:numPr>
        <w:numId w:val="3"/>
      </w:numPr>
    </w:pPr>
  </w:style>
  <w:style w:type="paragraph" w:styleId="ListContinue2">
    <w:name w:val="List Continue 2"/>
    <w:basedOn w:val="List2"/>
    <w:rsid w:val="004E5F00"/>
    <w:pPr>
      <w:ind w:firstLine="0"/>
    </w:pPr>
  </w:style>
  <w:style w:type="paragraph" w:styleId="ListContinue3">
    <w:name w:val="List Continue 3"/>
    <w:basedOn w:val="List3"/>
    <w:rsid w:val="004E5F00"/>
    <w:pPr>
      <w:ind w:left="1021" w:firstLine="0"/>
    </w:pPr>
  </w:style>
  <w:style w:type="paragraph" w:styleId="ListContinue4">
    <w:name w:val="List Continue 4"/>
    <w:basedOn w:val="List4"/>
    <w:rsid w:val="004E5F00"/>
    <w:pPr>
      <w:ind w:firstLine="0"/>
    </w:pPr>
  </w:style>
  <w:style w:type="paragraph" w:styleId="ListContinue5">
    <w:name w:val="List Continue 5"/>
    <w:basedOn w:val="List5"/>
    <w:rsid w:val="004E5F00"/>
    <w:pPr>
      <w:ind w:firstLine="0"/>
    </w:pPr>
  </w:style>
  <w:style w:type="paragraph" w:styleId="ListNumber3">
    <w:name w:val="List Number 3"/>
    <w:basedOn w:val="List3"/>
    <w:rsid w:val="004E5F00"/>
    <w:pPr>
      <w:numPr>
        <w:numId w:val="4"/>
      </w:numPr>
    </w:pPr>
  </w:style>
  <w:style w:type="paragraph" w:styleId="ListNumber4">
    <w:name w:val="List Number 4"/>
    <w:basedOn w:val="List4"/>
    <w:rsid w:val="004E5F00"/>
    <w:pPr>
      <w:numPr>
        <w:numId w:val="5"/>
      </w:numPr>
    </w:pPr>
  </w:style>
  <w:style w:type="paragraph" w:styleId="ListNumber5">
    <w:name w:val="List Number 5"/>
    <w:basedOn w:val="List5"/>
    <w:rsid w:val="004E5F00"/>
    <w:pPr>
      <w:numPr>
        <w:numId w:val="6"/>
      </w:numPr>
    </w:pPr>
  </w:style>
  <w:style w:type="paragraph" w:styleId="BlockText">
    <w:name w:val="Block Text"/>
    <w:basedOn w:val="Normal"/>
    <w:rsid w:val="004E5F00"/>
    <w:pPr>
      <w:spacing w:after="120"/>
      <w:ind w:left="1440" w:right="1440"/>
    </w:pPr>
  </w:style>
  <w:style w:type="character" w:customStyle="1" w:styleId="Subscript">
    <w:name w:val="Subscript"/>
    <w:basedOn w:val="DefaultParagraphFont"/>
    <w:rsid w:val="004E5F00"/>
    <w:rPr>
      <w:sz w:val="16"/>
      <w:vertAlign w:val="subscript"/>
    </w:rPr>
  </w:style>
  <w:style w:type="character" w:customStyle="1" w:styleId="Superscript">
    <w:name w:val="Superscript"/>
    <w:basedOn w:val="DefaultParagraphFont"/>
    <w:rsid w:val="004E5F00"/>
    <w:rPr>
      <w:sz w:val="16"/>
      <w:vertAlign w:val="superscript"/>
    </w:rPr>
  </w:style>
  <w:style w:type="character" w:customStyle="1" w:styleId="Symbols">
    <w:name w:val="Symbols"/>
    <w:basedOn w:val="DefaultParagraphFont"/>
    <w:rsid w:val="004E5F00"/>
    <w:rPr>
      <w:rFonts w:ascii="Symbol" w:hAnsi="Symbol"/>
    </w:rPr>
  </w:style>
  <w:style w:type="character" w:customStyle="1" w:styleId="MenuOptions">
    <w:name w:val="Menu Options"/>
    <w:basedOn w:val="DefaultParagraphFont"/>
    <w:rsid w:val="004E5F00"/>
    <w:rPr>
      <w:rFonts w:ascii="Arial Narrow" w:hAnsi="Arial Narrow"/>
      <w:smallCaps/>
    </w:rPr>
  </w:style>
  <w:style w:type="character" w:customStyle="1" w:styleId="Buttons">
    <w:name w:val="Buttons"/>
    <w:basedOn w:val="DefaultParagraphFont"/>
    <w:rsid w:val="004E5F00"/>
    <w:rPr>
      <w:b/>
    </w:rPr>
  </w:style>
  <w:style w:type="character" w:customStyle="1" w:styleId="Underlined">
    <w:name w:val="Underlined"/>
    <w:basedOn w:val="DefaultParagraphFont"/>
    <w:rsid w:val="004E5F00"/>
    <w:rPr>
      <w:u w:val="single"/>
    </w:rPr>
  </w:style>
  <w:style w:type="paragraph" w:customStyle="1" w:styleId="TableBodyTextRight">
    <w:name w:val="Table Body Text Right"/>
    <w:basedOn w:val="TableBodyText"/>
    <w:rsid w:val="004E5F00"/>
    <w:pPr>
      <w:widowControl w:val="0"/>
      <w:autoSpaceDE w:val="0"/>
      <w:autoSpaceDN w:val="0"/>
      <w:adjustRightInd w:val="0"/>
      <w:jc w:val="right"/>
    </w:pPr>
    <w:rPr>
      <w:rFonts w:cs="Arial"/>
      <w:szCs w:val="18"/>
    </w:rPr>
  </w:style>
  <w:style w:type="paragraph" w:customStyle="1" w:styleId="CopyrightText">
    <w:name w:val="Copyright Text"/>
    <w:basedOn w:val="BodyText"/>
    <w:rsid w:val="004E5F00"/>
    <w:rPr>
      <w:sz w:val="18"/>
    </w:rPr>
  </w:style>
  <w:style w:type="paragraph" w:customStyle="1" w:styleId="BodySmallRight">
    <w:name w:val="Body Small Right"/>
    <w:basedOn w:val="BodyTextRight"/>
    <w:rsid w:val="004E5F00"/>
    <w:rPr>
      <w:sz w:val="18"/>
      <w:szCs w:val="18"/>
    </w:rPr>
  </w:style>
  <w:style w:type="paragraph" w:customStyle="1" w:styleId="MarginEdition">
    <w:name w:val="Margin Edition"/>
    <w:basedOn w:val="MarginNote"/>
    <w:rsid w:val="004E5F00"/>
    <w:pPr>
      <w:spacing w:before="0" w:after="0"/>
    </w:pPr>
    <w:rPr>
      <w:rFonts w:ascii="Times New Roman" w:hAnsi="Times New Roman"/>
      <w:color w:val="999999"/>
    </w:rPr>
  </w:style>
  <w:style w:type="paragraph" w:customStyle="1" w:styleId="Spacer">
    <w:name w:val="Spacer"/>
    <w:basedOn w:val="Normal"/>
    <w:rsid w:val="004E5F00"/>
    <w:rPr>
      <w:sz w:val="2"/>
      <w:szCs w:val="2"/>
    </w:rPr>
  </w:style>
  <w:style w:type="character" w:customStyle="1" w:styleId="Small">
    <w:name w:val="Small"/>
    <w:basedOn w:val="DefaultParagraphFont"/>
    <w:rsid w:val="004E5F00"/>
    <w:rPr>
      <w:sz w:val="16"/>
    </w:rPr>
  </w:style>
  <w:style w:type="paragraph" w:customStyle="1" w:styleId="WideTable">
    <w:name w:val="Wide Table"/>
    <w:basedOn w:val="Normal"/>
    <w:rsid w:val="004E5F00"/>
    <w:pPr>
      <w:ind w:left="-1418"/>
    </w:pPr>
    <w:rPr>
      <w:sz w:val="2"/>
      <w:szCs w:val="2"/>
    </w:rPr>
  </w:style>
  <w:style w:type="character" w:styleId="PageNumber">
    <w:name w:val="page number"/>
    <w:basedOn w:val="DefaultParagraphFont"/>
    <w:rsid w:val="004E5F00"/>
  </w:style>
  <w:style w:type="paragraph" w:styleId="Quote">
    <w:name w:val="Quote"/>
    <w:basedOn w:val="Heading1"/>
    <w:link w:val="QuoteChar"/>
    <w:qFormat/>
    <w:rsid w:val="004E5F00"/>
    <w:rPr>
      <w:b w:val="0"/>
      <w:sz w:val="72"/>
      <w:szCs w:val="72"/>
      <w:lang w:val="en-NZ"/>
    </w:rPr>
  </w:style>
  <w:style w:type="character" w:customStyle="1" w:styleId="QuoteChar">
    <w:name w:val="Quote Char"/>
    <w:basedOn w:val="DefaultParagraphFont"/>
    <w:link w:val="Quote"/>
    <w:rsid w:val="004E5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F00"/>
    <w:pPr>
      <w:pageBreakBefore/>
    </w:pPr>
  </w:style>
  <w:style w:type="paragraph" w:customStyle="1" w:styleId="Border">
    <w:name w:val="Border"/>
    <w:basedOn w:val="Normal"/>
    <w:qFormat/>
    <w:rsid w:val="004E5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F00"/>
    <w:rPr>
      <w:b/>
      <w:bCs/>
      <w:i/>
      <w:iCs/>
      <w:color w:val="auto"/>
    </w:rPr>
  </w:style>
  <w:style w:type="paragraph" w:styleId="IntenseQuote">
    <w:name w:val="Intense Quote"/>
    <w:basedOn w:val="Normal"/>
    <w:next w:val="Normal"/>
    <w:link w:val="IntenseQuoteChar"/>
    <w:uiPriority w:val="30"/>
    <w:qFormat/>
    <w:rsid w:val="004E5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F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5F00"/>
    <w:rPr>
      <w:smallCaps/>
      <w:color w:val="auto"/>
      <w:u w:val="single"/>
    </w:rPr>
  </w:style>
  <w:style w:type="character" w:styleId="IntenseReference">
    <w:name w:val="Intense Reference"/>
    <w:basedOn w:val="DefaultParagraphFont"/>
    <w:uiPriority w:val="32"/>
    <w:qFormat/>
    <w:rsid w:val="004E5F00"/>
    <w:rPr>
      <w:b/>
      <w:bCs/>
      <w:smallCaps/>
      <w:color w:val="auto"/>
      <w:spacing w:val="5"/>
      <w:u w:val="single"/>
    </w:rPr>
  </w:style>
  <w:style w:type="paragraph" w:customStyle="1" w:styleId="2ColumnHeading">
    <w:name w:val="2Column Heading"/>
    <w:basedOn w:val="BodyText"/>
    <w:qFormat/>
    <w:rsid w:val="004E5F00"/>
    <w:pPr>
      <w:spacing w:after="60"/>
      <w:ind w:left="-2268"/>
    </w:pPr>
    <w:rPr>
      <w:b/>
    </w:rPr>
  </w:style>
  <w:style w:type="paragraph" w:customStyle="1" w:styleId="Heading1TOC">
    <w:name w:val="Heading1 TOC"/>
    <w:basedOn w:val="Normal"/>
    <w:qFormat/>
    <w:rsid w:val="004E5F00"/>
    <w:pPr>
      <w:spacing w:before="240" w:after="120"/>
    </w:pPr>
    <w:rPr>
      <w:rFonts w:ascii="Times New Roman" w:hAnsi="Times New Roman"/>
      <w:b/>
      <w:sz w:val="32"/>
    </w:rPr>
  </w:style>
  <w:style w:type="paragraph" w:customStyle="1" w:styleId="Heading2TOC">
    <w:name w:val="Heading2 TOC"/>
    <w:basedOn w:val="Normal"/>
    <w:qFormat/>
    <w:rsid w:val="004E5F00"/>
    <w:pPr>
      <w:spacing w:before="240" w:after="60"/>
    </w:pPr>
    <w:rPr>
      <w:rFonts w:ascii="Times New Roman" w:hAnsi="Times New Roman"/>
      <w:b/>
      <w:sz w:val="28"/>
    </w:rPr>
  </w:style>
  <w:style w:type="character" w:customStyle="1" w:styleId="Underline">
    <w:name w:val="Underline"/>
    <w:basedOn w:val="DefaultParagraphFont"/>
    <w:qFormat/>
    <w:rsid w:val="004E5F00"/>
    <w:rPr>
      <w:u w:val="single"/>
    </w:rPr>
  </w:style>
  <w:style w:type="character" w:customStyle="1" w:styleId="BoldandItalics">
    <w:name w:val="Bold and Italics"/>
    <w:qFormat/>
    <w:rsid w:val="004E5F00"/>
    <w:rPr>
      <w:b/>
      <w:i/>
      <w:u w:val="none"/>
    </w:rPr>
  </w:style>
  <w:style w:type="paragraph" w:styleId="BalloonText">
    <w:name w:val="Balloon Text"/>
    <w:basedOn w:val="Normal"/>
    <w:link w:val="BalloonTextChar"/>
    <w:rsid w:val="004E5F00"/>
    <w:rPr>
      <w:rFonts w:ascii="Tahoma" w:hAnsi="Tahoma" w:cs="Tahoma"/>
      <w:sz w:val="16"/>
      <w:szCs w:val="16"/>
    </w:rPr>
  </w:style>
  <w:style w:type="character" w:customStyle="1" w:styleId="BalloonTextChar">
    <w:name w:val="Balloon Text Char"/>
    <w:basedOn w:val="DefaultParagraphFont"/>
    <w:link w:val="BalloonText"/>
    <w:rsid w:val="004E5F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5F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F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917</Words>
  <Characters>5456</Characters>
  <Application>Microsoft Office Word</Application>
  <DocSecurity>0</DocSecurity>
  <Lines>210</Lines>
  <Paragraphs>100</Paragraphs>
  <ScaleCrop>false</ScaleCrop>
  <Company>Author-it Software Corporation Ltd.</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MEM04004B Prepare and mix sand for metal moulding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2012-05-27T01:26:00Z</dcterms:created>
  <dcterms:modified xsi:type="dcterms:W3CDTF">2012-05-27T01:26:00Z</dcterms:modified>
</cp:coreProperties>
</file>