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3BC" w:rsidP="009023BC">
      <w:pPr>
        <w:pStyle w:val="Title"/>
      </w:pPr>
      <w:r>
        <w:fldChar w:fldCharType="begin"/>
      </w:r>
      <w:r>
        <w:instrText xml:space="preserve"> TITLE   \* MERGEFORMAT </w:instrText>
      </w:r>
      <w:r>
        <w:fldChar w:fldCharType="separate"/>
      </w:r>
      <w:r>
        <w:t>MEM04003B Operate pressure die casting machine</w:t>
      </w:r>
      <w:r>
        <w:fldChar w:fldCharType="end"/>
      </w:r>
    </w:p>
    <w:p w:rsidR="009023BC" w:rsidP="009023BC">
      <w:pPr>
        <w:pStyle w:val="Version"/>
        <w:sectPr w:rsidSect="00AC1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C56" w:rsidP="00AC1C56">
      <w:pPr>
        <w:pStyle w:val="SuperHeading"/>
      </w:pPr>
      <w:r w:rsidRPr="00AC1C56">
        <w:t>MEM04003B Operate pressure die casting machine</w:t>
      </w:r>
    </w:p>
    <w:p w:rsidR="00000000" w:rsidRPr="00AC1C56" w:rsidP="00AC1C56">
      <w:pPr>
        <w:pStyle w:val="Heading1"/>
      </w:pPr>
      <w:bookmarkStart w:id="1" w:name="O_271975"/>
      <w:bookmarkEnd w:id="1"/>
      <w:r w:rsidRPr="00AC1C56">
        <w:t>Modification History</w:t>
      </w:r>
    </w:p>
    <w:p w:rsidR="00000000" w:rsidRPr="00AC1C56" w:rsidP="00AC1C56">
      <w:pPr>
        <w:pStyle w:val="BodyText"/>
      </w:pPr>
      <w:r w:rsidRPr="00AC1C56">
        <w:t>Not Applicable</w:t>
      </w:r>
    </w:p>
    <w:p w:rsidR="00000000" w:rsidRPr="00AC1C56" w:rsidP="00AC1C56">
      <w:pPr>
        <w:pStyle w:val="AllowPageBreak"/>
      </w:pPr>
    </w:p>
    <w:p w:rsidR="00000000" w:rsidRPr="00AC1C56" w:rsidP="00AC1C56">
      <w:pPr>
        <w:pStyle w:val="Heading1"/>
      </w:pPr>
      <w:bookmarkStart w:id="2" w:name="O_210263"/>
      <w:bookmarkEnd w:id="2"/>
      <w:r w:rsidRPr="00AC1C56">
        <w:t>Unit Descriptor</w:t>
      </w:r>
    </w:p>
    <w:tbl>
      <w:tblPr>
        <w:tblW w:w="0" w:type="auto"/>
        <w:tblLayout w:type="fixed"/>
        <w:tblCellMar>
          <w:left w:w="62" w:type="dxa"/>
          <w:right w:w="62" w:type="dxa"/>
        </w:tblCellMar>
        <w:tblLook w:val="0000"/>
      </w:tblPr>
      <w:tblGrid>
        <w:gridCol w:w="2673"/>
        <w:gridCol w:w="5849"/>
      </w:tblGrid>
      <w:tr w:rsidTr="009023B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This unit covers starting, operating and shutting down pressure die casting machines.</w:t>
            </w:r>
          </w:p>
        </w:tc>
      </w:tr>
    </w:tbl>
    <w:p w:rsidR="009023BC" w:rsidP="00AC1C56">
      <w:pPr>
        <w:pStyle w:val="BodyText"/>
      </w:pPr>
    </w:p>
    <w:p w:rsidR="009023BC" w:rsidP="00AC1C56">
      <w:pPr>
        <w:pStyle w:val="BodyText"/>
      </w:pPr>
    </w:p>
    <w:p w:rsidR="00000000" w:rsidRPr="00AC1C56" w:rsidP="00AC1C56">
      <w:pPr>
        <w:pStyle w:val="Heading1"/>
      </w:pPr>
      <w:bookmarkStart w:id="3" w:name="O_210267"/>
      <w:bookmarkEnd w:id="3"/>
      <w:r w:rsidRPr="00AC1C56">
        <w:t>Application of the Unit</w:t>
      </w:r>
    </w:p>
    <w:tbl>
      <w:tblPr>
        <w:tblW w:w="0" w:type="auto"/>
        <w:tblLayout w:type="fixed"/>
        <w:tblCellMar>
          <w:left w:w="62" w:type="dxa"/>
          <w:right w:w="62" w:type="dxa"/>
        </w:tblCellMar>
        <w:tblLook w:val="0000"/>
      </w:tblPr>
      <w:tblGrid>
        <w:gridCol w:w="2745"/>
        <w:gridCol w:w="5777"/>
      </w:tblGrid>
      <w:tr w:rsidTr="009023B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 xml:space="preserve">This unit applies to all pressure die casting machines. All work is carried out to predetermined specifications and standards of quality and safety. Work may be carried out autonomously or as part of </w:t>
            </w:r>
            <w:r w:rsidRPr="00AC1C56">
              <w:t>a work team.</w:t>
            </w:r>
          </w:p>
          <w:p w:rsidR="00000000" w:rsidRPr="00AC1C56" w:rsidP="00AC1C56">
            <w:pPr>
              <w:pStyle w:val="BodyText"/>
            </w:pPr>
          </w:p>
          <w:p w:rsidR="00000000" w:rsidRPr="00AC1C56" w:rsidP="00AC1C56">
            <w:pPr>
              <w:pStyle w:val="BodyText"/>
            </w:pPr>
            <w:r w:rsidRPr="00AC1C56">
              <w:rPr>
                <w:rStyle w:val="SpecialBold"/>
              </w:rPr>
              <w:t>Band</w:t>
            </w:r>
            <w:r w:rsidRPr="00AC1C56">
              <w:t>:</w:t>
            </w:r>
            <w:r w:rsidRPr="00AC1C56">
              <w:tab/>
            </w:r>
            <w:r w:rsidRPr="00AC1C56">
              <w:rPr>
                <w:rStyle w:val="SpecialBold"/>
              </w:rPr>
              <w:t>A</w:t>
            </w:r>
          </w:p>
          <w:p w:rsidR="00000000" w:rsidRPr="00AC1C56" w:rsidP="00AC1C56">
            <w:pPr>
              <w:pStyle w:val="BodyText"/>
            </w:pPr>
            <w:r w:rsidRPr="00AC1C56">
              <w:rPr>
                <w:rStyle w:val="SpecialBold"/>
              </w:rPr>
              <w:t>Unit Weight</w:t>
            </w:r>
            <w:r w:rsidRPr="00AC1C56">
              <w:t>:</w:t>
            </w:r>
            <w:r w:rsidRPr="00AC1C56">
              <w:tab/>
            </w:r>
            <w:r w:rsidRPr="00AC1C56">
              <w:rPr>
                <w:rStyle w:val="SpecialBold"/>
              </w:rPr>
              <w:t>4</w:t>
            </w:r>
          </w:p>
        </w:tc>
      </w:tr>
    </w:tbl>
    <w:p w:rsidR="009023BC" w:rsidP="00AC1C56">
      <w:pPr>
        <w:pStyle w:val="BodyText"/>
      </w:pPr>
    </w:p>
    <w:p w:rsidR="009023BC" w:rsidP="00AC1C56">
      <w:pPr>
        <w:pStyle w:val="BodyText"/>
      </w:pPr>
    </w:p>
    <w:p w:rsidR="00000000" w:rsidRPr="00AC1C56" w:rsidP="00AC1C56">
      <w:pPr>
        <w:pStyle w:val="Heading1"/>
      </w:pPr>
      <w:bookmarkStart w:id="4" w:name="O_280235"/>
      <w:bookmarkEnd w:id="4"/>
      <w:r w:rsidRPr="00AC1C56">
        <w:t>Licensing/Regulatory Information</w:t>
      </w:r>
    </w:p>
    <w:p w:rsidR="00000000" w:rsidRPr="00AC1C56" w:rsidP="00AC1C56">
      <w:pPr>
        <w:pStyle w:val="BodyText"/>
      </w:pPr>
      <w:r w:rsidRPr="00AC1C56">
        <w:t>Not Applicable</w:t>
      </w:r>
    </w:p>
    <w:p w:rsidR="00000000" w:rsidRPr="00AC1C56" w:rsidP="00AC1C56">
      <w:pPr>
        <w:pStyle w:val="AllowPageBreak"/>
      </w:pPr>
    </w:p>
    <w:p w:rsidR="00000000" w:rsidRPr="00AC1C56" w:rsidP="00AC1C56">
      <w:pPr>
        <w:pStyle w:val="Heading1"/>
      </w:pPr>
      <w:bookmarkStart w:id="5" w:name="O_210265"/>
      <w:bookmarkEnd w:id="5"/>
      <w:r w:rsidRPr="00AC1C56">
        <w:t>Pre-Requisites</w:t>
      </w:r>
    </w:p>
    <w:tbl>
      <w:tblPr>
        <w:tblW w:w="0" w:type="auto"/>
        <w:tblLayout w:type="fixed"/>
        <w:tblCellMar>
          <w:left w:w="62" w:type="dxa"/>
          <w:right w:w="62" w:type="dxa"/>
        </w:tblCellMar>
        <w:tblLook w:val="0000"/>
      </w:tblPr>
      <w:tblGrid>
        <w:gridCol w:w="2720"/>
        <w:gridCol w:w="2195"/>
        <w:gridCol w:w="3607"/>
      </w:tblGrid>
      <w:tr w:rsidTr="009023BC">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Path 1</w:t>
            </w:r>
            <w:r w:rsidRPr="00AC1C56">
              <w:t xml:space="preserve">  </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 xml:space="preserve">MEM13004B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Work safely with molten metals/glass</w:t>
            </w:r>
          </w:p>
        </w:tc>
      </w:tr>
      <w:tr w:rsidTr="009023BC">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p>
        </w:tc>
      </w:tr>
    </w:tbl>
    <w:p w:rsidR="009023BC" w:rsidP="00AC1C56">
      <w:pPr>
        <w:pStyle w:val="BodyText"/>
      </w:pPr>
    </w:p>
    <w:p w:rsidR="009023BC" w:rsidP="00AC1C56">
      <w:pPr>
        <w:pStyle w:val="BodyText"/>
      </w:pPr>
    </w:p>
    <w:p w:rsidR="00000000" w:rsidRPr="00AC1C56" w:rsidP="00AC1C56">
      <w:pPr>
        <w:pStyle w:val="Heading1"/>
      </w:pPr>
      <w:bookmarkStart w:id="6" w:name="O_210264"/>
      <w:bookmarkEnd w:id="6"/>
      <w:r w:rsidRPr="00AC1C56">
        <w:t>Employability Skills Information</w:t>
      </w:r>
    </w:p>
    <w:tbl>
      <w:tblPr>
        <w:tblW w:w="0" w:type="auto"/>
        <w:tblLayout w:type="fixed"/>
        <w:tblCellMar>
          <w:left w:w="62" w:type="dxa"/>
          <w:right w:w="62" w:type="dxa"/>
        </w:tblCellMar>
        <w:tblLook w:val="0000"/>
      </w:tblPr>
      <w:tblGrid>
        <w:gridCol w:w="2802"/>
        <w:gridCol w:w="5720"/>
      </w:tblGrid>
      <w:tr w:rsidTr="009023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This unit contains employability skills.</w:t>
            </w:r>
          </w:p>
        </w:tc>
      </w:tr>
    </w:tbl>
    <w:p w:rsidR="009023BC" w:rsidP="00AC1C56">
      <w:pPr>
        <w:pStyle w:val="BodyText"/>
      </w:pPr>
    </w:p>
    <w:p w:rsidR="009023BC" w:rsidP="00AC1C56">
      <w:pPr>
        <w:pStyle w:val="BodyText"/>
      </w:pPr>
    </w:p>
    <w:p w:rsidR="00000000" w:rsidRPr="00AC1C56" w:rsidP="00AC1C56">
      <w:pPr>
        <w:pStyle w:val="Heading1"/>
      </w:pPr>
      <w:bookmarkStart w:id="7" w:name="O_290021"/>
      <w:bookmarkEnd w:id="7"/>
      <w:r w:rsidRPr="00AC1C56">
        <w:t>Elements and Performance Criteria Pre-Content</w:t>
      </w:r>
    </w:p>
    <w:tbl>
      <w:tblPr>
        <w:tblW w:w="0" w:type="auto"/>
        <w:tblLayout w:type="fixed"/>
        <w:tblCellMar>
          <w:left w:w="62" w:type="dxa"/>
          <w:right w:w="62" w:type="dxa"/>
        </w:tblCellMar>
        <w:tblLook w:val="0000"/>
      </w:tblPr>
      <w:tblGrid>
        <w:gridCol w:w="2547"/>
        <w:gridCol w:w="5975"/>
      </w:tblGrid>
      <w:tr w:rsidTr="009023B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Performance criteria describe</w:t>
            </w:r>
            <w:r w:rsidRPr="00AC1C5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C1C56">
              <w:t>the evidence guide.</w:t>
            </w:r>
          </w:p>
        </w:tc>
      </w:tr>
    </w:tbl>
    <w:p w:rsidR="00000000" w:rsidRPr="00AC1C56" w:rsidP="00AC1C56">
      <w:pPr>
        <w:pStyle w:val="BodyText"/>
      </w:pPr>
    </w:p>
    <w:p w:rsidR="00000000" w:rsidRPr="00AC1C56" w:rsidP="00AC1C56">
      <w:pPr>
        <w:pStyle w:val="AllowPageBreak"/>
      </w:pPr>
    </w:p>
    <w:p w:rsidR="00000000" w:rsidRPr="00AC1C56" w:rsidP="00AC1C56">
      <w:pPr>
        <w:pStyle w:val="Heading1"/>
      </w:pPr>
      <w:bookmarkStart w:id="8" w:name="O_236688"/>
      <w:bookmarkEnd w:id="8"/>
      <w:r w:rsidRPr="00AC1C56">
        <w:t>Elements and Performance Criteria</w:t>
      </w:r>
    </w:p>
    <w:tbl>
      <w:tblPr>
        <w:tblW w:w="0" w:type="auto"/>
        <w:tblLayout w:type="fixed"/>
        <w:tblCellMar>
          <w:left w:w="62" w:type="dxa"/>
          <w:right w:w="62" w:type="dxa"/>
        </w:tblCellMar>
        <w:tblLook w:val="0000"/>
      </w:tblPr>
      <w:tblGrid>
        <w:gridCol w:w="2547"/>
        <w:gridCol w:w="5975"/>
      </w:tblGrid>
      <w:tr w:rsidTr="009023BC">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PERFORMANCE CRITERIA</w:t>
            </w:r>
          </w:p>
        </w:tc>
      </w:tr>
      <w:tr w:rsidTr="009023B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List"/>
              <w:rPr>
                <w:lang w:val="en-NZ"/>
              </w:rPr>
            </w:pPr>
            <w:r w:rsidRPr="00AC1C56">
              <w:t>1.</w:t>
            </w:r>
            <w:r w:rsidRPr="00AC1C56">
              <w:tab/>
              <w:t>Conduct pre-operational checks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List2"/>
            </w:pPr>
            <w:r w:rsidRPr="00AC1C56">
              <w:t>1.1.</w:t>
            </w:r>
            <w:r w:rsidRPr="00AC1C56">
              <w:tab/>
              <w:t>The start-up procedure is conducted according to standard operating procedures.</w:t>
            </w:r>
          </w:p>
          <w:p w:rsidR="00000000" w:rsidRPr="00AC1C56" w:rsidP="00AC1C56">
            <w:pPr>
              <w:pStyle w:val="List2"/>
            </w:pPr>
            <w:r w:rsidRPr="00AC1C56">
              <w:t>1.2.</w:t>
            </w:r>
            <w:r w:rsidRPr="00AC1C56">
              <w:tab/>
            </w:r>
            <w:r w:rsidRPr="00AC1C56">
              <w:t>If necessary, the shot size is adjusted.</w:t>
            </w:r>
          </w:p>
          <w:p w:rsidR="00000000" w:rsidRPr="00AC1C56" w:rsidP="00AC1C56">
            <w:pPr>
              <w:pStyle w:val="List2"/>
            </w:pPr>
            <w:r w:rsidRPr="00AC1C56">
              <w:t>1.3.</w:t>
            </w:r>
            <w:r w:rsidRPr="00AC1C56">
              <w:tab/>
              <w:t>If applicable, nitrogen and/or vacuum systems are checked</w:t>
            </w:r>
          </w:p>
          <w:p w:rsidR="00000000" w:rsidRPr="00AC1C56" w:rsidP="00AC1C56">
            <w:pPr>
              <w:pStyle w:val="List2"/>
            </w:pPr>
            <w:r w:rsidRPr="00AC1C56">
              <w:t>1.4.</w:t>
            </w:r>
            <w:r w:rsidRPr="00AC1C56">
              <w:tab/>
              <w:t>If applicable, a functional check is made of the picking robot, and the component gripper is adjusted if necessary.</w:t>
            </w:r>
          </w:p>
          <w:p w:rsidR="00000000" w:rsidRPr="00AC1C56" w:rsidP="00AC1C56">
            <w:pPr>
              <w:pStyle w:val="List2"/>
            </w:pPr>
            <w:r w:rsidRPr="00AC1C56">
              <w:t>1.5.</w:t>
            </w:r>
            <w:r w:rsidRPr="00AC1C56">
              <w:tab/>
            </w:r>
            <w:r w:rsidRPr="00AC1C56">
              <w:t>Die spray nozzles are adjusted as necessary.</w:t>
            </w:r>
          </w:p>
          <w:p w:rsidR="00000000" w:rsidP="00AC1C56">
            <w:pPr>
              <w:pStyle w:val="List2"/>
              <w:rPr>
                <w:lang w:val="en-NZ"/>
              </w:rPr>
            </w:pPr>
            <w:r w:rsidRPr="00AC1C56">
              <w:t>1.6.</w:t>
            </w:r>
            <w:r w:rsidRPr="00AC1C56">
              <w:tab/>
              <w:t>Planning is carried out which ensures efficient flow of finished product i.e. breaking of runners, stacking baskets, bins, conveyors.</w:t>
            </w:r>
          </w:p>
        </w:tc>
      </w:tr>
      <w:tr w:rsidTr="009023B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List"/>
              <w:rPr>
                <w:lang w:val="en-NZ"/>
              </w:rPr>
            </w:pPr>
            <w:r w:rsidRPr="00AC1C56">
              <w:t>2.</w:t>
            </w:r>
            <w:r w:rsidRPr="00AC1C56">
              <w:tab/>
              <w:t>Operate all functions on machine control panel</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List2"/>
              <w:rPr>
                <w:lang w:val="en-NZ"/>
              </w:rPr>
            </w:pPr>
            <w:r w:rsidRPr="00AC1C56">
              <w:t>2.1.</w:t>
            </w:r>
            <w:r w:rsidRPr="00AC1C56">
              <w:tab/>
              <w:t>Appropriate know</w:t>
            </w:r>
            <w:r w:rsidRPr="00AC1C56">
              <w:t>ledge of die casting process is applied to the operation, adjustment and monitoring of machine functions.</w:t>
            </w:r>
          </w:p>
        </w:tc>
      </w:tr>
      <w:tr w:rsidTr="009023B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List"/>
              <w:rPr>
                <w:lang w:val="en-NZ"/>
              </w:rPr>
            </w:pPr>
            <w:r w:rsidRPr="00AC1C56">
              <w:t>3.</w:t>
            </w:r>
            <w:r w:rsidRPr="00AC1C56">
              <w:tab/>
              <w:t>Operate machine to produce castings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List2"/>
            </w:pPr>
            <w:r w:rsidRPr="00AC1C56">
              <w:t>3.1.</w:t>
            </w:r>
            <w:r w:rsidRPr="00AC1C56">
              <w:tab/>
              <w:t>The die casting machine is operated to standard operating procedures, including maintenance of liquid met</w:t>
            </w:r>
            <w:r w:rsidRPr="00AC1C56">
              <w:t>al and die operating conditions.</w:t>
            </w:r>
          </w:p>
          <w:p w:rsidR="00000000" w:rsidRPr="00AC1C56" w:rsidP="00AC1C56">
            <w:pPr>
              <w:pStyle w:val="List2"/>
            </w:pPr>
            <w:r w:rsidRPr="00AC1C56">
              <w:t>3.2.</w:t>
            </w:r>
            <w:r w:rsidRPr="00AC1C56">
              <w:tab/>
              <w:t>Runners are broken off correctly.</w:t>
            </w:r>
          </w:p>
          <w:p w:rsidR="00000000" w:rsidRPr="00AC1C56" w:rsidP="00AC1C56">
            <w:pPr>
              <w:pStyle w:val="List2"/>
            </w:pPr>
            <w:r w:rsidRPr="00AC1C56">
              <w:t>3.3.</w:t>
            </w:r>
            <w:r w:rsidRPr="00AC1C56">
              <w:tab/>
              <w:t>Castings are visually inspected for porosity, cracks, tears, splits, sinks, cold shuts, tinning and die surface crazing according to standard operating procedures.</w:t>
            </w:r>
          </w:p>
          <w:p w:rsidR="00000000" w:rsidRPr="00AC1C56" w:rsidP="00AC1C56">
            <w:pPr>
              <w:pStyle w:val="List2"/>
            </w:pPr>
            <w:r w:rsidRPr="00AC1C56">
              <w:t>3.4.</w:t>
            </w:r>
            <w:r w:rsidRPr="00AC1C56">
              <w:tab/>
              <w:t>Castings a</w:t>
            </w:r>
            <w:r w:rsidRPr="00AC1C56">
              <w:t>re handled in a manner that minimises risk of damage to the casting and injury to personnel.</w:t>
            </w:r>
          </w:p>
          <w:p w:rsidR="00000000" w:rsidP="00AC1C56">
            <w:pPr>
              <w:pStyle w:val="List2"/>
              <w:rPr>
                <w:lang w:val="en-NZ"/>
              </w:rPr>
            </w:pPr>
            <w:r w:rsidRPr="00AC1C56">
              <w:t>3.5.</w:t>
            </w:r>
            <w:r w:rsidRPr="00AC1C56">
              <w:tab/>
              <w:t>First-off castings are produced, visually inspected and submitted for checking against specifications.</w:t>
            </w:r>
          </w:p>
        </w:tc>
      </w:tr>
      <w:tr w:rsidTr="009023B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List"/>
              <w:rPr>
                <w:lang w:val="en-NZ"/>
              </w:rPr>
            </w:pPr>
            <w:r w:rsidRPr="00AC1C56">
              <w:t>4.</w:t>
            </w:r>
            <w:r w:rsidRPr="00AC1C56">
              <w:tab/>
              <w:t>Monitor furnace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List2"/>
            </w:pPr>
            <w:r w:rsidRPr="00AC1C56">
              <w:t>4.1.</w:t>
            </w:r>
            <w:r w:rsidRPr="00AC1C56">
              <w:tab/>
              <w:t>The furnace is maintained at o</w:t>
            </w:r>
            <w:r w:rsidRPr="00AC1C56">
              <w:t>ptimum operating condition to standard operating procedures.</w:t>
            </w:r>
          </w:p>
        </w:tc>
      </w:tr>
    </w:tbl>
    <w:p w:rsidR="009023BC" w:rsidP="00AC1C56">
      <w:pPr>
        <w:pStyle w:val="BodyText"/>
      </w:pPr>
    </w:p>
    <w:p w:rsidR="009023BC" w:rsidP="00AC1C56">
      <w:pPr>
        <w:pStyle w:val="BodyText"/>
      </w:pPr>
    </w:p>
    <w:p w:rsidR="00000000" w:rsidRPr="00AC1C56" w:rsidP="00AC1C56">
      <w:pPr>
        <w:pStyle w:val="Heading1"/>
      </w:pPr>
      <w:bookmarkStart w:id="9" w:name="O_260638"/>
      <w:bookmarkEnd w:id="9"/>
      <w:r w:rsidRPr="00AC1C56">
        <w:t>Required Skills and Knowledge</w:t>
      </w:r>
    </w:p>
    <w:tbl>
      <w:tblPr>
        <w:tblW w:w="0" w:type="auto"/>
        <w:tblLayout w:type="fixed"/>
        <w:tblCellMar>
          <w:left w:w="62" w:type="dxa"/>
          <w:right w:w="62" w:type="dxa"/>
        </w:tblCellMar>
        <w:tblLook w:val="0000"/>
      </w:tblPr>
      <w:tblGrid>
        <w:gridCol w:w="8522"/>
      </w:tblGrid>
      <w:tr w:rsidTr="009023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REQUIRED SKILLS AND KNOWLEDGE</w:t>
            </w:r>
          </w:p>
        </w:tc>
      </w:tr>
      <w:tr w:rsidTr="009023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This section describes the skills and knowledge required for this unit.</w:t>
            </w:r>
          </w:p>
        </w:tc>
      </w:tr>
      <w:tr w:rsidTr="00902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Required skills</w:t>
            </w:r>
          </w:p>
        </w:tc>
      </w:tr>
      <w:tr w:rsidTr="00902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Look for evidence that confirms skills in:</w:t>
            </w:r>
          </w:p>
          <w:p w:rsidR="00000000" w:rsidRPr="00AC1C56" w:rsidP="00AC1C56">
            <w:pPr>
              <w:pStyle w:val="ListBullet"/>
            </w:pPr>
            <w:r w:rsidRPr="00AC1C56">
              <w:t>reading and following information on written job procedures and specifications</w:t>
            </w:r>
          </w:p>
          <w:p w:rsidR="00000000" w:rsidRPr="00AC1C56" w:rsidP="00AC1C56">
            <w:pPr>
              <w:pStyle w:val="ListBullet"/>
            </w:pPr>
            <w:r w:rsidRPr="00AC1C56">
              <w:t>performing pre-start checks</w:t>
            </w:r>
          </w:p>
          <w:p w:rsidR="00000000" w:rsidRPr="00AC1C56" w:rsidP="00AC1C56">
            <w:pPr>
              <w:pStyle w:val="ListBullet"/>
            </w:pPr>
            <w:r w:rsidRPr="00AC1C56">
              <w:t>adjusting the shot size</w:t>
            </w:r>
          </w:p>
          <w:p w:rsidR="00000000" w:rsidRPr="00AC1C56" w:rsidP="00AC1C56">
            <w:pPr>
              <w:pStyle w:val="ListBullet"/>
            </w:pPr>
            <w:r w:rsidRPr="00AC1C56">
              <w:t>checking nitrogen and/or vacuum systems for correct operation</w:t>
            </w:r>
          </w:p>
          <w:p w:rsidR="00000000" w:rsidRPr="00AC1C56" w:rsidP="00AC1C56">
            <w:pPr>
              <w:pStyle w:val="ListBullet"/>
            </w:pPr>
            <w:r w:rsidRPr="00AC1C56">
              <w:t>checking and adjust</w:t>
            </w:r>
            <w:r w:rsidRPr="00AC1C56">
              <w:t>ing the picking robot and component gripper</w:t>
            </w:r>
          </w:p>
          <w:p w:rsidR="00000000" w:rsidRPr="00AC1C56" w:rsidP="00AC1C56">
            <w:pPr>
              <w:pStyle w:val="ListBullet"/>
            </w:pPr>
            <w:r w:rsidRPr="00AC1C56">
              <w:t>adjusting die spray nozzles</w:t>
            </w:r>
          </w:p>
          <w:p w:rsidR="00000000" w:rsidRPr="00AC1C56" w:rsidP="00AC1C56">
            <w:pPr>
              <w:pStyle w:val="ListBullet"/>
            </w:pPr>
            <w:r w:rsidRPr="00AC1C56">
              <w:t>sequencing of operations</w:t>
            </w:r>
          </w:p>
          <w:p w:rsidR="00000000" w:rsidRPr="00AC1C56" w:rsidP="00AC1C56">
            <w:pPr>
              <w:pStyle w:val="ListBullet"/>
            </w:pPr>
            <w:r w:rsidRPr="00AC1C56">
              <w:t>starting, operating and shutting down a die casting machine</w:t>
            </w:r>
          </w:p>
          <w:p w:rsidR="00000000" w:rsidRPr="00AC1C56" w:rsidP="00AC1C56">
            <w:pPr>
              <w:pStyle w:val="ListBullet"/>
            </w:pPr>
            <w:r w:rsidRPr="00AC1C56">
              <w:t>visually checking for conformance to specifications</w:t>
            </w:r>
          </w:p>
          <w:p w:rsidR="00000000" w:rsidP="00AC1C56">
            <w:pPr>
              <w:pStyle w:val="ListBullet"/>
              <w:rPr>
                <w:lang w:val="en-NZ"/>
              </w:rPr>
            </w:pPr>
            <w:r w:rsidRPr="00AC1C56">
              <w:t>handling castings</w:t>
            </w:r>
          </w:p>
        </w:tc>
      </w:tr>
      <w:tr w:rsidTr="00902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Required knowledge</w:t>
            </w:r>
          </w:p>
        </w:tc>
      </w:tr>
      <w:tr w:rsidTr="00902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Look for evidence that confirms knowledge of:</w:t>
            </w:r>
          </w:p>
          <w:p w:rsidR="00000000" w:rsidRPr="00AC1C56" w:rsidP="00AC1C56">
            <w:pPr>
              <w:pStyle w:val="ListBullet"/>
            </w:pPr>
            <w:r w:rsidRPr="00AC1C56">
              <w:t xml:space="preserve">procedures for pre-start checks </w:t>
            </w:r>
          </w:p>
          <w:p w:rsidR="00000000" w:rsidRPr="00AC1C56" w:rsidP="00AC1C56">
            <w:pPr>
              <w:pStyle w:val="ListBullet"/>
            </w:pPr>
            <w:r w:rsidRPr="00AC1C56">
              <w:t>procedures for starting up the die casting machine</w:t>
            </w:r>
          </w:p>
          <w:p w:rsidR="00000000" w:rsidRPr="00AC1C56" w:rsidP="00AC1C56">
            <w:pPr>
              <w:pStyle w:val="ListBullet"/>
            </w:pPr>
            <w:r w:rsidRPr="00AC1C56">
              <w:t>adjustments that can be made to ensure correct operation of the machine</w:t>
            </w:r>
          </w:p>
          <w:p w:rsidR="00000000" w:rsidRPr="00AC1C56" w:rsidP="00AC1C56">
            <w:pPr>
              <w:pStyle w:val="ListBullet"/>
            </w:pPr>
            <w:r w:rsidRPr="00AC1C56">
              <w:t xml:space="preserve">procedures for adjusting the shot size </w:t>
            </w:r>
          </w:p>
          <w:p w:rsidR="00000000" w:rsidRPr="00AC1C56" w:rsidP="00AC1C56">
            <w:pPr>
              <w:pStyle w:val="ListBullet"/>
            </w:pPr>
            <w:r w:rsidRPr="00AC1C56">
              <w:t>the effects o</w:t>
            </w:r>
            <w:r w:rsidRPr="00AC1C56">
              <w:t>f incorrect shot size on the quality of the die casting</w:t>
            </w:r>
          </w:p>
          <w:p w:rsidR="00000000" w:rsidRPr="00AC1C56" w:rsidP="00AC1C56">
            <w:pPr>
              <w:pStyle w:val="ListBullet"/>
            </w:pPr>
            <w:r w:rsidRPr="00AC1C56">
              <w:t xml:space="preserve">the function of nitrogen and vacuum systems in the die casting process </w:t>
            </w:r>
          </w:p>
          <w:p w:rsidR="00000000" w:rsidRPr="00AC1C56" w:rsidP="00AC1C56">
            <w:pPr>
              <w:pStyle w:val="ListBullet"/>
            </w:pPr>
            <w:r w:rsidRPr="00AC1C56">
              <w:t>the procedures for checking/ adjusting nitrogen and/or vacuum systems</w:t>
            </w:r>
          </w:p>
          <w:p w:rsidR="00000000" w:rsidRPr="00AC1C56" w:rsidP="00AC1C56">
            <w:pPr>
              <w:pStyle w:val="ListBullet"/>
            </w:pPr>
            <w:r w:rsidRPr="00AC1C56">
              <w:t>the function of a picking robot and the component gripper</w:t>
            </w:r>
          </w:p>
          <w:p w:rsidR="00000000" w:rsidRPr="00AC1C56" w:rsidP="00AC1C56">
            <w:pPr>
              <w:pStyle w:val="ListBullet"/>
            </w:pPr>
            <w:r w:rsidRPr="00AC1C56">
              <w:t>procedures for adjusting the picking robot</w:t>
            </w:r>
          </w:p>
          <w:p w:rsidR="00000000" w:rsidRPr="00AC1C56" w:rsidP="00AC1C56">
            <w:pPr>
              <w:pStyle w:val="ListBullet"/>
            </w:pPr>
            <w:r w:rsidRPr="00AC1C56">
              <w:t>the effects of adjustments on robot performance</w:t>
            </w:r>
          </w:p>
          <w:p w:rsidR="00000000" w:rsidRPr="00AC1C56" w:rsidP="00AC1C56">
            <w:pPr>
              <w:pStyle w:val="ListBullet"/>
            </w:pPr>
            <w:r w:rsidRPr="00AC1C56">
              <w:t xml:space="preserve">the reasons for spraying the die </w:t>
            </w:r>
          </w:p>
          <w:p w:rsidR="00000000" w:rsidRPr="00AC1C56" w:rsidP="00AC1C56">
            <w:pPr>
              <w:pStyle w:val="ListBullet"/>
            </w:pPr>
            <w:r w:rsidRPr="00AC1C56">
              <w:t>procedures for adjusting the die spray nozzles</w:t>
            </w:r>
          </w:p>
          <w:p w:rsidR="00000000" w:rsidRPr="00AC1C56" w:rsidP="00AC1C56">
            <w:pPr>
              <w:pStyle w:val="ListBullet"/>
            </w:pPr>
            <w:r w:rsidRPr="00AC1C56">
              <w:t>operations to be performed subsequent to the die casting of the product</w:t>
            </w:r>
          </w:p>
          <w:p w:rsidR="00000000" w:rsidRPr="00AC1C56" w:rsidP="00AC1C56">
            <w:pPr>
              <w:pStyle w:val="ListBullet"/>
            </w:pPr>
            <w:r w:rsidRPr="00AC1C56">
              <w:t>tools and eq</w:t>
            </w:r>
            <w:r w:rsidRPr="00AC1C56">
              <w:t>uipment</w:t>
            </w:r>
          </w:p>
          <w:p w:rsidR="00000000" w:rsidRPr="00AC1C56" w:rsidP="00AC1C56">
            <w:pPr>
              <w:pStyle w:val="ListBullet"/>
            </w:pPr>
            <w:r w:rsidRPr="00AC1C56">
              <w:t>methods of transporting/conveying the die cast product</w:t>
            </w:r>
          </w:p>
          <w:p w:rsidR="00000000" w:rsidRPr="00AC1C56" w:rsidP="00AC1C56">
            <w:pPr>
              <w:pStyle w:val="ListBullet"/>
            </w:pPr>
            <w:r w:rsidRPr="00AC1C56">
              <w:t>the die casting process</w:t>
            </w:r>
          </w:p>
          <w:p w:rsidR="00000000" w:rsidRPr="00AC1C56" w:rsidP="00AC1C56">
            <w:pPr>
              <w:pStyle w:val="ListBullet"/>
            </w:pPr>
            <w:r w:rsidRPr="00AC1C56">
              <w:t>the effect of adjusting each machine control on the quality of the die casting produced</w:t>
            </w:r>
          </w:p>
          <w:p w:rsidR="00000000" w:rsidRPr="00AC1C56" w:rsidP="00AC1C56">
            <w:pPr>
              <w:pStyle w:val="ListBullet"/>
            </w:pPr>
            <w:r w:rsidRPr="00AC1C56">
              <w:t>procedures to adjust the operation of the die casting machine</w:t>
            </w:r>
          </w:p>
          <w:p w:rsidR="00000000" w:rsidRPr="00AC1C56" w:rsidP="00AC1C56">
            <w:pPr>
              <w:pStyle w:val="ListBullet"/>
            </w:pPr>
            <w:r w:rsidRPr="00AC1C56">
              <w:t>die casting machine</w:t>
            </w:r>
            <w:r w:rsidRPr="00AC1C56">
              <w:t xml:space="preserve"> operation</w:t>
            </w:r>
          </w:p>
          <w:p w:rsidR="00000000" w:rsidRPr="00AC1C56" w:rsidP="00AC1C56">
            <w:pPr>
              <w:pStyle w:val="ListBullet"/>
            </w:pPr>
            <w:r w:rsidRPr="00AC1C56">
              <w:t>maintenance of liquid levels</w:t>
            </w:r>
          </w:p>
          <w:p w:rsidR="00000000" w:rsidRPr="00AC1C56" w:rsidP="00AC1C56">
            <w:pPr>
              <w:pStyle w:val="ListBullet"/>
            </w:pPr>
            <w:r w:rsidRPr="00AC1C56">
              <w:t>operating parameters</w:t>
            </w:r>
          </w:p>
          <w:p w:rsidR="00000000" w:rsidRPr="00AC1C56" w:rsidP="00AC1C56">
            <w:pPr>
              <w:pStyle w:val="ListBullet"/>
            </w:pPr>
            <w:r w:rsidRPr="00AC1C56">
              <w:t>procedures to remove runners from the die casting</w:t>
            </w:r>
          </w:p>
          <w:p w:rsidR="00000000" w:rsidRPr="00AC1C56" w:rsidP="00AC1C56">
            <w:pPr>
              <w:pStyle w:val="ListBullet"/>
            </w:pPr>
            <w:r w:rsidRPr="00AC1C56">
              <w:t xml:space="preserve">procedures to inspect die castings </w:t>
            </w:r>
          </w:p>
          <w:p w:rsidR="00000000" w:rsidRPr="00AC1C56" w:rsidP="00AC1C56">
            <w:pPr>
              <w:pStyle w:val="ListBullet"/>
            </w:pPr>
            <w:r w:rsidRPr="00AC1C56">
              <w:t>common faults in die castings and probable causes</w:t>
            </w:r>
          </w:p>
          <w:p w:rsidR="00000000" w:rsidRPr="00AC1C56" w:rsidP="00AC1C56">
            <w:pPr>
              <w:pStyle w:val="ListBullet"/>
            </w:pPr>
            <w:r w:rsidRPr="00AC1C56">
              <w:t>damage that can be caused to castings through inappropriate</w:t>
            </w:r>
            <w:r w:rsidRPr="00AC1C56">
              <w:t xml:space="preserve"> handling and storage</w:t>
            </w:r>
          </w:p>
          <w:p w:rsidR="00000000" w:rsidRPr="00AC1C56" w:rsidP="00AC1C56">
            <w:pPr>
              <w:pStyle w:val="ListBullet"/>
            </w:pPr>
            <w:r w:rsidRPr="00AC1C56">
              <w:t xml:space="preserve">procedures for checking first-off castings for conformance to specification </w:t>
            </w:r>
          </w:p>
          <w:p w:rsidR="00000000" w:rsidRPr="00AC1C56" w:rsidP="00AC1C56">
            <w:pPr>
              <w:pStyle w:val="ListBullet"/>
            </w:pPr>
            <w:r w:rsidRPr="00AC1C56">
              <w:t>specifications of the die cast product</w:t>
            </w:r>
          </w:p>
          <w:p w:rsidR="00000000" w:rsidRPr="00AC1C56" w:rsidP="00AC1C56">
            <w:pPr>
              <w:pStyle w:val="ListBullet"/>
            </w:pPr>
            <w:r w:rsidRPr="00AC1C56">
              <w:t>shut-down procedures</w:t>
            </w:r>
          </w:p>
          <w:p w:rsidR="00000000" w:rsidRPr="00AC1C56" w:rsidP="00AC1C56">
            <w:pPr>
              <w:pStyle w:val="ListBullet"/>
            </w:pPr>
            <w:r w:rsidRPr="00AC1C56">
              <w:t>hazards and control measures associated with operating a die casting machine, including housekeep</w:t>
            </w:r>
            <w:r w:rsidRPr="00AC1C56">
              <w:t>ing</w:t>
            </w:r>
          </w:p>
          <w:p w:rsidR="00000000" w:rsidRPr="00AC1C56" w:rsidP="00AC1C56">
            <w:pPr>
              <w:pStyle w:val="ListBullet"/>
            </w:pPr>
            <w:r w:rsidRPr="00AC1C56">
              <w:t>safe work practices and procedures</w:t>
            </w:r>
          </w:p>
          <w:p w:rsidR="00000000" w:rsidRPr="00AC1C56" w:rsidP="00AC1C56">
            <w:pPr>
              <w:pStyle w:val="ListBullet"/>
            </w:pPr>
            <w:r w:rsidRPr="00AC1C56">
              <w:t>use and application of personal protective equipment</w:t>
            </w:r>
          </w:p>
        </w:tc>
      </w:tr>
    </w:tbl>
    <w:p w:rsidR="009023BC" w:rsidP="00AC1C56">
      <w:pPr>
        <w:pStyle w:val="BodyText"/>
      </w:pPr>
    </w:p>
    <w:p w:rsidR="009023BC" w:rsidP="00AC1C56">
      <w:pPr>
        <w:pStyle w:val="BodyText"/>
      </w:pPr>
    </w:p>
    <w:p w:rsidR="00000000" w:rsidRPr="00AC1C56" w:rsidP="00AC1C56">
      <w:pPr>
        <w:pStyle w:val="AllowPageBreak"/>
      </w:pPr>
    </w:p>
    <w:p w:rsidR="00000000" w:rsidRPr="00AC1C56" w:rsidP="00AC1C56">
      <w:pPr>
        <w:pStyle w:val="Heading1"/>
      </w:pPr>
      <w:bookmarkStart w:id="10" w:name="O_244672"/>
      <w:bookmarkEnd w:id="10"/>
      <w:r w:rsidRPr="00AC1C56">
        <w:t>Evidence Guide</w:t>
      </w:r>
    </w:p>
    <w:tbl>
      <w:tblPr>
        <w:tblW w:w="9570" w:type="dxa"/>
        <w:tblLayout w:type="fixed"/>
        <w:tblCellMar>
          <w:left w:w="62" w:type="dxa"/>
          <w:right w:w="62" w:type="dxa"/>
        </w:tblCellMar>
        <w:tblLook w:val="0000"/>
      </w:tblPr>
      <w:tblGrid>
        <w:gridCol w:w="3908"/>
        <w:gridCol w:w="5662"/>
      </w:tblGrid>
      <w:tr w:rsidTr="009023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EVIDENCE GUIDE</w:t>
            </w:r>
          </w:p>
        </w:tc>
      </w:tr>
      <w:tr w:rsidTr="009023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The evidence guide provides advice on assessment and must be rea</w:t>
            </w:r>
            <w:r w:rsidRPr="00AC1C56">
              <w:t>d in conjunction with the performance criteria, required skills and knowledge, range statement and the Assessment Guidelines for the Training Package.</w:t>
            </w:r>
          </w:p>
        </w:tc>
      </w:tr>
      <w:tr w:rsidTr="009023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A person who demonstrates competency in this unit must be able to operate a pressure die casting machine. Competency in this unit cannot be claimed until all prerequisites have been satisfied.</w:t>
            </w:r>
          </w:p>
        </w:tc>
      </w:tr>
      <w:tr w:rsidTr="009023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Critical aspects for assessment and evidence required to demon</w:t>
            </w:r>
            <w:r w:rsidRPr="00AC1C56">
              <w:rPr>
                <w:rStyle w:val="SpecialBold"/>
              </w:rPr>
              <w:t>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Assessors must be satisfied that the candidate can competently and consistently perform all elements of the unit as specified by the criteria, including required knowledge, and be capable of applying the competency in new and</w:t>
            </w:r>
            <w:r w:rsidRPr="00AC1C56">
              <w:t xml:space="preserve"> different situations and contexts.</w:t>
            </w:r>
          </w:p>
        </w:tc>
      </w:tr>
      <w:tr w:rsidTr="009023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This unit may be assessed on the job, off the job or a combination of both on and off the job. Where assessment occurs off the job, that is the candidate is not in produc</w:t>
            </w:r>
            <w:r w:rsidRPr="00AC1C56">
              <w:t>tive work, then an appropriate simulation must be used where the range of conditions reflects realistic workplace situations. The competencies covered by this unit would be demonstrated by an individual working alone or as part of a team. The assessment en</w:t>
            </w:r>
            <w:r w:rsidRPr="00AC1C56">
              <w:t>vironment should not disadvantage the candidate.</w:t>
            </w:r>
          </w:p>
          <w:p w:rsidR="00000000" w:rsidP="00AC1C56">
            <w:pPr>
              <w:pStyle w:val="BodyText"/>
              <w:rPr>
                <w:lang w:val="en-NZ"/>
              </w:rPr>
            </w:pPr>
            <w:r w:rsidRPr="00AC1C56">
              <w:t>This unit could be assessed in conjunction with any other units addressing the safety, quality, communication, materials handling, recording and reporting associated with operating a pressure die casting mac</w:t>
            </w:r>
            <w:r w:rsidRPr="00AC1C56">
              <w:t>hine or other units requiring the exercise of the skills and knowledge covered by this unit.</w:t>
            </w:r>
          </w:p>
        </w:tc>
      </w:tr>
      <w:tr w:rsidTr="009023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Assessors should gather a range of evidence that is valid, sufficient, current and authentic. Evidence can be gathered through a variety of w</w:t>
            </w:r>
            <w:r w:rsidRPr="00AC1C56">
              <w:t>ays including direct observation, supervisor's reports, project work, samples and questioning. Questioning techniques should not require language, literacy and numeracy skills beyond those required in this unit of competency. The candidate must have access</w:t>
            </w:r>
            <w:r w:rsidRPr="00AC1C56">
              <w:t xml:space="preserve"> to all tools, equipment, materials and documentation required. The candidate must be permitted to refer to any relevant workplace procedures, product and manufacturing specifications, codes, standards, manuals and reference materials.</w:t>
            </w:r>
          </w:p>
        </w:tc>
      </w:tr>
      <w:tr w:rsidTr="009023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Guidance informatio</w:t>
            </w:r>
            <w:r w:rsidRPr="00AC1C56">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p>
        </w:tc>
      </w:tr>
    </w:tbl>
    <w:p w:rsidR="009023BC" w:rsidP="00AC1C56">
      <w:pPr>
        <w:pStyle w:val="BodyText"/>
      </w:pPr>
    </w:p>
    <w:p w:rsidR="009023BC" w:rsidP="00AC1C56">
      <w:pPr>
        <w:pStyle w:val="BodyText"/>
      </w:pPr>
    </w:p>
    <w:p w:rsidR="00000000" w:rsidRPr="00AC1C56" w:rsidP="00AC1C56">
      <w:pPr>
        <w:pStyle w:val="Heading1"/>
      </w:pPr>
      <w:bookmarkStart w:id="11" w:name="O_252655"/>
      <w:bookmarkEnd w:id="11"/>
      <w:r w:rsidRPr="00AC1C56">
        <w:t>Range Statement</w:t>
      </w:r>
    </w:p>
    <w:tbl>
      <w:tblPr>
        <w:tblW w:w="0" w:type="auto"/>
        <w:tblLayout w:type="fixed"/>
        <w:tblCellMar>
          <w:left w:w="62" w:type="dxa"/>
          <w:right w:w="62" w:type="dxa"/>
        </w:tblCellMar>
        <w:tblLook w:val="0000"/>
      </w:tblPr>
      <w:tblGrid>
        <w:gridCol w:w="3506"/>
        <w:gridCol w:w="5016"/>
      </w:tblGrid>
      <w:tr w:rsidTr="009023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RANGE STATEMENT</w:t>
            </w:r>
          </w:p>
        </w:tc>
      </w:tr>
      <w:tr w:rsidTr="009023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t xml:space="preserve">The range statement relates to the unit of competency as a whole. It allows for different work environments and situations that may affect </w:t>
            </w:r>
            <w:r w:rsidRPr="00AC1C56">
              <w:t>performance. Bold italicised wording, if used in the performance criteria, is detailed below. Essential operating conditions that may be present with training and assessment (depending on the work situation, needs of the candidate, accessibility of the ite</w:t>
            </w:r>
            <w:r w:rsidRPr="00AC1C56">
              <w:t>m, and local industry and regional contexts) may also be included.</w:t>
            </w: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p>
        </w:tc>
      </w:tr>
    </w:tbl>
    <w:p w:rsidR="009023BC" w:rsidP="00AC1C56">
      <w:pPr>
        <w:pStyle w:val="BodyText"/>
      </w:pPr>
    </w:p>
    <w:p w:rsidR="009023BC" w:rsidP="00AC1C56">
      <w:pPr>
        <w:pStyle w:val="BodyText"/>
      </w:pPr>
    </w:p>
    <w:p w:rsidR="00000000" w:rsidRPr="00AC1C56" w:rsidP="00AC1C56">
      <w:pPr>
        <w:pStyle w:val="Heading1"/>
      </w:pPr>
      <w:bookmarkStart w:id="12" w:name="O_210269"/>
      <w:bookmarkEnd w:id="12"/>
      <w:r w:rsidRPr="00AC1C56">
        <w:t>Unit Sector(s)</w:t>
      </w:r>
    </w:p>
    <w:tbl>
      <w:tblPr>
        <w:tblW w:w="0" w:type="auto"/>
        <w:tblLayout w:type="fixed"/>
        <w:tblCellMar>
          <w:left w:w="62" w:type="dxa"/>
          <w:right w:w="62" w:type="dxa"/>
        </w:tblCellMar>
        <w:tblLook w:val="0000"/>
      </w:tblPr>
      <w:tblGrid>
        <w:gridCol w:w="2654"/>
        <w:gridCol w:w="5868"/>
      </w:tblGrid>
      <w:tr w:rsidTr="009023B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p>
        </w:tc>
      </w:tr>
    </w:tbl>
    <w:p w:rsidR="009023BC" w:rsidP="00AC1C56">
      <w:pPr>
        <w:pStyle w:val="BodyText"/>
      </w:pPr>
    </w:p>
    <w:p w:rsidR="009023BC" w:rsidP="00AC1C56">
      <w:pPr>
        <w:pStyle w:val="BodyText"/>
      </w:pPr>
    </w:p>
    <w:p w:rsidR="00000000" w:rsidRPr="00AC1C56" w:rsidP="00AC1C56">
      <w:pPr>
        <w:pStyle w:val="Heading1"/>
      </w:pPr>
      <w:bookmarkStart w:id="13" w:name="O_210266"/>
      <w:bookmarkEnd w:id="13"/>
      <w:r w:rsidRPr="00AC1C56">
        <w:t>Co-requisite units</w:t>
      </w:r>
    </w:p>
    <w:tbl>
      <w:tblPr>
        <w:tblW w:w="0" w:type="auto"/>
        <w:tblLayout w:type="fixed"/>
        <w:tblCellMar>
          <w:left w:w="62" w:type="dxa"/>
          <w:right w:w="62" w:type="dxa"/>
        </w:tblCellMar>
        <w:tblLook w:val="0000"/>
      </w:tblPr>
      <w:tblGrid>
        <w:gridCol w:w="2641"/>
        <w:gridCol w:w="1322"/>
        <w:gridCol w:w="4559"/>
      </w:tblGrid>
      <w:tr w:rsidTr="009023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p>
        </w:tc>
      </w:tr>
      <w:tr w:rsidTr="009023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p>
        </w:tc>
      </w:tr>
    </w:tbl>
    <w:p w:rsidR="009023BC" w:rsidP="00AC1C56">
      <w:pPr>
        <w:pStyle w:val="BodyText"/>
      </w:pPr>
    </w:p>
    <w:p w:rsidR="009023BC" w:rsidP="00AC1C56">
      <w:pPr>
        <w:pStyle w:val="BodyText"/>
      </w:pPr>
    </w:p>
    <w:p w:rsidR="00000000" w:rsidRPr="00AC1C56" w:rsidP="00AC1C56">
      <w:pPr>
        <w:pStyle w:val="Heading1"/>
      </w:pPr>
      <w:bookmarkStart w:id="14" w:name="O_210268"/>
      <w:bookmarkEnd w:id="14"/>
      <w:r w:rsidRPr="00AC1C56">
        <w:t>Competency field</w:t>
      </w:r>
    </w:p>
    <w:tbl>
      <w:tblPr>
        <w:tblW w:w="0" w:type="auto"/>
        <w:tblLayout w:type="fixed"/>
        <w:tblCellMar>
          <w:left w:w="62" w:type="dxa"/>
          <w:right w:w="62" w:type="dxa"/>
        </w:tblCellMar>
        <w:tblLook w:val="0000"/>
      </w:tblPr>
      <w:tblGrid>
        <w:gridCol w:w="2778"/>
        <w:gridCol w:w="5744"/>
      </w:tblGrid>
      <w:tr w:rsidTr="009023B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56">
            <w:pPr>
              <w:pStyle w:val="BodyText"/>
              <w:rPr>
                <w:lang w:val="en-NZ"/>
              </w:rPr>
            </w:pPr>
            <w:r w:rsidRPr="00AC1C5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56" w:rsidP="00AC1C56">
            <w:pPr>
              <w:pStyle w:val="BodyText"/>
            </w:pPr>
            <w:r w:rsidRPr="00AC1C56">
              <w:t>Casting and moulding</w:t>
            </w:r>
          </w:p>
        </w:tc>
      </w:tr>
    </w:tbl>
    <w:p w:rsidR="009023BC" w:rsidP="00AC1C56">
      <w:pPr>
        <w:pStyle w:val="BodyText"/>
      </w:pPr>
    </w:p>
    <w:p w:rsidR="009023BC" w:rsidP="00AC1C56">
      <w:pPr>
        <w:pStyle w:val="BodyText"/>
      </w:pPr>
    </w:p>
    <w:p w:rsidR="00000000" w:rsidRPr="00AC1C56" w:rsidP="00AC1C56"/>
    <w:sectPr w:rsidSect="00AC1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3BC" w:rsidP="00902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BC" w:rsidP="00AC1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23BC" w:rsidP="00AC1C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23BC" w:rsidP="00AC1C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3BC" w:rsidP="009023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BC" w:rsidP="00AC1C56">
    <w:pPr>
      <w:pStyle w:val="Header"/>
      <w:framePr w:wrap="around"/>
    </w:pPr>
    <w:r>
      <w:fldChar w:fldCharType="begin"/>
    </w:r>
    <w:r>
      <w:instrText xml:space="preserve"> TITLE   \* MERGEFORMAT </w:instrText>
    </w:r>
    <w:r>
      <w:fldChar w:fldCharType="separate"/>
    </w:r>
    <w:r>
      <w:t>MEM04003B Operate pressure die casting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23BC" w:rsidP="00AC1C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DA2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C6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C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1C56"/>
    <w:pPr>
      <w:spacing w:before="360" w:after="60"/>
      <w:outlineLvl w:val="0"/>
    </w:pPr>
    <w:rPr>
      <w:sz w:val="32"/>
    </w:rPr>
  </w:style>
  <w:style w:type="paragraph" w:styleId="Heading2">
    <w:name w:val="heading 2"/>
    <w:basedOn w:val="HeadingBase"/>
    <w:next w:val="BodyText"/>
    <w:link w:val="Heading2Char"/>
    <w:qFormat/>
    <w:rsid w:val="00AC1C56"/>
    <w:pPr>
      <w:keepLines/>
      <w:spacing w:before="240" w:after="120"/>
      <w:outlineLvl w:val="1"/>
    </w:pPr>
    <w:rPr>
      <w:sz w:val="28"/>
      <w:szCs w:val="40"/>
    </w:rPr>
  </w:style>
  <w:style w:type="paragraph" w:styleId="Heading3">
    <w:name w:val="heading 3"/>
    <w:basedOn w:val="HeadingBase"/>
    <w:next w:val="BodyText"/>
    <w:link w:val="Heading3Char"/>
    <w:qFormat/>
    <w:rsid w:val="00AC1C56"/>
    <w:pPr>
      <w:spacing w:before="180" w:after="120"/>
      <w:outlineLvl w:val="2"/>
    </w:pPr>
    <w:rPr>
      <w:spacing w:val="-10"/>
      <w:kern w:val="32"/>
    </w:rPr>
  </w:style>
  <w:style w:type="paragraph" w:styleId="Heading4">
    <w:name w:val="heading 4"/>
    <w:basedOn w:val="HeadingBase"/>
    <w:next w:val="BodyText"/>
    <w:link w:val="Heading4Char"/>
    <w:qFormat/>
    <w:rsid w:val="00AC1C56"/>
    <w:pPr>
      <w:spacing w:before="160" w:after="120"/>
      <w:outlineLvl w:val="3"/>
    </w:pPr>
    <w:rPr>
      <w:sz w:val="22"/>
    </w:rPr>
  </w:style>
  <w:style w:type="paragraph" w:styleId="Heading5">
    <w:name w:val="heading 5"/>
    <w:basedOn w:val="HeadingBase"/>
    <w:next w:val="Normal"/>
    <w:link w:val="Heading5Char"/>
    <w:qFormat/>
    <w:rsid w:val="00AC1C56"/>
    <w:pPr>
      <w:spacing w:before="80"/>
      <w:outlineLvl w:val="4"/>
    </w:pPr>
    <w:rPr>
      <w:color w:val="918585"/>
      <w:sz w:val="20"/>
    </w:rPr>
  </w:style>
  <w:style w:type="paragraph" w:styleId="Heading6">
    <w:name w:val="heading 6"/>
    <w:basedOn w:val="HeadingBase"/>
    <w:next w:val="Normal"/>
    <w:link w:val="Heading6Char"/>
    <w:qFormat/>
    <w:rsid w:val="00AC1C56"/>
    <w:pPr>
      <w:spacing w:before="60"/>
      <w:outlineLvl w:val="5"/>
    </w:pPr>
    <w:rPr>
      <w:color w:val="918585"/>
      <w:sz w:val="20"/>
    </w:rPr>
  </w:style>
  <w:style w:type="paragraph" w:styleId="Heading7">
    <w:name w:val="heading 7"/>
    <w:basedOn w:val="Normal"/>
    <w:next w:val="Normal"/>
    <w:link w:val="Heading7Char"/>
    <w:qFormat/>
    <w:rsid w:val="00AC1C56"/>
    <w:pPr>
      <w:ind w:left="720"/>
      <w:outlineLvl w:val="6"/>
    </w:pPr>
    <w:rPr>
      <w:i/>
    </w:rPr>
  </w:style>
  <w:style w:type="paragraph" w:styleId="Heading8">
    <w:name w:val="heading 8"/>
    <w:basedOn w:val="Normal"/>
    <w:next w:val="Normal"/>
    <w:link w:val="Heading8Char"/>
    <w:qFormat/>
    <w:rsid w:val="00AC1C56"/>
    <w:pPr>
      <w:ind w:left="720"/>
      <w:outlineLvl w:val="7"/>
    </w:pPr>
    <w:rPr>
      <w:i/>
    </w:rPr>
  </w:style>
  <w:style w:type="paragraph" w:styleId="Heading9">
    <w:name w:val="heading 9"/>
    <w:basedOn w:val="Normal"/>
    <w:next w:val="Normal"/>
    <w:link w:val="Heading9Char"/>
    <w:qFormat/>
    <w:rsid w:val="00AC1C56"/>
    <w:pPr>
      <w:ind w:left="720"/>
      <w:outlineLvl w:val="8"/>
    </w:pPr>
    <w:rPr>
      <w:i/>
    </w:rPr>
  </w:style>
  <w:style w:type="character" w:default="1" w:styleId="DefaultParagraphFont">
    <w:name w:val="Default Paragraph Font"/>
    <w:uiPriority w:val="1"/>
    <w:unhideWhenUsed/>
    <w:rsid w:val="00AC1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C56"/>
  </w:style>
  <w:style w:type="character" w:customStyle="1" w:styleId="Heading1Char">
    <w:name w:val="Heading 1 Char"/>
    <w:basedOn w:val="DefaultParagraphFont"/>
    <w:link w:val="Heading1"/>
    <w:rsid w:val="00AC1C56"/>
    <w:rPr>
      <w:rFonts w:ascii="Times New Roman" w:eastAsia="Times New Roman" w:hAnsi="Times New Roman" w:cs="Times New Roman"/>
      <w:b/>
      <w:sz w:val="32"/>
      <w:szCs w:val="20"/>
      <w:lang w:eastAsia="en-US"/>
    </w:rPr>
  </w:style>
  <w:style w:type="paragraph" w:styleId="BodyText">
    <w:name w:val="Body Text"/>
    <w:basedOn w:val="Normal"/>
    <w:link w:val="BodyTextChar"/>
    <w:rsid w:val="00AC1C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C56"/>
    <w:rPr>
      <w:rFonts w:ascii="Times New Roman" w:eastAsia="Times New Roman" w:hAnsi="Times New Roman" w:cs="Times New Roman"/>
      <w:sz w:val="24"/>
      <w:lang w:val="en-US" w:eastAsia="en-US"/>
    </w:rPr>
  </w:style>
  <w:style w:type="paragraph" w:styleId="Footer">
    <w:name w:val="footer"/>
    <w:basedOn w:val="Normal"/>
    <w:link w:val="FooterChar"/>
    <w:rsid w:val="00AC1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C56"/>
    <w:rPr>
      <w:rFonts w:ascii="Times New Roman" w:eastAsia="Times New Roman" w:hAnsi="Times New Roman" w:cs="Times New Roman"/>
      <w:sz w:val="16"/>
      <w:lang w:val="en-US" w:eastAsia="en-US"/>
    </w:rPr>
  </w:style>
  <w:style w:type="paragraph" w:styleId="List">
    <w:name w:val="List"/>
    <w:basedOn w:val="BodyText"/>
    <w:next w:val="BodyText"/>
    <w:rsid w:val="00AC1C56"/>
    <w:pPr>
      <w:tabs>
        <w:tab w:val="left" w:pos="340"/>
      </w:tabs>
      <w:spacing w:before="60" w:after="60"/>
      <w:ind w:left="340" w:hanging="340"/>
    </w:pPr>
  </w:style>
  <w:style w:type="paragraph" w:styleId="ListBullet">
    <w:name w:val="List Bullet"/>
    <w:basedOn w:val="List"/>
    <w:rsid w:val="00AC1C56"/>
    <w:pPr>
      <w:numPr>
        <w:numId w:val="12"/>
      </w:numPr>
      <w:tabs>
        <w:tab w:val="clear" w:pos="340"/>
      </w:tabs>
      <w:spacing w:before="40" w:after="40"/>
    </w:pPr>
  </w:style>
  <w:style w:type="character" w:customStyle="1" w:styleId="SpecialBold">
    <w:name w:val="Special Bold"/>
    <w:basedOn w:val="DefaultParagraphFont"/>
    <w:rsid w:val="00AC1C56"/>
    <w:rPr>
      <w:b/>
      <w:spacing w:val="0"/>
    </w:rPr>
  </w:style>
  <w:style w:type="paragraph" w:styleId="Header">
    <w:name w:val="header"/>
    <w:basedOn w:val="Normal"/>
    <w:link w:val="HeaderChar"/>
    <w:rsid w:val="00AC1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C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1C56"/>
    <w:pPr>
      <w:spacing w:before="240" w:after="120"/>
      <w:outlineLvl w:val="0"/>
    </w:pPr>
    <w:rPr>
      <w:rFonts w:ascii="Times New Roman" w:hAnsi="Times New Roman"/>
      <w:b/>
      <w:sz w:val="28"/>
    </w:rPr>
  </w:style>
  <w:style w:type="paragraph" w:customStyle="1" w:styleId="AllowPageBreak">
    <w:name w:val="AllowPageBreak"/>
    <w:rsid w:val="00AC1C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1C56"/>
    <w:pPr>
      <w:tabs>
        <w:tab w:val="left" w:pos="680"/>
      </w:tabs>
      <w:spacing w:before="60" w:after="60"/>
      <w:ind w:left="680" w:hanging="340"/>
    </w:pPr>
  </w:style>
  <w:style w:type="character" w:customStyle="1" w:styleId="Heading2Char">
    <w:name w:val="Heading 2 Char"/>
    <w:basedOn w:val="DefaultParagraphFont"/>
    <w:link w:val="Heading2"/>
    <w:rsid w:val="00AC1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C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1C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1C56"/>
    <w:rPr>
      <w:rFonts w:ascii="Courier New" w:eastAsia="Times New Roman" w:hAnsi="Courier New" w:cs="Times New Roman"/>
      <w:i/>
      <w:szCs w:val="20"/>
      <w:lang w:val="en-US" w:eastAsia="en-US"/>
    </w:rPr>
  </w:style>
  <w:style w:type="paragraph" w:customStyle="1" w:styleId="HeadingBase">
    <w:name w:val="Heading Base"/>
    <w:rsid w:val="00AC1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C56"/>
    <w:pPr>
      <w:tabs>
        <w:tab w:val="right" w:leader="dot" w:pos="9072"/>
      </w:tabs>
      <w:ind w:left="567"/>
    </w:pPr>
    <w:rPr>
      <w:szCs w:val="22"/>
    </w:rPr>
  </w:style>
  <w:style w:type="paragraph" w:customStyle="1" w:styleId="TOCBase">
    <w:name w:val="TOC Base"/>
    <w:rsid w:val="00AC1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C56"/>
    <w:pPr>
      <w:tabs>
        <w:tab w:val="right" w:leader="dot" w:pos="9072"/>
      </w:tabs>
      <w:spacing w:before="40" w:after="40"/>
      <w:ind w:left="284"/>
    </w:pPr>
    <w:rPr>
      <w:rFonts w:ascii="Times New Roman" w:hAnsi="Times New Roman"/>
    </w:rPr>
  </w:style>
  <w:style w:type="paragraph" w:styleId="TOC1">
    <w:name w:val="toc 1"/>
    <w:basedOn w:val="TOCBase"/>
    <w:next w:val="Normal"/>
    <w:rsid w:val="00AC1C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C56"/>
    <w:pPr>
      <w:spacing w:before="5040"/>
      <w:jc w:val="center"/>
    </w:pPr>
    <w:rPr>
      <w:sz w:val="48"/>
      <w:szCs w:val="72"/>
      <w:lang w:val="en-US"/>
    </w:rPr>
  </w:style>
  <w:style w:type="character" w:customStyle="1" w:styleId="TitleChar">
    <w:name w:val="Title Char"/>
    <w:basedOn w:val="DefaultParagraphFont"/>
    <w:link w:val="Title"/>
    <w:rsid w:val="00AC1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C56"/>
    <w:pPr>
      <w:tabs>
        <w:tab w:val="left" w:pos="3600"/>
        <w:tab w:val="left" w:pos="3958"/>
      </w:tabs>
    </w:pPr>
  </w:style>
  <w:style w:type="paragraph" w:customStyle="1" w:styleId="Note">
    <w:name w:val="Note"/>
    <w:basedOn w:val="BodyText"/>
    <w:rsid w:val="00AC1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C56"/>
    <w:pPr>
      <w:framePr w:wrap="auto" w:hAnchor="text" w:y="6049"/>
    </w:pPr>
    <w:rPr>
      <w:color w:val="000000"/>
      <w:sz w:val="40"/>
    </w:rPr>
  </w:style>
  <w:style w:type="paragraph" w:customStyle="1" w:styleId="TOCTitle">
    <w:name w:val="TOCTitle"/>
    <w:basedOn w:val="Heading1"/>
    <w:rsid w:val="00AC1C56"/>
    <w:pPr>
      <w:spacing w:after="240"/>
      <w:jc w:val="center"/>
      <w:outlineLvl w:val="9"/>
    </w:pPr>
    <w:rPr>
      <w:caps/>
    </w:rPr>
  </w:style>
  <w:style w:type="paragraph" w:customStyle="1" w:styleId="Version">
    <w:name w:val="Version"/>
    <w:rsid w:val="00AC1C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C56"/>
    <w:pPr>
      <w:numPr>
        <w:numId w:val="13"/>
      </w:numPr>
      <w:tabs>
        <w:tab w:val="clear" w:pos="680"/>
      </w:tabs>
    </w:pPr>
  </w:style>
  <w:style w:type="paragraph" w:styleId="Index1">
    <w:name w:val="index 1"/>
    <w:basedOn w:val="Normal"/>
    <w:next w:val="Normal"/>
    <w:semiHidden/>
    <w:rsid w:val="00AC1C56"/>
    <w:pPr>
      <w:keepNext w:val="0"/>
      <w:tabs>
        <w:tab w:val="right" w:pos="4176"/>
      </w:tabs>
      <w:ind w:left="198" w:hanging="198"/>
    </w:pPr>
    <w:rPr>
      <w:rFonts w:ascii="Garamond" w:hAnsi="Garamond"/>
    </w:rPr>
  </w:style>
  <w:style w:type="paragraph" w:styleId="IndexHeading">
    <w:name w:val="index heading"/>
    <w:basedOn w:val="Normal"/>
    <w:next w:val="Index1"/>
    <w:semiHidden/>
    <w:rsid w:val="00AC1C56"/>
    <w:pPr>
      <w:spacing w:before="120" w:after="120"/>
    </w:pPr>
    <w:rPr>
      <w:rFonts w:ascii="Arial" w:hAnsi="Arial"/>
      <w:b/>
      <w:color w:val="918585"/>
      <w:sz w:val="24"/>
    </w:rPr>
  </w:style>
  <w:style w:type="paragraph" w:customStyle="1" w:styleId="Chapter">
    <w:name w:val="Chapter"/>
    <w:basedOn w:val="Normal"/>
    <w:rsid w:val="00AC1C56"/>
    <w:pPr>
      <w:spacing w:before="240"/>
    </w:pPr>
    <w:rPr>
      <w:rFonts w:ascii="Times New Roman" w:hAnsi="Times New Roman"/>
      <w:smallCaps/>
      <w:spacing w:val="80"/>
      <w:sz w:val="28"/>
    </w:rPr>
  </w:style>
  <w:style w:type="paragraph" w:customStyle="1" w:styleId="InChapter">
    <w:name w:val="InChapter"/>
    <w:basedOn w:val="Heading3"/>
    <w:rsid w:val="00AC1C56"/>
    <w:pPr>
      <w:spacing w:after="240"/>
      <w:outlineLvl w:val="9"/>
    </w:pPr>
    <w:rPr>
      <w:noProof/>
    </w:rPr>
  </w:style>
  <w:style w:type="paragraph" w:styleId="Index2">
    <w:name w:val="index 2"/>
    <w:basedOn w:val="Normal"/>
    <w:next w:val="Normal"/>
    <w:semiHidden/>
    <w:rsid w:val="00AC1C56"/>
    <w:pPr>
      <w:tabs>
        <w:tab w:val="right" w:pos="4176"/>
      </w:tabs>
      <w:ind w:left="568" w:hanging="284"/>
    </w:pPr>
    <w:rPr>
      <w:rFonts w:ascii="Garamond" w:hAnsi="Garamond"/>
    </w:rPr>
  </w:style>
  <w:style w:type="paragraph" w:customStyle="1" w:styleId="Byline">
    <w:name w:val="Byline"/>
    <w:rsid w:val="00AC1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C56"/>
    <w:pPr>
      <w:tabs>
        <w:tab w:val="clear" w:pos="3600"/>
        <w:tab w:val="clear" w:pos="3958"/>
      </w:tabs>
      <w:jc w:val="right"/>
    </w:pPr>
  </w:style>
  <w:style w:type="character" w:styleId="Emphasis">
    <w:name w:val="Emphasis"/>
    <w:basedOn w:val="DefaultParagraphFont"/>
    <w:qFormat/>
    <w:rsid w:val="00AC1C56"/>
    <w:rPr>
      <w:i/>
    </w:rPr>
  </w:style>
  <w:style w:type="paragraph" w:styleId="Caption">
    <w:name w:val="caption"/>
    <w:basedOn w:val="BodyText"/>
    <w:next w:val="Normal"/>
    <w:qFormat/>
    <w:rsid w:val="00AC1C56"/>
    <w:pPr>
      <w:framePr w:w="2268" w:hSpace="181" w:vSpace="181" w:wrap="around" w:vAnchor="text" w:hAnchor="page" w:x="1135" w:y="285" w:anchorLock="1"/>
    </w:pPr>
    <w:rPr>
      <w:i/>
    </w:rPr>
  </w:style>
  <w:style w:type="paragraph" w:customStyle="1" w:styleId="MiniTOCTitle">
    <w:name w:val="MiniTOCTitle"/>
    <w:basedOn w:val="Heading4"/>
    <w:rsid w:val="00AC1C56"/>
    <w:pPr>
      <w:spacing w:before="240"/>
      <w:outlineLvl w:val="9"/>
    </w:pPr>
    <w:rPr>
      <w:noProof/>
      <w:sz w:val="24"/>
    </w:rPr>
  </w:style>
  <w:style w:type="paragraph" w:customStyle="1" w:styleId="MiniTOCItem">
    <w:name w:val="MiniTOCItem"/>
    <w:basedOn w:val="ListBullet"/>
    <w:rsid w:val="00AC1C56"/>
    <w:pPr>
      <w:numPr>
        <w:numId w:val="0"/>
      </w:numPr>
      <w:tabs>
        <w:tab w:val="right" w:leader="dot" w:pos="6521"/>
      </w:tabs>
      <w:spacing w:before="0" w:after="0"/>
    </w:pPr>
  </w:style>
  <w:style w:type="paragraph" w:customStyle="1" w:styleId="TOFTitle">
    <w:name w:val="TOFTitle"/>
    <w:basedOn w:val="TOCTitle"/>
    <w:rsid w:val="00AC1C56"/>
  </w:style>
  <w:style w:type="paragraph" w:styleId="TableofFigures">
    <w:name w:val="table of figures"/>
    <w:basedOn w:val="Normal"/>
    <w:next w:val="Normal"/>
    <w:semiHidden/>
    <w:rsid w:val="00AC1C56"/>
    <w:pPr>
      <w:tabs>
        <w:tab w:val="right" w:leader="dot" w:pos="9072"/>
      </w:tabs>
      <w:ind w:left="970" w:hanging="403"/>
    </w:pPr>
    <w:rPr>
      <w:rFonts w:ascii="Times New Roman" w:hAnsi="Times New Roman"/>
      <w:b/>
    </w:rPr>
  </w:style>
  <w:style w:type="paragraph" w:styleId="ListNumber">
    <w:name w:val="List Number"/>
    <w:basedOn w:val="List"/>
    <w:rsid w:val="00AC1C56"/>
    <w:pPr>
      <w:numPr>
        <w:numId w:val="10"/>
      </w:numPr>
    </w:pPr>
  </w:style>
  <w:style w:type="character" w:customStyle="1" w:styleId="WingdingSymbols">
    <w:name w:val="Wingding Symbols"/>
    <w:rsid w:val="00AC1C56"/>
    <w:rPr>
      <w:rFonts w:ascii="Wingdings" w:hAnsi="Wingdings"/>
    </w:rPr>
  </w:style>
  <w:style w:type="paragraph" w:customStyle="1" w:styleId="TableHeading">
    <w:name w:val="Table Heading"/>
    <w:basedOn w:val="HeadingBase"/>
    <w:rsid w:val="00AC1C56"/>
    <w:pPr>
      <w:keepLines/>
      <w:pBdr>
        <w:bottom w:val="single" w:sz="6" w:space="1" w:color="918585"/>
      </w:pBdr>
      <w:spacing w:before="240"/>
    </w:pPr>
  </w:style>
  <w:style w:type="character" w:customStyle="1" w:styleId="HotSpot">
    <w:name w:val="HotSpot"/>
    <w:rsid w:val="00AC1C56"/>
    <w:rPr>
      <w:color w:val="0033CC"/>
      <w:u w:val="none"/>
    </w:rPr>
  </w:style>
  <w:style w:type="paragraph" w:customStyle="1" w:styleId="BodyTextRight">
    <w:name w:val="Body Text Right"/>
    <w:basedOn w:val="BodyText"/>
    <w:rsid w:val="00AC1C56"/>
    <w:pPr>
      <w:spacing w:before="0" w:after="0"/>
      <w:jc w:val="right"/>
    </w:pPr>
  </w:style>
  <w:style w:type="paragraph" w:styleId="Index3">
    <w:name w:val="index 3"/>
    <w:basedOn w:val="ListNumber2"/>
    <w:next w:val="Normal"/>
    <w:semiHidden/>
    <w:rsid w:val="00AC1C56"/>
    <w:pPr>
      <w:numPr>
        <w:numId w:val="0"/>
      </w:numPr>
      <w:tabs>
        <w:tab w:val="right" w:leader="dot" w:pos="4176"/>
      </w:tabs>
    </w:pPr>
  </w:style>
  <w:style w:type="paragraph" w:styleId="ListNumber2">
    <w:name w:val="List Number 2"/>
    <w:basedOn w:val="List2"/>
    <w:rsid w:val="00AC1C56"/>
    <w:pPr>
      <w:numPr>
        <w:numId w:val="9"/>
      </w:numPr>
      <w:tabs>
        <w:tab w:val="clear" w:pos="1060"/>
      </w:tabs>
    </w:pPr>
  </w:style>
  <w:style w:type="paragraph" w:customStyle="1" w:styleId="MarginNote">
    <w:name w:val="Margin Note"/>
    <w:basedOn w:val="BodyText"/>
    <w:rsid w:val="00AC1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C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1C56"/>
    <w:rPr>
      <w:sz w:val="32"/>
    </w:rPr>
  </w:style>
  <w:style w:type="paragraph" w:customStyle="1" w:styleId="HeadingProcedure">
    <w:name w:val="Heading Procedure"/>
    <w:basedOn w:val="HeadingBase"/>
    <w:next w:val="Normal"/>
    <w:rsid w:val="00AC1C56"/>
    <w:pPr>
      <w:tabs>
        <w:tab w:val="left" w:pos="0"/>
      </w:tabs>
      <w:spacing w:before="120" w:after="60"/>
    </w:pPr>
    <w:rPr>
      <w:i/>
      <w:color w:val="918585"/>
      <w:sz w:val="22"/>
    </w:rPr>
  </w:style>
  <w:style w:type="paragraph" w:customStyle="1" w:styleId="TableBodyText">
    <w:name w:val="Table Body Text"/>
    <w:basedOn w:val="BodyText"/>
    <w:rsid w:val="00AC1C56"/>
    <w:pPr>
      <w:spacing w:before="60" w:after="60"/>
    </w:pPr>
  </w:style>
  <w:style w:type="paragraph" w:styleId="ListContinue">
    <w:name w:val="List Continue"/>
    <w:basedOn w:val="List"/>
    <w:rsid w:val="00AC1C56"/>
    <w:pPr>
      <w:ind w:firstLine="0"/>
    </w:pPr>
  </w:style>
  <w:style w:type="paragraph" w:customStyle="1" w:styleId="ListNote">
    <w:name w:val="List Note"/>
    <w:basedOn w:val="List"/>
    <w:rsid w:val="00AC1C56"/>
    <w:pPr>
      <w:pBdr>
        <w:top w:val="single" w:sz="6" w:space="2" w:color="918585"/>
        <w:bottom w:val="single" w:sz="6" w:space="2" w:color="918585"/>
      </w:pBdr>
      <w:tabs>
        <w:tab w:val="left" w:pos="1021"/>
      </w:tabs>
      <w:ind w:firstLine="0"/>
    </w:pPr>
  </w:style>
  <w:style w:type="paragraph" w:customStyle="1" w:styleId="Warning">
    <w:name w:val="Warning"/>
    <w:basedOn w:val="BodyText"/>
    <w:rsid w:val="00AC1C56"/>
    <w:pPr>
      <w:shd w:val="clear" w:color="auto" w:fill="D9D9D9"/>
      <w:tabs>
        <w:tab w:val="left" w:pos="992"/>
      </w:tabs>
      <w:ind w:left="119" w:right="119"/>
    </w:pPr>
    <w:rPr>
      <w:sz w:val="20"/>
    </w:rPr>
  </w:style>
  <w:style w:type="paragraph" w:customStyle="1" w:styleId="MarginIcons">
    <w:name w:val="Margin Icons"/>
    <w:basedOn w:val="BodyText"/>
    <w:rsid w:val="00AC1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C56"/>
    <w:rPr>
      <w:rFonts w:ascii="Courier New" w:hAnsi="Courier New"/>
    </w:rPr>
  </w:style>
  <w:style w:type="paragraph" w:customStyle="1" w:styleId="NoteBullet">
    <w:name w:val="Note Bullet"/>
    <w:basedOn w:val="Note"/>
    <w:rsid w:val="00AC1C56"/>
    <w:pPr>
      <w:tabs>
        <w:tab w:val="clear" w:pos="680"/>
      </w:tabs>
      <w:spacing w:before="60" w:after="60"/>
    </w:pPr>
  </w:style>
  <w:style w:type="paragraph" w:customStyle="1" w:styleId="SubHeading2">
    <w:name w:val="SubHeading2"/>
    <w:basedOn w:val="HeadingBase"/>
    <w:rsid w:val="00AC1C56"/>
    <w:pPr>
      <w:spacing w:before="240" w:after="60"/>
    </w:pPr>
    <w:rPr>
      <w:sz w:val="20"/>
    </w:rPr>
  </w:style>
  <w:style w:type="paragraph" w:customStyle="1" w:styleId="SubHeading1">
    <w:name w:val="SubHeading1"/>
    <w:basedOn w:val="HeadingBase"/>
    <w:rsid w:val="00AC1C56"/>
    <w:pPr>
      <w:spacing w:before="240" w:after="60"/>
    </w:pPr>
    <w:rPr>
      <w:color w:val="918585"/>
      <w:sz w:val="22"/>
    </w:rPr>
  </w:style>
  <w:style w:type="paragraph" w:customStyle="1" w:styleId="SideHeading">
    <w:name w:val="Side Heading"/>
    <w:basedOn w:val="HeadingBase"/>
    <w:rsid w:val="00AC1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C56"/>
    <w:pPr>
      <w:tabs>
        <w:tab w:val="num" w:pos="360"/>
      </w:tabs>
    </w:pPr>
  </w:style>
  <w:style w:type="paragraph" w:styleId="PlainText">
    <w:name w:val="Plain Text"/>
    <w:basedOn w:val="Normal"/>
    <w:link w:val="PlainTextChar"/>
    <w:rsid w:val="00AC1C56"/>
    <w:rPr>
      <w:sz w:val="20"/>
    </w:rPr>
  </w:style>
  <w:style w:type="character" w:customStyle="1" w:styleId="PlainTextChar">
    <w:name w:val="Plain Text Char"/>
    <w:basedOn w:val="DefaultParagraphFont"/>
    <w:link w:val="PlainText"/>
    <w:rsid w:val="00AC1C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1C56"/>
    <w:rPr>
      <w:b/>
      <w:smallCaps/>
    </w:rPr>
  </w:style>
  <w:style w:type="paragraph" w:customStyle="1" w:styleId="TableListNumber">
    <w:name w:val="Table List Number"/>
    <w:basedOn w:val="ListNumber"/>
    <w:rsid w:val="00AC1C56"/>
    <w:pPr>
      <w:numPr>
        <w:numId w:val="0"/>
      </w:numPr>
    </w:pPr>
  </w:style>
  <w:style w:type="paragraph" w:styleId="TOC4">
    <w:name w:val="toc 4"/>
    <w:basedOn w:val="TOCBase"/>
    <w:next w:val="Normal"/>
    <w:semiHidden/>
    <w:rsid w:val="00AC1C56"/>
    <w:pPr>
      <w:tabs>
        <w:tab w:val="right" w:leader="dot" w:pos="9071"/>
      </w:tabs>
      <w:ind w:left="1701"/>
    </w:pPr>
  </w:style>
  <w:style w:type="paragraph" w:customStyle="1" w:styleId="ListAlpha">
    <w:name w:val="List Alpha"/>
    <w:basedOn w:val="List"/>
    <w:rsid w:val="00AC1C56"/>
    <w:pPr>
      <w:numPr>
        <w:numId w:val="8"/>
      </w:numPr>
    </w:pPr>
  </w:style>
  <w:style w:type="paragraph" w:customStyle="1" w:styleId="ListAlpha2">
    <w:name w:val="List Alpha 2"/>
    <w:basedOn w:val="List2"/>
    <w:rsid w:val="00AC1C56"/>
    <w:pPr>
      <w:numPr>
        <w:numId w:val="7"/>
      </w:numPr>
    </w:pPr>
  </w:style>
  <w:style w:type="paragraph" w:styleId="List3">
    <w:name w:val="List 3"/>
    <w:basedOn w:val="BodyText"/>
    <w:rsid w:val="00AC1C56"/>
    <w:pPr>
      <w:tabs>
        <w:tab w:val="left" w:pos="1021"/>
      </w:tabs>
      <w:spacing w:before="60" w:after="60"/>
      <w:ind w:left="1020" w:hanging="340"/>
    </w:pPr>
  </w:style>
  <w:style w:type="paragraph" w:styleId="List4">
    <w:name w:val="List 4"/>
    <w:basedOn w:val="BodyText"/>
    <w:rsid w:val="00AC1C56"/>
    <w:pPr>
      <w:tabs>
        <w:tab w:val="left" w:pos="1361"/>
      </w:tabs>
      <w:spacing w:before="60" w:after="60"/>
      <w:ind w:left="1361" w:hanging="340"/>
    </w:pPr>
  </w:style>
  <w:style w:type="paragraph" w:styleId="List5">
    <w:name w:val="List 5"/>
    <w:basedOn w:val="BodyText"/>
    <w:rsid w:val="00AC1C56"/>
    <w:pPr>
      <w:tabs>
        <w:tab w:val="left" w:pos="1701"/>
      </w:tabs>
      <w:spacing w:before="60" w:after="60"/>
      <w:ind w:left="1701" w:hanging="340"/>
    </w:pPr>
  </w:style>
  <w:style w:type="paragraph" w:styleId="ListBullet3">
    <w:name w:val="List Bullet 3"/>
    <w:basedOn w:val="List3"/>
    <w:rsid w:val="00AC1C56"/>
    <w:pPr>
      <w:numPr>
        <w:numId w:val="14"/>
      </w:numPr>
      <w:tabs>
        <w:tab w:val="clear" w:pos="1021"/>
      </w:tabs>
      <w:ind w:left="1037" w:hanging="357"/>
    </w:pPr>
  </w:style>
  <w:style w:type="paragraph" w:styleId="ListBullet4">
    <w:name w:val="List Bullet 4"/>
    <w:basedOn w:val="List4"/>
    <w:rsid w:val="00AC1C56"/>
    <w:pPr>
      <w:numPr>
        <w:numId w:val="2"/>
      </w:numPr>
    </w:pPr>
  </w:style>
  <w:style w:type="paragraph" w:styleId="ListBullet5">
    <w:name w:val="List Bullet 5"/>
    <w:basedOn w:val="List5"/>
    <w:rsid w:val="00AC1C56"/>
    <w:pPr>
      <w:numPr>
        <w:numId w:val="3"/>
      </w:numPr>
    </w:pPr>
  </w:style>
  <w:style w:type="paragraph" w:styleId="ListContinue2">
    <w:name w:val="List Continue 2"/>
    <w:basedOn w:val="List2"/>
    <w:rsid w:val="00AC1C56"/>
    <w:pPr>
      <w:ind w:firstLine="0"/>
    </w:pPr>
  </w:style>
  <w:style w:type="paragraph" w:styleId="ListContinue3">
    <w:name w:val="List Continue 3"/>
    <w:basedOn w:val="List3"/>
    <w:rsid w:val="00AC1C56"/>
    <w:pPr>
      <w:ind w:left="1021" w:firstLine="0"/>
    </w:pPr>
  </w:style>
  <w:style w:type="paragraph" w:styleId="ListContinue4">
    <w:name w:val="List Continue 4"/>
    <w:basedOn w:val="List4"/>
    <w:rsid w:val="00AC1C56"/>
    <w:pPr>
      <w:ind w:firstLine="0"/>
    </w:pPr>
  </w:style>
  <w:style w:type="paragraph" w:styleId="ListContinue5">
    <w:name w:val="List Continue 5"/>
    <w:basedOn w:val="List5"/>
    <w:rsid w:val="00AC1C56"/>
    <w:pPr>
      <w:ind w:firstLine="0"/>
    </w:pPr>
  </w:style>
  <w:style w:type="paragraph" w:styleId="ListNumber3">
    <w:name w:val="List Number 3"/>
    <w:basedOn w:val="List3"/>
    <w:rsid w:val="00AC1C56"/>
    <w:pPr>
      <w:numPr>
        <w:numId w:val="4"/>
      </w:numPr>
    </w:pPr>
  </w:style>
  <w:style w:type="paragraph" w:styleId="ListNumber4">
    <w:name w:val="List Number 4"/>
    <w:basedOn w:val="List4"/>
    <w:rsid w:val="00AC1C56"/>
    <w:pPr>
      <w:numPr>
        <w:numId w:val="5"/>
      </w:numPr>
    </w:pPr>
  </w:style>
  <w:style w:type="paragraph" w:styleId="ListNumber5">
    <w:name w:val="List Number 5"/>
    <w:basedOn w:val="List5"/>
    <w:rsid w:val="00AC1C56"/>
    <w:pPr>
      <w:numPr>
        <w:numId w:val="6"/>
      </w:numPr>
    </w:pPr>
  </w:style>
  <w:style w:type="paragraph" w:styleId="BlockText">
    <w:name w:val="Block Text"/>
    <w:basedOn w:val="Normal"/>
    <w:rsid w:val="00AC1C56"/>
    <w:pPr>
      <w:spacing w:after="120"/>
      <w:ind w:left="1440" w:right="1440"/>
    </w:pPr>
  </w:style>
  <w:style w:type="character" w:customStyle="1" w:styleId="Subscript">
    <w:name w:val="Subscript"/>
    <w:basedOn w:val="DefaultParagraphFont"/>
    <w:rsid w:val="00AC1C56"/>
    <w:rPr>
      <w:sz w:val="16"/>
      <w:vertAlign w:val="subscript"/>
    </w:rPr>
  </w:style>
  <w:style w:type="character" w:customStyle="1" w:styleId="Superscript">
    <w:name w:val="Superscript"/>
    <w:basedOn w:val="DefaultParagraphFont"/>
    <w:rsid w:val="00AC1C56"/>
    <w:rPr>
      <w:sz w:val="16"/>
      <w:vertAlign w:val="superscript"/>
    </w:rPr>
  </w:style>
  <w:style w:type="character" w:customStyle="1" w:styleId="Symbols">
    <w:name w:val="Symbols"/>
    <w:basedOn w:val="DefaultParagraphFont"/>
    <w:rsid w:val="00AC1C56"/>
    <w:rPr>
      <w:rFonts w:ascii="Symbol" w:hAnsi="Symbol"/>
    </w:rPr>
  </w:style>
  <w:style w:type="character" w:customStyle="1" w:styleId="MenuOptions">
    <w:name w:val="Menu Options"/>
    <w:basedOn w:val="DefaultParagraphFont"/>
    <w:rsid w:val="00AC1C56"/>
    <w:rPr>
      <w:rFonts w:ascii="Arial Narrow" w:hAnsi="Arial Narrow"/>
      <w:smallCaps/>
    </w:rPr>
  </w:style>
  <w:style w:type="character" w:customStyle="1" w:styleId="Buttons">
    <w:name w:val="Buttons"/>
    <w:basedOn w:val="DefaultParagraphFont"/>
    <w:rsid w:val="00AC1C56"/>
    <w:rPr>
      <w:b/>
    </w:rPr>
  </w:style>
  <w:style w:type="character" w:customStyle="1" w:styleId="Underlined">
    <w:name w:val="Underlined"/>
    <w:basedOn w:val="DefaultParagraphFont"/>
    <w:rsid w:val="00AC1C56"/>
    <w:rPr>
      <w:u w:val="single"/>
    </w:rPr>
  </w:style>
  <w:style w:type="paragraph" w:customStyle="1" w:styleId="TableBodyTextRight">
    <w:name w:val="Table Body Text Right"/>
    <w:basedOn w:val="TableBodyText"/>
    <w:rsid w:val="00AC1C56"/>
    <w:pPr>
      <w:widowControl w:val="0"/>
      <w:autoSpaceDE w:val="0"/>
      <w:autoSpaceDN w:val="0"/>
      <w:adjustRightInd w:val="0"/>
      <w:jc w:val="right"/>
    </w:pPr>
    <w:rPr>
      <w:rFonts w:cs="Arial"/>
      <w:szCs w:val="18"/>
    </w:rPr>
  </w:style>
  <w:style w:type="paragraph" w:customStyle="1" w:styleId="CopyrightText">
    <w:name w:val="Copyright Text"/>
    <w:basedOn w:val="BodyText"/>
    <w:rsid w:val="00AC1C56"/>
    <w:rPr>
      <w:sz w:val="18"/>
    </w:rPr>
  </w:style>
  <w:style w:type="paragraph" w:customStyle="1" w:styleId="BodySmallRight">
    <w:name w:val="Body Small Right"/>
    <w:basedOn w:val="BodyTextRight"/>
    <w:rsid w:val="00AC1C56"/>
    <w:rPr>
      <w:sz w:val="18"/>
      <w:szCs w:val="18"/>
    </w:rPr>
  </w:style>
  <w:style w:type="paragraph" w:customStyle="1" w:styleId="MarginEdition">
    <w:name w:val="Margin Edition"/>
    <w:basedOn w:val="MarginNote"/>
    <w:rsid w:val="00AC1C56"/>
    <w:pPr>
      <w:spacing w:before="0" w:after="0"/>
    </w:pPr>
    <w:rPr>
      <w:rFonts w:ascii="Times New Roman" w:hAnsi="Times New Roman"/>
      <w:color w:val="999999"/>
    </w:rPr>
  </w:style>
  <w:style w:type="paragraph" w:customStyle="1" w:styleId="Spacer">
    <w:name w:val="Spacer"/>
    <w:basedOn w:val="Normal"/>
    <w:rsid w:val="00AC1C56"/>
    <w:rPr>
      <w:sz w:val="2"/>
      <w:szCs w:val="2"/>
    </w:rPr>
  </w:style>
  <w:style w:type="character" w:customStyle="1" w:styleId="Small">
    <w:name w:val="Small"/>
    <w:basedOn w:val="DefaultParagraphFont"/>
    <w:rsid w:val="00AC1C56"/>
    <w:rPr>
      <w:sz w:val="16"/>
    </w:rPr>
  </w:style>
  <w:style w:type="paragraph" w:customStyle="1" w:styleId="WideTable">
    <w:name w:val="Wide Table"/>
    <w:basedOn w:val="Normal"/>
    <w:rsid w:val="00AC1C56"/>
    <w:pPr>
      <w:ind w:left="-1418"/>
    </w:pPr>
    <w:rPr>
      <w:sz w:val="2"/>
      <w:szCs w:val="2"/>
    </w:rPr>
  </w:style>
  <w:style w:type="character" w:styleId="PageNumber">
    <w:name w:val="page number"/>
    <w:basedOn w:val="DefaultParagraphFont"/>
    <w:rsid w:val="00AC1C56"/>
  </w:style>
  <w:style w:type="paragraph" w:styleId="Quote">
    <w:name w:val="Quote"/>
    <w:basedOn w:val="Heading1"/>
    <w:link w:val="QuoteChar"/>
    <w:qFormat/>
    <w:rsid w:val="00AC1C56"/>
    <w:rPr>
      <w:b w:val="0"/>
      <w:sz w:val="72"/>
      <w:szCs w:val="72"/>
      <w:lang w:val="en-NZ"/>
    </w:rPr>
  </w:style>
  <w:style w:type="character" w:customStyle="1" w:styleId="QuoteChar">
    <w:name w:val="Quote Char"/>
    <w:basedOn w:val="DefaultParagraphFont"/>
    <w:link w:val="Quote"/>
    <w:rsid w:val="00AC1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C56"/>
    <w:pPr>
      <w:pageBreakBefore/>
    </w:pPr>
  </w:style>
  <w:style w:type="paragraph" w:customStyle="1" w:styleId="Border">
    <w:name w:val="Border"/>
    <w:basedOn w:val="Normal"/>
    <w:qFormat/>
    <w:rsid w:val="00AC1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C56"/>
    <w:rPr>
      <w:b/>
      <w:bCs/>
      <w:i/>
      <w:iCs/>
      <w:color w:val="auto"/>
    </w:rPr>
  </w:style>
  <w:style w:type="paragraph" w:styleId="IntenseQuote">
    <w:name w:val="Intense Quote"/>
    <w:basedOn w:val="Normal"/>
    <w:next w:val="Normal"/>
    <w:link w:val="IntenseQuoteChar"/>
    <w:uiPriority w:val="30"/>
    <w:qFormat/>
    <w:rsid w:val="00AC1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C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1C56"/>
    <w:rPr>
      <w:smallCaps/>
      <w:color w:val="auto"/>
      <w:u w:val="single"/>
    </w:rPr>
  </w:style>
  <w:style w:type="character" w:styleId="IntenseReference">
    <w:name w:val="Intense Reference"/>
    <w:basedOn w:val="DefaultParagraphFont"/>
    <w:uiPriority w:val="32"/>
    <w:qFormat/>
    <w:rsid w:val="00AC1C56"/>
    <w:rPr>
      <w:b/>
      <w:bCs/>
      <w:smallCaps/>
      <w:color w:val="auto"/>
      <w:spacing w:val="5"/>
      <w:u w:val="single"/>
    </w:rPr>
  </w:style>
  <w:style w:type="paragraph" w:customStyle="1" w:styleId="2ColumnHeading">
    <w:name w:val="2Column Heading"/>
    <w:basedOn w:val="BodyText"/>
    <w:qFormat/>
    <w:rsid w:val="00AC1C56"/>
    <w:pPr>
      <w:spacing w:after="60"/>
      <w:ind w:left="-2268"/>
    </w:pPr>
    <w:rPr>
      <w:b/>
    </w:rPr>
  </w:style>
  <w:style w:type="paragraph" w:customStyle="1" w:styleId="Heading1TOC">
    <w:name w:val="Heading1 TOC"/>
    <w:basedOn w:val="Normal"/>
    <w:qFormat/>
    <w:rsid w:val="00AC1C56"/>
    <w:pPr>
      <w:spacing w:before="240" w:after="120"/>
    </w:pPr>
    <w:rPr>
      <w:rFonts w:ascii="Times New Roman" w:hAnsi="Times New Roman"/>
      <w:b/>
      <w:sz w:val="32"/>
    </w:rPr>
  </w:style>
  <w:style w:type="paragraph" w:customStyle="1" w:styleId="Heading2TOC">
    <w:name w:val="Heading2 TOC"/>
    <w:basedOn w:val="Normal"/>
    <w:qFormat/>
    <w:rsid w:val="00AC1C56"/>
    <w:pPr>
      <w:spacing w:before="240" w:after="60"/>
    </w:pPr>
    <w:rPr>
      <w:rFonts w:ascii="Times New Roman" w:hAnsi="Times New Roman"/>
      <w:b/>
      <w:sz w:val="28"/>
    </w:rPr>
  </w:style>
  <w:style w:type="character" w:customStyle="1" w:styleId="Underline">
    <w:name w:val="Underline"/>
    <w:basedOn w:val="DefaultParagraphFont"/>
    <w:qFormat/>
    <w:rsid w:val="00AC1C56"/>
    <w:rPr>
      <w:u w:val="single"/>
    </w:rPr>
  </w:style>
  <w:style w:type="character" w:customStyle="1" w:styleId="BoldandItalics">
    <w:name w:val="Bold and Italics"/>
    <w:qFormat/>
    <w:rsid w:val="00AC1C56"/>
    <w:rPr>
      <w:b/>
      <w:i/>
      <w:u w:val="none"/>
    </w:rPr>
  </w:style>
  <w:style w:type="paragraph" w:styleId="BalloonText">
    <w:name w:val="Balloon Text"/>
    <w:basedOn w:val="Normal"/>
    <w:link w:val="BalloonTextChar"/>
    <w:rsid w:val="00AC1C56"/>
    <w:rPr>
      <w:rFonts w:ascii="Tahoma" w:hAnsi="Tahoma" w:cs="Tahoma"/>
      <w:sz w:val="16"/>
      <w:szCs w:val="16"/>
    </w:rPr>
  </w:style>
  <w:style w:type="character" w:customStyle="1" w:styleId="BalloonTextChar">
    <w:name w:val="Balloon Text Char"/>
    <w:basedOn w:val="DefaultParagraphFont"/>
    <w:link w:val="BalloonText"/>
    <w:rsid w:val="00AC1C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1C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C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1148</Words>
  <Characters>6796</Characters>
  <Application>Microsoft Office Word</Application>
  <DocSecurity>0</DocSecurity>
  <Lines>252</Lines>
  <Paragraphs>117</Paragraphs>
  <ScaleCrop>false</ScaleCrop>
  <Company>Author-it Software Corporation Ltd.</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MEM04003B Operate pressure die casting machine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