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9B4" w:rsidP="007C09B4">
      <w:pPr>
        <w:pStyle w:val="Title"/>
      </w:pPr>
      <w:r>
        <w:fldChar w:fldCharType="begin"/>
      </w:r>
      <w:r>
        <w:instrText xml:space="preserve"> TITLE   \* MERGEFORMAT </w:instrText>
      </w:r>
      <w:r>
        <w:fldChar w:fldCharType="separate"/>
      </w:r>
      <w:r>
        <w:t>MEM03004B Perform electronic/electrical assembly (production)</w:t>
      </w:r>
      <w:r>
        <w:fldChar w:fldCharType="end"/>
      </w:r>
    </w:p>
    <w:p w:rsidR="007C09B4" w:rsidP="007C09B4">
      <w:pPr>
        <w:pStyle w:val="Version"/>
        <w:sectPr w:rsidSect="00C91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F0B" w:rsidP="00C91F0B">
      <w:pPr>
        <w:pStyle w:val="SuperHeading"/>
      </w:pPr>
      <w:r w:rsidRPr="00C91F0B">
        <w:t>MEM03004B Perform electronic/electrical assembly (production)</w:t>
      </w:r>
    </w:p>
    <w:p w:rsidR="00000000" w:rsidRPr="00C91F0B" w:rsidP="00C91F0B">
      <w:pPr>
        <w:pStyle w:val="Heading1"/>
      </w:pPr>
      <w:bookmarkStart w:id="1" w:name="O_271970"/>
      <w:bookmarkEnd w:id="1"/>
      <w:r w:rsidRPr="00C91F0B">
        <w:t>Modification History</w:t>
      </w:r>
    </w:p>
    <w:p w:rsidR="00000000" w:rsidRPr="00C91F0B" w:rsidP="00C91F0B">
      <w:pPr>
        <w:pStyle w:val="BodyText"/>
      </w:pPr>
      <w:r w:rsidRPr="00C91F0B">
        <w:t>Not Applicable</w:t>
      </w:r>
    </w:p>
    <w:p w:rsidR="00000000" w:rsidRPr="00C91F0B" w:rsidP="00C91F0B">
      <w:pPr>
        <w:pStyle w:val="AllowPageBreak"/>
      </w:pPr>
    </w:p>
    <w:p w:rsidR="00000000" w:rsidRPr="00C91F0B" w:rsidP="00C91F0B">
      <w:pPr>
        <w:pStyle w:val="Heading1"/>
      </w:pPr>
      <w:bookmarkStart w:id="2" w:name="O_210228"/>
      <w:bookmarkEnd w:id="2"/>
      <w:r w:rsidRPr="00C91F0B">
        <w:t>Unit Descriptor</w:t>
      </w:r>
    </w:p>
    <w:tbl>
      <w:tblPr>
        <w:tblW w:w="0" w:type="auto"/>
        <w:tblLayout w:type="fixed"/>
        <w:tblCellMar>
          <w:left w:w="62" w:type="dxa"/>
          <w:right w:w="62" w:type="dxa"/>
        </w:tblCellMar>
        <w:tblLook w:val="0000"/>
      </w:tblPr>
      <w:tblGrid>
        <w:gridCol w:w="2648"/>
        <w:gridCol w:w="5874"/>
      </w:tblGrid>
      <w:tr w:rsidTr="007C09B4">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 xml:space="preserve">This unit covers identifying and assembling electronic/electrical components and testing </w:t>
            </w:r>
            <w:r w:rsidRPr="00C91F0B">
              <w:t>assembled components for conformance to job sheets/specifications.</w:t>
            </w:r>
          </w:p>
        </w:tc>
      </w:tr>
    </w:tbl>
    <w:p w:rsidR="007C09B4" w:rsidP="00C91F0B">
      <w:pPr>
        <w:pStyle w:val="BodyText"/>
      </w:pPr>
    </w:p>
    <w:p w:rsidR="007C09B4" w:rsidP="00C91F0B">
      <w:pPr>
        <w:pStyle w:val="BodyText"/>
      </w:pPr>
    </w:p>
    <w:p w:rsidR="00000000" w:rsidRPr="00C91F0B" w:rsidP="00C91F0B">
      <w:pPr>
        <w:pStyle w:val="Heading1"/>
      </w:pPr>
      <w:bookmarkStart w:id="3" w:name="O_210232"/>
      <w:bookmarkEnd w:id="3"/>
      <w:r w:rsidRPr="00C91F0B">
        <w:t>Application of the Unit</w:t>
      </w:r>
    </w:p>
    <w:tbl>
      <w:tblPr>
        <w:tblW w:w="0" w:type="auto"/>
        <w:tblLayout w:type="fixed"/>
        <w:tblCellMar>
          <w:left w:w="62" w:type="dxa"/>
          <w:right w:w="62" w:type="dxa"/>
        </w:tblCellMar>
        <w:tblLook w:val="0000"/>
      </w:tblPr>
      <w:tblGrid>
        <w:gridCol w:w="2745"/>
        <w:gridCol w:w="5777"/>
      </w:tblGrid>
      <w:tr w:rsidTr="007C09B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This unit applies to assembly of electronic/electrical components or equipment to predetermined specifications and following predetermined procedures.</w:t>
            </w:r>
          </w:p>
          <w:p w:rsidR="00000000" w:rsidRPr="00C91F0B" w:rsidP="00C91F0B">
            <w:pPr>
              <w:pStyle w:val="BodyText"/>
            </w:pPr>
            <w:r w:rsidRPr="00C91F0B">
              <w:t>This unit covers the use of automatic wave soldering machines.</w:t>
            </w:r>
          </w:p>
          <w:p w:rsidR="00000000" w:rsidRPr="00C91F0B" w:rsidP="00C91F0B">
            <w:pPr>
              <w:pStyle w:val="BodyText"/>
            </w:pPr>
            <w:r w:rsidRPr="00C91F0B">
              <w:t>If soldering skills are required, then Uni</w:t>
            </w:r>
            <w:r w:rsidRPr="00C91F0B">
              <w:t xml:space="preserve">t MEM05001B (Perform manual soldering/desoldering - electrical/electronic components) or Unit MEM05002B (Perform high reliability soldering and desoldering) should be selected. </w:t>
            </w:r>
          </w:p>
          <w:p w:rsidR="00000000" w:rsidRPr="00C91F0B" w:rsidP="00C91F0B">
            <w:pPr>
              <w:pStyle w:val="BodyText"/>
            </w:pPr>
            <w:r w:rsidRPr="00C91F0B">
              <w:t>If measurement skills are required, then Unit MEM12002B (Perform electrical/el</w:t>
            </w:r>
            <w:r w:rsidRPr="00C91F0B">
              <w:t>ectronic measurement) should also be selected. Where the selection and use of tools is required as part of the assembly process, see Units MEM18001C (Use hand tools) and MEM18002B (Use power tools/hand held operations) as appropriate.</w:t>
            </w:r>
          </w:p>
          <w:p w:rsidR="00000000" w:rsidRPr="00C91F0B" w:rsidP="00C91F0B">
            <w:pPr>
              <w:pStyle w:val="BodyText"/>
            </w:pPr>
          </w:p>
          <w:p w:rsidR="00000000" w:rsidRPr="00C91F0B" w:rsidP="00C91F0B">
            <w:pPr>
              <w:pStyle w:val="BodyText"/>
            </w:pPr>
            <w:r w:rsidRPr="00C91F0B">
              <w:rPr>
                <w:rStyle w:val="SpecialBold"/>
              </w:rPr>
              <w:t>Band</w:t>
            </w:r>
            <w:r w:rsidRPr="00C91F0B">
              <w:t>:</w:t>
            </w:r>
            <w:r w:rsidRPr="00C91F0B">
              <w:tab/>
            </w:r>
            <w:r w:rsidRPr="00C91F0B">
              <w:rPr>
                <w:rStyle w:val="SpecialBold"/>
              </w:rPr>
              <w:t>A</w:t>
            </w:r>
          </w:p>
          <w:p w:rsidR="00000000" w:rsidRPr="00C91F0B" w:rsidP="00C91F0B">
            <w:pPr>
              <w:pStyle w:val="BodyText"/>
            </w:pPr>
            <w:r w:rsidRPr="00C91F0B">
              <w:rPr>
                <w:rStyle w:val="SpecialBold"/>
              </w:rPr>
              <w:t>Unit Weight</w:t>
            </w:r>
            <w:r w:rsidRPr="00C91F0B">
              <w:t>:</w:t>
            </w:r>
            <w:r w:rsidRPr="00C91F0B">
              <w:tab/>
            </w:r>
            <w:r w:rsidRPr="00C91F0B">
              <w:rPr>
                <w:rStyle w:val="SpecialBold"/>
              </w:rPr>
              <w:t>8</w:t>
            </w:r>
          </w:p>
        </w:tc>
      </w:tr>
    </w:tbl>
    <w:p w:rsidR="007C09B4" w:rsidP="00C91F0B">
      <w:pPr>
        <w:pStyle w:val="BodyText"/>
      </w:pPr>
    </w:p>
    <w:p w:rsidR="007C09B4" w:rsidP="00C91F0B">
      <w:pPr>
        <w:pStyle w:val="BodyText"/>
      </w:pPr>
    </w:p>
    <w:p w:rsidR="00000000" w:rsidRPr="00C91F0B" w:rsidP="00C91F0B">
      <w:pPr>
        <w:pStyle w:val="Heading1"/>
      </w:pPr>
      <w:bookmarkStart w:id="4" w:name="O_280230"/>
      <w:bookmarkEnd w:id="4"/>
      <w:r w:rsidRPr="00C91F0B">
        <w:t>Licensing/Regulatory Information</w:t>
      </w:r>
    </w:p>
    <w:p w:rsidR="00000000" w:rsidRPr="00C91F0B" w:rsidP="00C91F0B">
      <w:pPr>
        <w:pStyle w:val="BodyText"/>
      </w:pPr>
      <w:r w:rsidRPr="00C91F0B">
        <w:t>Not Applicable</w:t>
      </w:r>
    </w:p>
    <w:p w:rsidR="00000000" w:rsidRPr="00C91F0B" w:rsidP="00C91F0B">
      <w:pPr>
        <w:pStyle w:val="AllowPageBreak"/>
      </w:pPr>
    </w:p>
    <w:p w:rsidR="00000000" w:rsidRPr="00C91F0B" w:rsidP="00C91F0B">
      <w:pPr>
        <w:pStyle w:val="Heading1"/>
      </w:pPr>
      <w:bookmarkStart w:id="5" w:name="O_210230"/>
      <w:bookmarkEnd w:id="5"/>
      <w:r w:rsidRPr="00C91F0B">
        <w:t>Pre-Requisites</w:t>
      </w:r>
    </w:p>
    <w:tbl>
      <w:tblPr>
        <w:tblW w:w="0" w:type="auto"/>
        <w:tblLayout w:type="fixed"/>
        <w:tblCellMar>
          <w:left w:w="62" w:type="dxa"/>
          <w:right w:w="62" w:type="dxa"/>
        </w:tblCellMar>
        <w:tblLook w:val="0000"/>
      </w:tblPr>
      <w:tblGrid>
        <w:gridCol w:w="2775"/>
        <w:gridCol w:w="1295"/>
        <w:gridCol w:w="4452"/>
      </w:tblGrid>
      <w:tr w:rsidTr="007C09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p>
        </w:tc>
      </w:tr>
    </w:tbl>
    <w:p w:rsidR="007C09B4" w:rsidP="00C91F0B">
      <w:pPr>
        <w:pStyle w:val="BodyText"/>
      </w:pPr>
    </w:p>
    <w:p w:rsidR="007C09B4" w:rsidP="00C91F0B">
      <w:pPr>
        <w:pStyle w:val="BodyText"/>
      </w:pPr>
    </w:p>
    <w:p w:rsidR="00000000" w:rsidRPr="00C91F0B" w:rsidP="00C91F0B">
      <w:pPr>
        <w:pStyle w:val="Heading1"/>
      </w:pPr>
      <w:bookmarkStart w:id="6" w:name="O_210229"/>
      <w:bookmarkEnd w:id="6"/>
      <w:r w:rsidRPr="00C91F0B">
        <w:t>Employability Skills Information</w:t>
      </w:r>
    </w:p>
    <w:tbl>
      <w:tblPr>
        <w:tblW w:w="0" w:type="auto"/>
        <w:tblLayout w:type="fixed"/>
        <w:tblCellMar>
          <w:left w:w="62" w:type="dxa"/>
          <w:right w:w="62" w:type="dxa"/>
        </w:tblCellMar>
        <w:tblLook w:val="0000"/>
      </w:tblPr>
      <w:tblGrid>
        <w:gridCol w:w="2802"/>
        <w:gridCol w:w="5720"/>
      </w:tblGrid>
      <w:tr w:rsidTr="007C09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This unit contains employability skills.</w:t>
            </w:r>
          </w:p>
        </w:tc>
      </w:tr>
    </w:tbl>
    <w:p w:rsidR="007C09B4" w:rsidP="00C91F0B">
      <w:pPr>
        <w:pStyle w:val="BodyText"/>
      </w:pPr>
    </w:p>
    <w:p w:rsidR="007C09B4" w:rsidP="00C91F0B">
      <w:pPr>
        <w:pStyle w:val="BodyText"/>
      </w:pPr>
    </w:p>
    <w:p w:rsidR="00000000" w:rsidRPr="00C91F0B" w:rsidP="00C91F0B">
      <w:pPr>
        <w:pStyle w:val="Heading1"/>
      </w:pPr>
      <w:bookmarkStart w:id="7" w:name="O_290016"/>
      <w:bookmarkEnd w:id="7"/>
      <w:r w:rsidRPr="00C91F0B">
        <w:t>Elements and Performance Criteria Pre-Content</w:t>
      </w:r>
    </w:p>
    <w:tbl>
      <w:tblPr>
        <w:tblW w:w="0" w:type="auto"/>
        <w:tblLayout w:type="fixed"/>
        <w:tblCellMar>
          <w:left w:w="62" w:type="dxa"/>
          <w:right w:w="62" w:type="dxa"/>
        </w:tblCellMar>
        <w:tblLook w:val="0000"/>
      </w:tblPr>
      <w:tblGrid>
        <w:gridCol w:w="2622"/>
        <w:gridCol w:w="5900"/>
      </w:tblGrid>
      <w:tr w:rsidTr="007C09B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Elements describe the essential outcomes of a unit of competency.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Performance criteria describe the performance needed to demonstrate achievement of the element. Where bold italicised text is used, further information is detailed in the required skills and knowledge section and the range statement. Assessment of performa</w:t>
            </w:r>
            <w:r w:rsidRPr="00C91F0B">
              <w:t>nce is to be consistent with the evidence guide.</w:t>
            </w:r>
          </w:p>
        </w:tc>
      </w:tr>
    </w:tbl>
    <w:p w:rsidR="00000000" w:rsidRPr="00C91F0B" w:rsidP="00C91F0B">
      <w:pPr>
        <w:pStyle w:val="BodyText"/>
      </w:pPr>
    </w:p>
    <w:p w:rsidR="00000000" w:rsidRPr="00C91F0B" w:rsidP="00C91F0B">
      <w:pPr>
        <w:pStyle w:val="AllowPageBreak"/>
      </w:pPr>
    </w:p>
    <w:p w:rsidR="00000000" w:rsidRPr="00C91F0B" w:rsidP="00C91F0B">
      <w:pPr>
        <w:pStyle w:val="Heading1"/>
      </w:pPr>
      <w:bookmarkStart w:id="8" w:name="O_236683"/>
      <w:bookmarkEnd w:id="8"/>
      <w:r w:rsidRPr="00C91F0B">
        <w:t>Elements and Performance Criteria</w:t>
      </w:r>
    </w:p>
    <w:tbl>
      <w:tblPr>
        <w:tblW w:w="0" w:type="auto"/>
        <w:tblLayout w:type="fixed"/>
        <w:tblCellMar>
          <w:left w:w="62" w:type="dxa"/>
          <w:right w:w="62" w:type="dxa"/>
        </w:tblCellMar>
        <w:tblLook w:val="0000"/>
      </w:tblPr>
      <w:tblGrid>
        <w:gridCol w:w="2622"/>
        <w:gridCol w:w="5900"/>
      </w:tblGrid>
      <w:tr w:rsidTr="007C09B4">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PERFORMANCE CRITERIA</w:t>
            </w:r>
          </w:p>
        </w:tc>
      </w:tr>
      <w:tr w:rsidTr="007C09B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List"/>
              <w:rPr>
                <w:lang w:val="en-NZ"/>
              </w:rPr>
            </w:pPr>
            <w:r w:rsidRPr="00C91F0B">
              <w:t>1.</w:t>
            </w:r>
            <w:r w:rsidRPr="00C91F0B">
              <w:tab/>
              <w:t>Read and understand job sheets.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List2"/>
              <w:rPr>
                <w:lang w:val="en-NZ"/>
              </w:rPr>
            </w:pPr>
            <w:r w:rsidRPr="00C91F0B">
              <w:t>1.1.</w:t>
            </w:r>
            <w:r w:rsidRPr="00C91F0B">
              <w:tab/>
              <w:t>Job sheets and instructions are understood and followed correctly.</w:t>
            </w:r>
          </w:p>
        </w:tc>
      </w:tr>
      <w:tr w:rsidTr="007C09B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List"/>
              <w:rPr>
                <w:lang w:val="en-NZ"/>
              </w:rPr>
            </w:pPr>
            <w:r w:rsidRPr="00C91F0B">
              <w:t>2.</w:t>
            </w:r>
            <w:r w:rsidRPr="00C91F0B">
              <w:tab/>
            </w:r>
            <w:r w:rsidRPr="00C91F0B">
              <w:t>Select assembly equipment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List2"/>
            </w:pPr>
            <w:r w:rsidRPr="00C91F0B">
              <w:t>2.1.</w:t>
            </w:r>
            <w:r w:rsidRPr="00C91F0B">
              <w:tab/>
              <w:t>Assembly equipment is selected and used in accordance with instructions or job sheets to standard operating procedures.</w:t>
            </w:r>
          </w:p>
          <w:p w:rsidR="00000000" w:rsidP="00C91F0B">
            <w:pPr>
              <w:pStyle w:val="List2"/>
              <w:rPr>
                <w:lang w:val="en-NZ"/>
              </w:rPr>
            </w:pPr>
            <w:r w:rsidRPr="00C91F0B">
              <w:t>2.2.</w:t>
            </w:r>
            <w:r w:rsidRPr="00C91F0B">
              <w:tab/>
              <w:t>Equipment is used in a safe manner.</w:t>
            </w:r>
          </w:p>
        </w:tc>
      </w:tr>
      <w:tr w:rsidTr="007C09B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List"/>
              <w:rPr>
                <w:lang w:val="en-NZ"/>
              </w:rPr>
            </w:pPr>
            <w:r w:rsidRPr="00C91F0B">
              <w:t>3.</w:t>
            </w:r>
            <w:r w:rsidRPr="00C91F0B">
              <w:tab/>
              <w:t>Identify electronic/electrical components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List2"/>
            </w:pPr>
            <w:r w:rsidRPr="00C91F0B">
              <w:t>3.1.</w:t>
            </w:r>
            <w:r w:rsidRPr="00C91F0B">
              <w:tab/>
              <w:t xml:space="preserve">Common name, </w:t>
            </w:r>
            <w:r w:rsidRPr="00C91F0B">
              <w:t>appearance, colour of electronic and electrical components are identified.</w:t>
            </w:r>
          </w:p>
          <w:p w:rsidR="00000000" w:rsidP="00C91F0B">
            <w:pPr>
              <w:pStyle w:val="List2"/>
              <w:rPr>
                <w:lang w:val="en-NZ"/>
              </w:rPr>
            </w:pPr>
            <w:r w:rsidRPr="00C91F0B">
              <w:t>3.2.</w:t>
            </w:r>
            <w:r w:rsidRPr="00C91F0B">
              <w:tab/>
              <w:t>Polarity indicators are identified on components.</w:t>
            </w:r>
          </w:p>
        </w:tc>
      </w:tr>
      <w:tr w:rsidTr="007C09B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List"/>
              <w:rPr>
                <w:lang w:val="en-NZ"/>
              </w:rPr>
            </w:pPr>
            <w:r w:rsidRPr="00C91F0B">
              <w:t>4.</w:t>
            </w:r>
            <w:r w:rsidRPr="00C91F0B">
              <w:tab/>
              <w:t>Assemble components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List2"/>
            </w:pPr>
            <w:r w:rsidRPr="00C91F0B">
              <w:t>4.1.</w:t>
            </w:r>
            <w:r w:rsidRPr="00C91F0B">
              <w:tab/>
              <w:t>Correct components are selected by code/colour or other identification methods.</w:t>
            </w:r>
          </w:p>
          <w:p w:rsidR="00000000" w:rsidRPr="00C91F0B" w:rsidP="00C91F0B">
            <w:pPr>
              <w:pStyle w:val="List2"/>
            </w:pPr>
            <w:r w:rsidRPr="00C91F0B">
              <w:t>4.2.</w:t>
            </w:r>
            <w:r w:rsidRPr="00C91F0B">
              <w:tab/>
              <w:t>Components/d</w:t>
            </w:r>
            <w:r w:rsidRPr="00C91F0B">
              <w:t>evices are prepared for soldering or other termination methods.</w:t>
            </w:r>
          </w:p>
          <w:p w:rsidR="00000000" w:rsidRPr="00C91F0B" w:rsidP="00C91F0B">
            <w:pPr>
              <w:pStyle w:val="List2"/>
            </w:pPr>
            <w:r w:rsidRPr="00C91F0B">
              <w:t>4.3.</w:t>
            </w:r>
            <w:r w:rsidRPr="00C91F0B">
              <w:tab/>
              <w:t>Cables are connected to a variety of plug and socket combinations as required.</w:t>
            </w:r>
          </w:p>
          <w:p w:rsidR="00000000" w:rsidRPr="00C91F0B" w:rsidP="00C91F0B">
            <w:pPr>
              <w:pStyle w:val="List2"/>
            </w:pPr>
            <w:r w:rsidRPr="00C91F0B">
              <w:t>4.4.</w:t>
            </w:r>
            <w:r w:rsidRPr="00C91F0B">
              <w:tab/>
              <w:t>Components are safely handled and stored using appropriate anti-static handling procedures and techniqu</w:t>
            </w:r>
            <w:r w:rsidRPr="00C91F0B">
              <w:t>es in accordance with standard operating procedures.</w:t>
            </w:r>
          </w:p>
          <w:p w:rsidR="00000000" w:rsidRPr="00C91F0B" w:rsidP="00C91F0B">
            <w:pPr>
              <w:pStyle w:val="List2"/>
            </w:pPr>
            <w:r w:rsidRPr="00C91F0B">
              <w:t>4.5.</w:t>
            </w:r>
            <w:r w:rsidRPr="00C91F0B">
              <w:tab/>
              <w:t>Assembly is produced following correct sequence of operations.</w:t>
            </w:r>
          </w:p>
        </w:tc>
      </w:tr>
    </w:tbl>
    <w:p w:rsidR="007C09B4" w:rsidP="00C91F0B">
      <w:pPr>
        <w:pStyle w:val="BodyText"/>
      </w:pPr>
    </w:p>
    <w:p w:rsidR="007C09B4" w:rsidP="00C91F0B">
      <w:pPr>
        <w:pStyle w:val="BodyText"/>
      </w:pPr>
    </w:p>
    <w:p w:rsidR="00000000" w:rsidRPr="00C91F0B" w:rsidP="00C91F0B">
      <w:pPr>
        <w:pStyle w:val="Heading1"/>
      </w:pPr>
      <w:bookmarkStart w:id="9" w:name="O_260633"/>
      <w:bookmarkEnd w:id="9"/>
      <w:r w:rsidRPr="00C91F0B">
        <w:t>Required Skills and Knowledge</w:t>
      </w:r>
    </w:p>
    <w:tbl>
      <w:tblPr>
        <w:tblW w:w="0" w:type="auto"/>
        <w:tblLayout w:type="fixed"/>
        <w:tblCellMar>
          <w:left w:w="62" w:type="dxa"/>
          <w:right w:w="62" w:type="dxa"/>
        </w:tblCellMar>
        <w:tblLook w:val="0000"/>
      </w:tblPr>
      <w:tblGrid>
        <w:gridCol w:w="8522"/>
      </w:tblGrid>
      <w:tr w:rsidTr="007C09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REQUIRED SKILLS AND KNOWLEDGE</w:t>
            </w:r>
          </w:p>
        </w:tc>
      </w:tr>
      <w:tr w:rsidTr="007C09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This section describes the skills and knowledge required for this unit.</w:t>
            </w:r>
          </w:p>
        </w:tc>
      </w:tr>
      <w:tr w:rsidTr="007C0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Required skills</w:t>
            </w:r>
          </w:p>
        </w:tc>
      </w:tr>
      <w:tr w:rsidTr="007C0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Look for evidence that confirms skills in:</w:t>
            </w:r>
          </w:p>
          <w:p w:rsidR="00000000" w:rsidRPr="00C91F0B" w:rsidP="00C91F0B">
            <w:pPr>
              <w:pStyle w:val="ListBullet"/>
            </w:pPr>
            <w:r w:rsidRPr="00C91F0B">
              <w:t>reading, interpreting and following assembly job sheets, instructions and standard operating procedures</w:t>
            </w:r>
          </w:p>
          <w:p w:rsidR="00000000" w:rsidRPr="00C91F0B" w:rsidP="00C91F0B">
            <w:pPr>
              <w:pStyle w:val="ListBullet"/>
            </w:pPr>
            <w:r w:rsidRPr="00C91F0B">
              <w:t>selecting appropriate tools and equipment</w:t>
            </w:r>
          </w:p>
          <w:p w:rsidR="00000000" w:rsidRPr="00C91F0B" w:rsidP="00C91F0B">
            <w:pPr>
              <w:pStyle w:val="ListBullet"/>
            </w:pPr>
            <w:r w:rsidRPr="00C91F0B">
              <w:t>using tools and equipment</w:t>
            </w:r>
          </w:p>
          <w:p w:rsidR="00000000" w:rsidRPr="00C91F0B" w:rsidP="00C91F0B">
            <w:pPr>
              <w:pStyle w:val="ListBullet"/>
            </w:pPr>
            <w:r w:rsidRPr="00C91F0B">
              <w:t>selecting electronic and electrical components by name, colour and appearance</w:t>
            </w:r>
          </w:p>
          <w:p w:rsidR="00000000" w:rsidRPr="00C91F0B" w:rsidP="00C91F0B">
            <w:pPr>
              <w:pStyle w:val="ListBullet"/>
            </w:pPr>
            <w:r w:rsidRPr="00C91F0B">
              <w:t>preparing components/devices for soldering and termination</w:t>
            </w:r>
          </w:p>
          <w:p w:rsidR="00000000" w:rsidRPr="00C91F0B" w:rsidP="00C91F0B">
            <w:pPr>
              <w:pStyle w:val="ListBullet"/>
            </w:pPr>
            <w:r w:rsidRPr="00C91F0B">
              <w:t>connecting cables to plugs/sockets</w:t>
            </w:r>
          </w:p>
          <w:p w:rsidR="00000000" w:rsidRPr="00C91F0B" w:rsidP="00C91F0B">
            <w:pPr>
              <w:pStyle w:val="ListBullet"/>
            </w:pPr>
            <w:r w:rsidRPr="00C91F0B">
              <w:t>handling and storing components safely</w:t>
            </w:r>
          </w:p>
          <w:p w:rsidR="00000000" w:rsidRPr="00C91F0B" w:rsidP="00C91F0B">
            <w:pPr>
              <w:pStyle w:val="ListBullet"/>
            </w:pPr>
            <w:r w:rsidRPr="00C91F0B">
              <w:t>applying anti-static handling procedures and techniques</w:t>
            </w:r>
          </w:p>
          <w:p w:rsidR="00000000" w:rsidRPr="00C91F0B" w:rsidP="00C91F0B">
            <w:pPr>
              <w:pStyle w:val="ListBullet"/>
            </w:pPr>
            <w:r w:rsidRPr="00C91F0B">
              <w:t>checking work for conformance to specification</w:t>
            </w:r>
          </w:p>
          <w:p w:rsidR="00000000" w:rsidRPr="00C91F0B" w:rsidP="00C91F0B">
            <w:pPr>
              <w:pStyle w:val="ListBullet"/>
            </w:pPr>
            <w:r w:rsidRPr="00C91F0B">
              <w:t>completing production records and reports</w:t>
            </w:r>
          </w:p>
          <w:p w:rsidR="00000000" w:rsidRPr="00C91F0B" w:rsidP="00C91F0B">
            <w:pPr>
              <w:pStyle w:val="ListBullet"/>
            </w:pPr>
            <w:r w:rsidRPr="00C91F0B">
              <w:t>following oral instructions</w:t>
            </w:r>
          </w:p>
          <w:p w:rsidR="00000000" w:rsidRPr="00C91F0B" w:rsidP="00C91F0B">
            <w:pPr>
              <w:pStyle w:val="ListBullet"/>
            </w:pPr>
            <w:r w:rsidRPr="00C91F0B">
              <w:t xml:space="preserve">using hand and power tools dedicated to the </w:t>
            </w:r>
            <w:r w:rsidRPr="00C91F0B">
              <w:t>assembly process</w:t>
            </w:r>
          </w:p>
          <w:p w:rsidR="00000000" w:rsidRPr="00C91F0B" w:rsidP="00C91F0B">
            <w:pPr>
              <w:pStyle w:val="ListBullet"/>
            </w:pPr>
            <w:r w:rsidRPr="00C91F0B">
              <w:t>identifying components by name, appearance and colour</w:t>
            </w:r>
          </w:p>
          <w:p w:rsidR="00000000" w:rsidP="00C91F0B">
            <w:pPr>
              <w:pStyle w:val="ListBullet"/>
              <w:rPr>
                <w:lang w:val="en-NZ"/>
              </w:rPr>
            </w:pPr>
            <w:r w:rsidRPr="00C91F0B">
              <w:t>entering routine and familiar information onto proforma and standard workplace forms</w:t>
            </w:r>
          </w:p>
        </w:tc>
      </w:tr>
      <w:tr w:rsidTr="007C0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Required knowledge</w:t>
            </w:r>
          </w:p>
        </w:tc>
      </w:tr>
      <w:tr w:rsidTr="007C0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Look for evidence that confirms knowledge of:</w:t>
            </w:r>
          </w:p>
          <w:p w:rsidR="00000000" w:rsidRPr="00C91F0B" w:rsidP="00C91F0B">
            <w:pPr>
              <w:pStyle w:val="ListBullet"/>
            </w:pPr>
            <w:r w:rsidRPr="00C91F0B">
              <w:t>assembly equipment and its appli</w:t>
            </w:r>
            <w:r w:rsidRPr="00C91F0B">
              <w:t>cation</w:t>
            </w:r>
          </w:p>
          <w:p w:rsidR="00000000" w:rsidRPr="00C91F0B" w:rsidP="00C91F0B">
            <w:pPr>
              <w:pStyle w:val="ListBullet"/>
            </w:pPr>
            <w:r w:rsidRPr="00C91F0B">
              <w:t>hazards associated with the misuse of tools and equipment</w:t>
            </w:r>
          </w:p>
          <w:p w:rsidR="00000000" w:rsidRPr="00C91F0B" w:rsidP="00C91F0B">
            <w:pPr>
              <w:pStyle w:val="ListBullet"/>
            </w:pPr>
            <w:r w:rsidRPr="00C91F0B">
              <w:t>polarity indicators on common electronic and electrical components</w:t>
            </w:r>
          </w:p>
          <w:p w:rsidR="00000000" w:rsidRPr="00C91F0B" w:rsidP="00C91F0B">
            <w:pPr>
              <w:pStyle w:val="ListBullet"/>
            </w:pPr>
            <w:r w:rsidRPr="00C91F0B">
              <w:t>consequences of connecting electronic and electrical components with incorrect polarity</w:t>
            </w:r>
          </w:p>
          <w:p w:rsidR="00000000" w:rsidRPr="00C91F0B" w:rsidP="00C91F0B">
            <w:pPr>
              <w:pStyle w:val="ListBullet"/>
            </w:pPr>
            <w:r w:rsidRPr="00C91F0B">
              <w:t>termination methods</w:t>
            </w:r>
          </w:p>
          <w:p w:rsidR="00000000" w:rsidRPr="00C91F0B" w:rsidP="00C91F0B">
            <w:pPr>
              <w:pStyle w:val="ListBullet"/>
            </w:pPr>
            <w:r w:rsidRPr="00C91F0B">
              <w:t>preparation requirements for components/devices to be soldered</w:t>
            </w:r>
          </w:p>
          <w:p w:rsidR="00000000" w:rsidRPr="00C91F0B" w:rsidP="00C91F0B">
            <w:pPr>
              <w:pStyle w:val="ListBullet"/>
            </w:pPr>
            <w:r w:rsidRPr="00C91F0B">
              <w:t>preparation requirements for components/devices to be terminated using non-soldering techniques</w:t>
            </w:r>
          </w:p>
          <w:p w:rsidR="00000000" w:rsidRPr="00C91F0B" w:rsidP="00C91F0B">
            <w:pPr>
              <w:pStyle w:val="ListBullet"/>
            </w:pPr>
            <w:r w:rsidRPr="00C91F0B">
              <w:t>connection requirements of a variety of plugs and sockets</w:t>
            </w:r>
          </w:p>
          <w:p w:rsidR="00000000" w:rsidRPr="00C91F0B" w:rsidP="00C91F0B">
            <w:pPr>
              <w:pStyle w:val="ListBullet"/>
            </w:pPr>
            <w:r w:rsidRPr="00C91F0B">
              <w:t xml:space="preserve">anti-static procedures and techniques </w:t>
            </w:r>
          </w:p>
          <w:p w:rsidR="00000000" w:rsidRPr="00C91F0B" w:rsidP="00C91F0B">
            <w:pPr>
              <w:pStyle w:val="ListBullet"/>
            </w:pPr>
            <w:r w:rsidRPr="00C91F0B">
              <w:t>safe handling and storage requirements of electrical and electronic components</w:t>
            </w:r>
          </w:p>
          <w:p w:rsidR="00000000" w:rsidRPr="00C91F0B" w:rsidP="00C91F0B">
            <w:pPr>
              <w:pStyle w:val="ListBullet"/>
            </w:pPr>
            <w:r w:rsidRPr="00C91F0B">
              <w:t>consequences of not following the correct sequence of operations</w:t>
            </w:r>
          </w:p>
          <w:p w:rsidR="00000000" w:rsidRPr="00C91F0B" w:rsidP="00C91F0B">
            <w:pPr>
              <w:pStyle w:val="ListBullet"/>
            </w:pPr>
            <w:r w:rsidRPr="00C91F0B">
              <w:t>specifications against which the assembly is to be checked/tested</w:t>
            </w:r>
          </w:p>
          <w:p w:rsidR="00000000" w:rsidRPr="00C91F0B" w:rsidP="00C91F0B">
            <w:pPr>
              <w:pStyle w:val="ListBullet"/>
            </w:pPr>
            <w:r w:rsidRPr="00C91F0B">
              <w:t>test/check procedures</w:t>
            </w:r>
          </w:p>
          <w:p w:rsidR="00000000" w:rsidRPr="00C91F0B" w:rsidP="00C91F0B">
            <w:pPr>
              <w:pStyle w:val="ListBullet"/>
            </w:pPr>
            <w:r w:rsidRPr="00C91F0B">
              <w:t>data recording requireme</w:t>
            </w:r>
            <w:r w:rsidRPr="00C91F0B">
              <w:t>nts</w:t>
            </w:r>
          </w:p>
        </w:tc>
      </w:tr>
    </w:tbl>
    <w:p w:rsidR="007C09B4" w:rsidP="00C91F0B">
      <w:pPr>
        <w:pStyle w:val="BodyText"/>
      </w:pPr>
    </w:p>
    <w:p w:rsidR="007C09B4" w:rsidP="00C91F0B">
      <w:pPr>
        <w:pStyle w:val="BodyText"/>
      </w:pPr>
    </w:p>
    <w:p w:rsidR="00000000" w:rsidRPr="00C91F0B" w:rsidP="00C91F0B">
      <w:pPr>
        <w:pStyle w:val="AllowPageBreak"/>
      </w:pPr>
    </w:p>
    <w:p w:rsidR="00000000" w:rsidRPr="00C91F0B" w:rsidP="00C91F0B">
      <w:pPr>
        <w:pStyle w:val="Heading1"/>
      </w:pPr>
      <w:bookmarkStart w:id="10" w:name="O_244667"/>
      <w:bookmarkEnd w:id="10"/>
      <w:r w:rsidRPr="00C91F0B">
        <w:t>Evidence Guide</w:t>
      </w:r>
    </w:p>
    <w:tbl>
      <w:tblPr>
        <w:tblW w:w="9570" w:type="dxa"/>
        <w:tblLayout w:type="fixed"/>
        <w:tblCellMar>
          <w:left w:w="62" w:type="dxa"/>
          <w:right w:w="62" w:type="dxa"/>
        </w:tblCellMar>
        <w:tblLook w:val="0000"/>
      </w:tblPr>
      <w:tblGrid>
        <w:gridCol w:w="3908"/>
        <w:gridCol w:w="5662"/>
      </w:tblGrid>
      <w:tr w:rsidTr="007C09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EVIDENCE GUIDE</w:t>
            </w:r>
          </w:p>
        </w:tc>
      </w:tr>
      <w:tr w:rsidTr="007C09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 xml:space="preserve">The evidence guide provides advice on assessment and must be read in conjunction with the performance criteria, required skills and knowledge, </w:t>
            </w:r>
            <w:r w:rsidRPr="00C91F0B">
              <w:t>range statement and the Assessment Guidelines for the Training Package.</w:t>
            </w:r>
          </w:p>
        </w:tc>
      </w:tr>
      <w:tr w:rsidTr="007C0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 xml:space="preserve">A person who demonstrates competency in this unit must be able to perform electrical/electronic assembly (production). </w:t>
            </w:r>
          </w:p>
        </w:tc>
      </w:tr>
      <w:tr w:rsidTr="007C0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Assessors must be satisfied that the candidate can competently and consistently perform all elements of the unit as specified by the criteria, including required k</w:t>
            </w:r>
            <w:r w:rsidRPr="00C91F0B">
              <w:t xml:space="preserve">nowledge, and to be capable of applying the competency in new and different situations and contexts. </w:t>
            </w:r>
          </w:p>
        </w:tc>
      </w:tr>
      <w:tr w:rsidTr="007C0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This unit may be assessed on the job, off the job or a combination of both on and off the job. Where ass</w:t>
            </w:r>
            <w:r w:rsidRPr="00C91F0B">
              <w:t>essment occurs off the job, that is the candidate is not in productive work, then an appropriate simulation must be used where the range of conditions reflects realistic workplace situations. The competencies covered by this unit would be demonstrated by a</w:t>
            </w:r>
            <w:r w:rsidRPr="00C91F0B">
              <w:t>n individual working alone or as part of a team. The assessment environment should not disadvantage the candidate.</w:t>
            </w:r>
          </w:p>
          <w:p w:rsidR="00000000" w:rsidP="00C91F0B">
            <w:pPr>
              <w:pStyle w:val="BodyText"/>
              <w:rPr>
                <w:lang w:val="en-NZ"/>
              </w:rPr>
            </w:pPr>
            <w:r w:rsidRPr="00C91F0B">
              <w:t xml:space="preserve">This unit could be assessed in conjunction with any other units addressing the safety, quality, communication, materials handling, recording </w:t>
            </w:r>
            <w:r w:rsidRPr="00C91F0B">
              <w:t>and reporting associated with electronic/electrical assembly (production) or other units requiring the exercise of the skills and knowledge covered by this unit.</w:t>
            </w:r>
          </w:p>
        </w:tc>
      </w:tr>
      <w:tr w:rsidTr="007C0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Assessors should gather a range of evidence that is valid, sufficient, c</w:t>
            </w:r>
            <w:r w:rsidRPr="00C91F0B">
              <w:t>urrent and authentic. Evidence can be gathered through a variety of ways including direct observation, supervisor's reports, project work, samples and questioning. Questioning techniques should not require language, literacy and numeracy skills beyond thos</w:t>
            </w:r>
            <w:r w:rsidRPr="00C91F0B">
              <w:t>e required in this unit of competency. The candidate must have access to all tools, equipment, materials and documentation required. The candidate must be permitted to refer to any relevant workplace procedures, product and manufacturing specifications, co</w:t>
            </w:r>
            <w:r w:rsidRPr="00C91F0B">
              <w:t>des, standards, manuals and reference materials.</w:t>
            </w:r>
          </w:p>
        </w:tc>
      </w:tr>
      <w:tr w:rsidTr="007C0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p>
        </w:tc>
      </w:tr>
    </w:tbl>
    <w:p w:rsidR="007C09B4" w:rsidP="00C91F0B">
      <w:pPr>
        <w:pStyle w:val="BodyText"/>
      </w:pPr>
    </w:p>
    <w:p w:rsidR="007C09B4" w:rsidP="00C91F0B">
      <w:pPr>
        <w:pStyle w:val="BodyText"/>
      </w:pPr>
    </w:p>
    <w:p w:rsidR="00000000" w:rsidRPr="00C91F0B" w:rsidP="00C91F0B">
      <w:pPr>
        <w:pStyle w:val="Heading1"/>
      </w:pPr>
      <w:bookmarkStart w:id="11" w:name="O_252650"/>
      <w:bookmarkEnd w:id="11"/>
      <w:r w:rsidRPr="00C91F0B">
        <w:t>Range Statement</w:t>
      </w:r>
    </w:p>
    <w:tbl>
      <w:tblPr>
        <w:tblW w:w="0" w:type="auto"/>
        <w:tblLayout w:type="fixed"/>
        <w:tblCellMar>
          <w:left w:w="62" w:type="dxa"/>
          <w:right w:w="62" w:type="dxa"/>
        </w:tblCellMar>
        <w:tblLook w:val="0000"/>
      </w:tblPr>
      <w:tblGrid>
        <w:gridCol w:w="3506"/>
        <w:gridCol w:w="5016"/>
      </w:tblGrid>
      <w:tr w:rsidTr="007C09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RANGE STATEMENT</w:t>
            </w:r>
          </w:p>
        </w:tc>
      </w:tr>
      <w:tr w:rsidTr="007C09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t>The range statement relates to the unit of competency as a whole. It allows for different work environments and situations that may affect performance. Bold italicised wording, if used in the performance criteria, is detailed below. Essential operating con</w:t>
            </w:r>
            <w:r w:rsidRPr="00C91F0B">
              <w:t>ditions that may be present with training and assessment (depending on the work situation, needs of the candidate, accessibility of the item, and local industry and regional contexts) may also be included.</w:t>
            </w: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p>
        </w:tc>
      </w:tr>
    </w:tbl>
    <w:p w:rsidR="007C09B4" w:rsidP="00C91F0B">
      <w:pPr>
        <w:pStyle w:val="BodyText"/>
      </w:pPr>
    </w:p>
    <w:p w:rsidR="007C09B4" w:rsidP="00C91F0B">
      <w:pPr>
        <w:pStyle w:val="BodyText"/>
      </w:pPr>
    </w:p>
    <w:p w:rsidR="00000000" w:rsidRPr="00C91F0B" w:rsidP="00C91F0B">
      <w:pPr>
        <w:pStyle w:val="Heading1"/>
      </w:pPr>
      <w:bookmarkStart w:id="12" w:name="O_210234"/>
      <w:bookmarkEnd w:id="12"/>
      <w:r w:rsidRPr="00C91F0B">
        <w:t>Unit Sector(s)</w:t>
      </w:r>
    </w:p>
    <w:tbl>
      <w:tblPr>
        <w:tblW w:w="0" w:type="auto"/>
        <w:tblLayout w:type="fixed"/>
        <w:tblCellMar>
          <w:left w:w="62" w:type="dxa"/>
          <w:right w:w="62" w:type="dxa"/>
        </w:tblCellMar>
        <w:tblLook w:val="0000"/>
      </w:tblPr>
      <w:tblGrid>
        <w:gridCol w:w="2654"/>
        <w:gridCol w:w="5868"/>
      </w:tblGrid>
      <w:tr w:rsidTr="007C09B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p>
        </w:tc>
      </w:tr>
    </w:tbl>
    <w:p w:rsidR="007C09B4" w:rsidP="00C91F0B">
      <w:pPr>
        <w:pStyle w:val="BodyText"/>
      </w:pPr>
    </w:p>
    <w:p w:rsidR="007C09B4" w:rsidP="00C91F0B">
      <w:pPr>
        <w:pStyle w:val="BodyText"/>
      </w:pPr>
    </w:p>
    <w:p w:rsidR="00000000" w:rsidRPr="00C91F0B" w:rsidP="00C91F0B">
      <w:pPr>
        <w:pStyle w:val="Heading1"/>
      </w:pPr>
      <w:bookmarkStart w:id="13" w:name="O_210231"/>
      <w:bookmarkEnd w:id="13"/>
      <w:r w:rsidRPr="00C91F0B">
        <w:t>Co-requisite units</w:t>
      </w:r>
    </w:p>
    <w:tbl>
      <w:tblPr>
        <w:tblW w:w="0" w:type="auto"/>
        <w:tblLayout w:type="fixed"/>
        <w:tblCellMar>
          <w:left w:w="62" w:type="dxa"/>
          <w:right w:w="62" w:type="dxa"/>
        </w:tblCellMar>
        <w:tblLook w:val="0000"/>
      </w:tblPr>
      <w:tblGrid>
        <w:gridCol w:w="2641"/>
        <w:gridCol w:w="1322"/>
        <w:gridCol w:w="4559"/>
      </w:tblGrid>
      <w:tr w:rsidTr="007C09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p>
        </w:tc>
      </w:tr>
      <w:tr w:rsidTr="007C0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p>
        </w:tc>
      </w:tr>
    </w:tbl>
    <w:p w:rsidR="007C09B4" w:rsidP="00C91F0B">
      <w:pPr>
        <w:pStyle w:val="BodyText"/>
      </w:pPr>
    </w:p>
    <w:p w:rsidR="007C09B4" w:rsidP="00C91F0B">
      <w:pPr>
        <w:pStyle w:val="BodyText"/>
      </w:pPr>
    </w:p>
    <w:p w:rsidR="00000000" w:rsidRPr="00C91F0B" w:rsidP="00C91F0B">
      <w:pPr>
        <w:pStyle w:val="Heading1"/>
      </w:pPr>
      <w:bookmarkStart w:id="14" w:name="O_210233"/>
      <w:bookmarkEnd w:id="14"/>
      <w:r w:rsidRPr="00C91F0B">
        <w:t>Competency field</w:t>
      </w:r>
    </w:p>
    <w:tbl>
      <w:tblPr>
        <w:tblW w:w="0" w:type="auto"/>
        <w:tblLayout w:type="fixed"/>
        <w:tblCellMar>
          <w:left w:w="62" w:type="dxa"/>
          <w:right w:w="62" w:type="dxa"/>
        </w:tblCellMar>
        <w:tblLook w:val="0000"/>
      </w:tblPr>
      <w:tblGrid>
        <w:gridCol w:w="2777"/>
        <w:gridCol w:w="5745"/>
      </w:tblGrid>
      <w:tr w:rsidTr="007C09B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F0B">
            <w:pPr>
              <w:pStyle w:val="BodyText"/>
              <w:rPr>
                <w:lang w:val="en-NZ"/>
              </w:rPr>
            </w:pPr>
            <w:r w:rsidRPr="00C91F0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F0B" w:rsidP="00C91F0B">
            <w:pPr>
              <w:pStyle w:val="BodyText"/>
            </w:pPr>
            <w:r w:rsidRPr="00C91F0B">
              <w:t>Assembly</w:t>
            </w:r>
          </w:p>
        </w:tc>
      </w:tr>
    </w:tbl>
    <w:p w:rsidR="007C09B4" w:rsidP="00C91F0B">
      <w:pPr>
        <w:pStyle w:val="BodyText"/>
      </w:pPr>
    </w:p>
    <w:p w:rsidR="007C09B4" w:rsidP="00C91F0B">
      <w:pPr>
        <w:pStyle w:val="BodyText"/>
      </w:pPr>
    </w:p>
    <w:p w:rsidR="00000000" w:rsidRPr="00C91F0B" w:rsidP="00C91F0B"/>
    <w:sectPr w:rsidSect="00C91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09B4" w:rsidP="007C0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B4" w:rsidP="00C91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09B4" w:rsidP="00C91F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09B4" w:rsidP="00C91F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09B4" w:rsidP="007C09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B4" w:rsidP="00C91F0B">
    <w:pPr>
      <w:pStyle w:val="Header"/>
      <w:framePr w:wrap="around"/>
    </w:pPr>
    <w:r>
      <w:fldChar w:fldCharType="begin"/>
    </w:r>
    <w:r>
      <w:instrText xml:space="preserve"> TITLE   \* MERGEFORMAT </w:instrText>
    </w:r>
    <w:r>
      <w:fldChar w:fldCharType="separate"/>
    </w:r>
    <w:r>
      <w:t>MEM03004B Perform electronic/electrical assembly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09B4" w:rsidP="00C91F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90D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03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F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1F0B"/>
    <w:pPr>
      <w:spacing w:before="360" w:after="60"/>
      <w:outlineLvl w:val="0"/>
    </w:pPr>
    <w:rPr>
      <w:sz w:val="32"/>
    </w:rPr>
  </w:style>
  <w:style w:type="paragraph" w:styleId="Heading2">
    <w:name w:val="heading 2"/>
    <w:basedOn w:val="HeadingBase"/>
    <w:next w:val="BodyText"/>
    <w:link w:val="Heading2Char"/>
    <w:qFormat/>
    <w:rsid w:val="00C91F0B"/>
    <w:pPr>
      <w:keepLines/>
      <w:spacing w:before="240" w:after="120"/>
      <w:outlineLvl w:val="1"/>
    </w:pPr>
    <w:rPr>
      <w:sz w:val="28"/>
      <w:szCs w:val="40"/>
    </w:rPr>
  </w:style>
  <w:style w:type="paragraph" w:styleId="Heading3">
    <w:name w:val="heading 3"/>
    <w:basedOn w:val="HeadingBase"/>
    <w:next w:val="BodyText"/>
    <w:link w:val="Heading3Char"/>
    <w:qFormat/>
    <w:rsid w:val="00C91F0B"/>
    <w:pPr>
      <w:spacing w:before="180" w:after="120"/>
      <w:outlineLvl w:val="2"/>
    </w:pPr>
    <w:rPr>
      <w:spacing w:val="-10"/>
      <w:kern w:val="32"/>
    </w:rPr>
  </w:style>
  <w:style w:type="paragraph" w:styleId="Heading4">
    <w:name w:val="heading 4"/>
    <w:basedOn w:val="HeadingBase"/>
    <w:next w:val="BodyText"/>
    <w:link w:val="Heading4Char"/>
    <w:qFormat/>
    <w:rsid w:val="00C91F0B"/>
    <w:pPr>
      <w:spacing w:before="160" w:after="120"/>
      <w:outlineLvl w:val="3"/>
    </w:pPr>
    <w:rPr>
      <w:sz w:val="22"/>
    </w:rPr>
  </w:style>
  <w:style w:type="paragraph" w:styleId="Heading5">
    <w:name w:val="heading 5"/>
    <w:basedOn w:val="HeadingBase"/>
    <w:next w:val="Normal"/>
    <w:link w:val="Heading5Char"/>
    <w:qFormat/>
    <w:rsid w:val="00C91F0B"/>
    <w:pPr>
      <w:spacing w:before="80"/>
      <w:outlineLvl w:val="4"/>
    </w:pPr>
    <w:rPr>
      <w:color w:val="918585"/>
      <w:sz w:val="20"/>
    </w:rPr>
  </w:style>
  <w:style w:type="paragraph" w:styleId="Heading6">
    <w:name w:val="heading 6"/>
    <w:basedOn w:val="HeadingBase"/>
    <w:next w:val="Normal"/>
    <w:link w:val="Heading6Char"/>
    <w:qFormat/>
    <w:rsid w:val="00C91F0B"/>
    <w:pPr>
      <w:spacing w:before="60"/>
      <w:outlineLvl w:val="5"/>
    </w:pPr>
    <w:rPr>
      <w:color w:val="918585"/>
      <w:sz w:val="20"/>
    </w:rPr>
  </w:style>
  <w:style w:type="paragraph" w:styleId="Heading7">
    <w:name w:val="heading 7"/>
    <w:basedOn w:val="Normal"/>
    <w:next w:val="Normal"/>
    <w:link w:val="Heading7Char"/>
    <w:qFormat/>
    <w:rsid w:val="00C91F0B"/>
    <w:pPr>
      <w:ind w:left="720"/>
      <w:outlineLvl w:val="6"/>
    </w:pPr>
    <w:rPr>
      <w:i/>
    </w:rPr>
  </w:style>
  <w:style w:type="paragraph" w:styleId="Heading8">
    <w:name w:val="heading 8"/>
    <w:basedOn w:val="Normal"/>
    <w:next w:val="Normal"/>
    <w:link w:val="Heading8Char"/>
    <w:qFormat/>
    <w:rsid w:val="00C91F0B"/>
    <w:pPr>
      <w:ind w:left="720"/>
      <w:outlineLvl w:val="7"/>
    </w:pPr>
    <w:rPr>
      <w:i/>
    </w:rPr>
  </w:style>
  <w:style w:type="paragraph" w:styleId="Heading9">
    <w:name w:val="heading 9"/>
    <w:basedOn w:val="Normal"/>
    <w:next w:val="Normal"/>
    <w:link w:val="Heading9Char"/>
    <w:qFormat/>
    <w:rsid w:val="00C91F0B"/>
    <w:pPr>
      <w:ind w:left="720"/>
      <w:outlineLvl w:val="8"/>
    </w:pPr>
    <w:rPr>
      <w:i/>
    </w:rPr>
  </w:style>
  <w:style w:type="character" w:default="1" w:styleId="DefaultParagraphFont">
    <w:name w:val="Default Paragraph Font"/>
    <w:uiPriority w:val="1"/>
    <w:unhideWhenUsed/>
    <w:rsid w:val="00C91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F0B"/>
  </w:style>
  <w:style w:type="character" w:customStyle="1" w:styleId="Heading1Char">
    <w:name w:val="Heading 1 Char"/>
    <w:basedOn w:val="DefaultParagraphFont"/>
    <w:link w:val="Heading1"/>
    <w:rsid w:val="00C91F0B"/>
    <w:rPr>
      <w:rFonts w:ascii="Times New Roman" w:eastAsia="Times New Roman" w:hAnsi="Times New Roman" w:cs="Times New Roman"/>
      <w:b/>
      <w:sz w:val="32"/>
      <w:szCs w:val="20"/>
      <w:lang w:eastAsia="en-US"/>
    </w:rPr>
  </w:style>
  <w:style w:type="paragraph" w:styleId="BodyText">
    <w:name w:val="Body Text"/>
    <w:basedOn w:val="Normal"/>
    <w:link w:val="BodyTextChar"/>
    <w:rsid w:val="00C91F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F0B"/>
    <w:rPr>
      <w:rFonts w:ascii="Times New Roman" w:eastAsia="Times New Roman" w:hAnsi="Times New Roman" w:cs="Times New Roman"/>
      <w:sz w:val="24"/>
      <w:lang w:val="en-US" w:eastAsia="en-US"/>
    </w:rPr>
  </w:style>
  <w:style w:type="paragraph" w:styleId="Footer">
    <w:name w:val="footer"/>
    <w:basedOn w:val="Normal"/>
    <w:link w:val="FooterChar"/>
    <w:rsid w:val="00C91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F0B"/>
    <w:rPr>
      <w:rFonts w:ascii="Times New Roman" w:eastAsia="Times New Roman" w:hAnsi="Times New Roman" w:cs="Times New Roman"/>
      <w:sz w:val="16"/>
      <w:lang w:val="en-US" w:eastAsia="en-US"/>
    </w:rPr>
  </w:style>
  <w:style w:type="paragraph" w:styleId="List">
    <w:name w:val="List"/>
    <w:basedOn w:val="BodyText"/>
    <w:next w:val="BodyText"/>
    <w:rsid w:val="00C91F0B"/>
    <w:pPr>
      <w:tabs>
        <w:tab w:val="left" w:pos="340"/>
      </w:tabs>
      <w:spacing w:before="60" w:after="60"/>
      <w:ind w:left="340" w:hanging="340"/>
    </w:pPr>
  </w:style>
  <w:style w:type="paragraph" w:styleId="ListBullet">
    <w:name w:val="List Bullet"/>
    <w:basedOn w:val="List"/>
    <w:rsid w:val="00C91F0B"/>
    <w:pPr>
      <w:numPr>
        <w:numId w:val="12"/>
      </w:numPr>
      <w:tabs>
        <w:tab w:val="clear" w:pos="340"/>
      </w:tabs>
      <w:spacing w:before="40" w:after="40"/>
    </w:pPr>
  </w:style>
  <w:style w:type="character" w:customStyle="1" w:styleId="SpecialBold">
    <w:name w:val="Special Bold"/>
    <w:basedOn w:val="DefaultParagraphFont"/>
    <w:rsid w:val="00C91F0B"/>
    <w:rPr>
      <w:b/>
      <w:spacing w:val="0"/>
    </w:rPr>
  </w:style>
  <w:style w:type="paragraph" w:styleId="Header">
    <w:name w:val="header"/>
    <w:basedOn w:val="Normal"/>
    <w:link w:val="HeaderChar"/>
    <w:rsid w:val="00C91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F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1F0B"/>
    <w:pPr>
      <w:spacing w:before="240" w:after="120"/>
      <w:outlineLvl w:val="0"/>
    </w:pPr>
    <w:rPr>
      <w:rFonts w:ascii="Times New Roman" w:hAnsi="Times New Roman"/>
      <w:b/>
      <w:sz w:val="28"/>
    </w:rPr>
  </w:style>
  <w:style w:type="paragraph" w:customStyle="1" w:styleId="AllowPageBreak">
    <w:name w:val="AllowPageBreak"/>
    <w:rsid w:val="00C91F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1F0B"/>
    <w:pPr>
      <w:tabs>
        <w:tab w:val="left" w:pos="680"/>
      </w:tabs>
      <w:spacing w:before="60" w:after="60"/>
      <w:ind w:left="680" w:hanging="340"/>
    </w:pPr>
  </w:style>
  <w:style w:type="character" w:customStyle="1" w:styleId="Heading2Char">
    <w:name w:val="Heading 2 Char"/>
    <w:basedOn w:val="DefaultParagraphFont"/>
    <w:link w:val="Heading2"/>
    <w:rsid w:val="00C91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F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1F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1F0B"/>
    <w:rPr>
      <w:rFonts w:ascii="Courier New" w:eastAsia="Times New Roman" w:hAnsi="Courier New" w:cs="Times New Roman"/>
      <w:i/>
      <w:szCs w:val="20"/>
      <w:lang w:val="en-US" w:eastAsia="en-US"/>
    </w:rPr>
  </w:style>
  <w:style w:type="paragraph" w:customStyle="1" w:styleId="HeadingBase">
    <w:name w:val="Heading Base"/>
    <w:rsid w:val="00C91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F0B"/>
    <w:pPr>
      <w:tabs>
        <w:tab w:val="right" w:leader="dot" w:pos="9072"/>
      </w:tabs>
      <w:ind w:left="567"/>
    </w:pPr>
    <w:rPr>
      <w:szCs w:val="22"/>
    </w:rPr>
  </w:style>
  <w:style w:type="paragraph" w:customStyle="1" w:styleId="TOCBase">
    <w:name w:val="TOC Base"/>
    <w:rsid w:val="00C91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F0B"/>
    <w:pPr>
      <w:tabs>
        <w:tab w:val="right" w:leader="dot" w:pos="9072"/>
      </w:tabs>
      <w:spacing w:before="40" w:after="40"/>
      <w:ind w:left="284"/>
    </w:pPr>
    <w:rPr>
      <w:rFonts w:ascii="Times New Roman" w:hAnsi="Times New Roman"/>
    </w:rPr>
  </w:style>
  <w:style w:type="paragraph" w:styleId="TOC1">
    <w:name w:val="toc 1"/>
    <w:basedOn w:val="TOCBase"/>
    <w:next w:val="Normal"/>
    <w:rsid w:val="00C91F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F0B"/>
    <w:pPr>
      <w:spacing w:before="5040"/>
      <w:jc w:val="center"/>
    </w:pPr>
    <w:rPr>
      <w:sz w:val="48"/>
      <w:szCs w:val="72"/>
      <w:lang w:val="en-US"/>
    </w:rPr>
  </w:style>
  <w:style w:type="character" w:customStyle="1" w:styleId="TitleChar">
    <w:name w:val="Title Char"/>
    <w:basedOn w:val="DefaultParagraphFont"/>
    <w:link w:val="Title"/>
    <w:rsid w:val="00C91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F0B"/>
    <w:pPr>
      <w:tabs>
        <w:tab w:val="left" w:pos="3600"/>
        <w:tab w:val="left" w:pos="3958"/>
      </w:tabs>
    </w:pPr>
  </w:style>
  <w:style w:type="paragraph" w:customStyle="1" w:styleId="Note">
    <w:name w:val="Note"/>
    <w:basedOn w:val="BodyText"/>
    <w:rsid w:val="00C91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F0B"/>
    <w:pPr>
      <w:framePr w:wrap="auto" w:hAnchor="text" w:y="6049"/>
    </w:pPr>
    <w:rPr>
      <w:color w:val="000000"/>
      <w:sz w:val="40"/>
    </w:rPr>
  </w:style>
  <w:style w:type="paragraph" w:customStyle="1" w:styleId="TOCTitle">
    <w:name w:val="TOCTitle"/>
    <w:basedOn w:val="Heading1"/>
    <w:rsid w:val="00C91F0B"/>
    <w:pPr>
      <w:spacing w:after="240"/>
      <w:jc w:val="center"/>
      <w:outlineLvl w:val="9"/>
    </w:pPr>
    <w:rPr>
      <w:caps/>
    </w:rPr>
  </w:style>
  <w:style w:type="paragraph" w:customStyle="1" w:styleId="Version">
    <w:name w:val="Version"/>
    <w:rsid w:val="00C91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F0B"/>
    <w:pPr>
      <w:numPr>
        <w:numId w:val="13"/>
      </w:numPr>
      <w:tabs>
        <w:tab w:val="clear" w:pos="680"/>
      </w:tabs>
    </w:pPr>
  </w:style>
  <w:style w:type="paragraph" w:styleId="Index1">
    <w:name w:val="index 1"/>
    <w:basedOn w:val="Normal"/>
    <w:next w:val="Normal"/>
    <w:semiHidden/>
    <w:rsid w:val="00C91F0B"/>
    <w:pPr>
      <w:keepNext w:val="0"/>
      <w:tabs>
        <w:tab w:val="right" w:pos="4176"/>
      </w:tabs>
      <w:ind w:left="198" w:hanging="198"/>
    </w:pPr>
    <w:rPr>
      <w:rFonts w:ascii="Garamond" w:hAnsi="Garamond"/>
    </w:rPr>
  </w:style>
  <w:style w:type="paragraph" w:styleId="IndexHeading">
    <w:name w:val="index heading"/>
    <w:basedOn w:val="Normal"/>
    <w:next w:val="Index1"/>
    <w:semiHidden/>
    <w:rsid w:val="00C91F0B"/>
    <w:pPr>
      <w:spacing w:before="120" w:after="120"/>
    </w:pPr>
    <w:rPr>
      <w:rFonts w:ascii="Arial" w:hAnsi="Arial"/>
      <w:b/>
      <w:color w:val="918585"/>
      <w:sz w:val="24"/>
    </w:rPr>
  </w:style>
  <w:style w:type="paragraph" w:customStyle="1" w:styleId="Chapter">
    <w:name w:val="Chapter"/>
    <w:basedOn w:val="Normal"/>
    <w:rsid w:val="00C91F0B"/>
    <w:pPr>
      <w:spacing w:before="240"/>
    </w:pPr>
    <w:rPr>
      <w:rFonts w:ascii="Times New Roman" w:hAnsi="Times New Roman"/>
      <w:smallCaps/>
      <w:spacing w:val="80"/>
      <w:sz w:val="28"/>
    </w:rPr>
  </w:style>
  <w:style w:type="paragraph" w:customStyle="1" w:styleId="InChapter">
    <w:name w:val="InChapter"/>
    <w:basedOn w:val="Heading3"/>
    <w:rsid w:val="00C91F0B"/>
    <w:pPr>
      <w:spacing w:after="240"/>
      <w:outlineLvl w:val="9"/>
    </w:pPr>
    <w:rPr>
      <w:noProof/>
    </w:rPr>
  </w:style>
  <w:style w:type="paragraph" w:styleId="Index2">
    <w:name w:val="index 2"/>
    <w:basedOn w:val="Normal"/>
    <w:next w:val="Normal"/>
    <w:semiHidden/>
    <w:rsid w:val="00C91F0B"/>
    <w:pPr>
      <w:tabs>
        <w:tab w:val="right" w:pos="4176"/>
      </w:tabs>
      <w:ind w:left="568" w:hanging="284"/>
    </w:pPr>
    <w:rPr>
      <w:rFonts w:ascii="Garamond" w:hAnsi="Garamond"/>
    </w:rPr>
  </w:style>
  <w:style w:type="paragraph" w:customStyle="1" w:styleId="Byline">
    <w:name w:val="Byline"/>
    <w:rsid w:val="00C91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F0B"/>
    <w:pPr>
      <w:tabs>
        <w:tab w:val="clear" w:pos="3600"/>
        <w:tab w:val="clear" w:pos="3958"/>
      </w:tabs>
      <w:jc w:val="right"/>
    </w:pPr>
  </w:style>
  <w:style w:type="character" w:styleId="Emphasis">
    <w:name w:val="Emphasis"/>
    <w:basedOn w:val="DefaultParagraphFont"/>
    <w:qFormat/>
    <w:rsid w:val="00C91F0B"/>
    <w:rPr>
      <w:i/>
    </w:rPr>
  </w:style>
  <w:style w:type="paragraph" w:styleId="Caption">
    <w:name w:val="caption"/>
    <w:basedOn w:val="BodyText"/>
    <w:next w:val="Normal"/>
    <w:qFormat/>
    <w:rsid w:val="00C91F0B"/>
    <w:pPr>
      <w:framePr w:w="2268" w:hSpace="181" w:vSpace="181" w:wrap="around" w:vAnchor="text" w:hAnchor="page" w:x="1135" w:y="285" w:anchorLock="1"/>
    </w:pPr>
    <w:rPr>
      <w:i/>
    </w:rPr>
  </w:style>
  <w:style w:type="paragraph" w:customStyle="1" w:styleId="MiniTOCTitle">
    <w:name w:val="MiniTOCTitle"/>
    <w:basedOn w:val="Heading4"/>
    <w:rsid w:val="00C91F0B"/>
    <w:pPr>
      <w:spacing w:before="240"/>
      <w:outlineLvl w:val="9"/>
    </w:pPr>
    <w:rPr>
      <w:noProof/>
      <w:sz w:val="24"/>
    </w:rPr>
  </w:style>
  <w:style w:type="paragraph" w:customStyle="1" w:styleId="MiniTOCItem">
    <w:name w:val="MiniTOCItem"/>
    <w:basedOn w:val="ListBullet"/>
    <w:rsid w:val="00C91F0B"/>
    <w:pPr>
      <w:numPr>
        <w:numId w:val="0"/>
      </w:numPr>
      <w:tabs>
        <w:tab w:val="right" w:leader="dot" w:pos="6521"/>
      </w:tabs>
      <w:spacing w:before="0" w:after="0"/>
    </w:pPr>
  </w:style>
  <w:style w:type="paragraph" w:customStyle="1" w:styleId="TOFTitle">
    <w:name w:val="TOFTitle"/>
    <w:basedOn w:val="TOCTitle"/>
    <w:rsid w:val="00C91F0B"/>
  </w:style>
  <w:style w:type="paragraph" w:styleId="TableofFigures">
    <w:name w:val="table of figures"/>
    <w:basedOn w:val="Normal"/>
    <w:next w:val="Normal"/>
    <w:semiHidden/>
    <w:rsid w:val="00C91F0B"/>
    <w:pPr>
      <w:tabs>
        <w:tab w:val="right" w:leader="dot" w:pos="9072"/>
      </w:tabs>
      <w:ind w:left="970" w:hanging="403"/>
    </w:pPr>
    <w:rPr>
      <w:rFonts w:ascii="Times New Roman" w:hAnsi="Times New Roman"/>
      <w:b/>
    </w:rPr>
  </w:style>
  <w:style w:type="paragraph" w:styleId="ListNumber">
    <w:name w:val="List Number"/>
    <w:basedOn w:val="List"/>
    <w:rsid w:val="00C91F0B"/>
    <w:pPr>
      <w:numPr>
        <w:numId w:val="10"/>
      </w:numPr>
    </w:pPr>
  </w:style>
  <w:style w:type="character" w:customStyle="1" w:styleId="WingdingSymbols">
    <w:name w:val="Wingding Symbols"/>
    <w:rsid w:val="00C91F0B"/>
    <w:rPr>
      <w:rFonts w:ascii="Wingdings" w:hAnsi="Wingdings"/>
    </w:rPr>
  </w:style>
  <w:style w:type="paragraph" w:customStyle="1" w:styleId="TableHeading">
    <w:name w:val="Table Heading"/>
    <w:basedOn w:val="HeadingBase"/>
    <w:rsid w:val="00C91F0B"/>
    <w:pPr>
      <w:keepLines/>
      <w:pBdr>
        <w:bottom w:val="single" w:sz="6" w:space="1" w:color="918585"/>
      </w:pBdr>
      <w:spacing w:before="240"/>
    </w:pPr>
  </w:style>
  <w:style w:type="character" w:customStyle="1" w:styleId="HotSpot">
    <w:name w:val="HotSpot"/>
    <w:rsid w:val="00C91F0B"/>
    <w:rPr>
      <w:color w:val="0033CC"/>
      <w:u w:val="none"/>
    </w:rPr>
  </w:style>
  <w:style w:type="paragraph" w:customStyle="1" w:styleId="BodyTextRight">
    <w:name w:val="Body Text Right"/>
    <w:basedOn w:val="BodyText"/>
    <w:rsid w:val="00C91F0B"/>
    <w:pPr>
      <w:spacing w:before="0" w:after="0"/>
      <w:jc w:val="right"/>
    </w:pPr>
  </w:style>
  <w:style w:type="paragraph" w:styleId="Index3">
    <w:name w:val="index 3"/>
    <w:basedOn w:val="ListNumber2"/>
    <w:next w:val="Normal"/>
    <w:semiHidden/>
    <w:rsid w:val="00C91F0B"/>
    <w:pPr>
      <w:numPr>
        <w:numId w:val="0"/>
      </w:numPr>
      <w:tabs>
        <w:tab w:val="right" w:leader="dot" w:pos="4176"/>
      </w:tabs>
    </w:pPr>
  </w:style>
  <w:style w:type="paragraph" w:styleId="ListNumber2">
    <w:name w:val="List Number 2"/>
    <w:basedOn w:val="List2"/>
    <w:rsid w:val="00C91F0B"/>
    <w:pPr>
      <w:numPr>
        <w:numId w:val="9"/>
      </w:numPr>
      <w:tabs>
        <w:tab w:val="clear" w:pos="1060"/>
      </w:tabs>
    </w:pPr>
  </w:style>
  <w:style w:type="paragraph" w:customStyle="1" w:styleId="MarginNote">
    <w:name w:val="Margin Note"/>
    <w:basedOn w:val="BodyText"/>
    <w:rsid w:val="00C91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F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1F0B"/>
    <w:rPr>
      <w:sz w:val="32"/>
    </w:rPr>
  </w:style>
  <w:style w:type="paragraph" w:customStyle="1" w:styleId="HeadingProcedure">
    <w:name w:val="Heading Procedure"/>
    <w:basedOn w:val="HeadingBase"/>
    <w:next w:val="Normal"/>
    <w:rsid w:val="00C91F0B"/>
    <w:pPr>
      <w:tabs>
        <w:tab w:val="left" w:pos="0"/>
      </w:tabs>
      <w:spacing w:before="120" w:after="60"/>
    </w:pPr>
    <w:rPr>
      <w:i/>
      <w:color w:val="918585"/>
      <w:sz w:val="22"/>
    </w:rPr>
  </w:style>
  <w:style w:type="paragraph" w:customStyle="1" w:styleId="TableBodyText">
    <w:name w:val="Table Body Text"/>
    <w:basedOn w:val="BodyText"/>
    <w:rsid w:val="00C91F0B"/>
    <w:pPr>
      <w:spacing w:before="60" w:after="60"/>
    </w:pPr>
  </w:style>
  <w:style w:type="paragraph" w:styleId="ListContinue">
    <w:name w:val="List Continue"/>
    <w:basedOn w:val="List"/>
    <w:rsid w:val="00C91F0B"/>
    <w:pPr>
      <w:ind w:firstLine="0"/>
    </w:pPr>
  </w:style>
  <w:style w:type="paragraph" w:customStyle="1" w:styleId="ListNote">
    <w:name w:val="List Note"/>
    <w:basedOn w:val="List"/>
    <w:rsid w:val="00C91F0B"/>
    <w:pPr>
      <w:pBdr>
        <w:top w:val="single" w:sz="6" w:space="2" w:color="918585"/>
        <w:bottom w:val="single" w:sz="6" w:space="2" w:color="918585"/>
      </w:pBdr>
      <w:tabs>
        <w:tab w:val="left" w:pos="1021"/>
      </w:tabs>
      <w:ind w:firstLine="0"/>
    </w:pPr>
  </w:style>
  <w:style w:type="paragraph" w:customStyle="1" w:styleId="Warning">
    <w:name w:val="Warning"/>
    <w:basedOn w:val="BodyText"/>
    <w:rsid w:val="00C91F0B"/>
    <w:pPr>
      <w:shd w:val="clear" w:color="auto" w:fill="D9D9D9"/>
      <w:tabs>
        <w:tab w:val="left" w:pos="992"/>
      </w:tabs>
      <w:ind w:left="119" w:right="119"/>
    </w:pPr>
    <w:rPr>
      <w:sz w:val="20"/>
    </w:rPr>
  </w:style>
  <w:style w:type="paragraph" w:customStyle="1" w:styleId="MarginIcons">
    <w:name w:val="Margin Icons"/>
    <w:basedOn w:val="BodyText"/>
    <w:rsid w:val="00C91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F0B"/>
    <w:rPr>
      <w:rFonts w:ascii="Courier New" w:hAnsi="Courier New"/>
    </w:rPr>
  </w:style>
  <w:style w:type="paragraph" w:customStyle="1" w:styleId="NoteBullet">
    <w:name w:val="Note Bullet"/>
    <w:basedOn w:val="Note"/>
    <w:rsid w:val="00C91F0B"/>
    <w:pPr>
      <w:tabs>
        <w:tab w:val="clear" w:pos="680"/>
      </w:tabs>
      <w:spacing w:before="60" w:after="60"/>
    </w:pPr>
  </w:style>
  <w:style w:type="paragraph" w:customStyle="1" w:styleId="SubHeading2">
    <w:name w:val="SubHeading2"/>
    <w:basedOn w:val="HeadingBase"/>
    <w:rsid w:val="00C91F0B"/>
    <w:pPr>
      <w:spacing w:before="240" w:after="60"/>
    </w:pPr>
    <w:rPr>
      <w:sz w:val="20"/>
    </w:rPr>
  </w:style>
  <w:style w:type="paragraph" w:customStyle="1" w:styleId="SubHeading1">
    <w:name w:val="SubHeading1"/>
    <w:basedOn w:val="HeadingBase"/>
    <w:rsid w:val="00C91F0B"/>
    <w:pPr>
      <w:spacing w:before="240" w:after="60"/>
    </w:pPr>
    <w:rPr>
      <w:color w:val="918585"/>
      <w:sz w:val="22"/>
    </w:rPr>
  </w:style>
  <w:style w:type="paragraph" w:customStyle="1" w:styleId="SideHeading">
    <w:name w:val="Side Heading"/>
    <w:basedOn w:val="HeadingBase"/>
    <w:rsid w:val="00C91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F0B"/>
    <w:pPr>
      <w:tabs>
        <w:tab w:val="num" w:pos="360"/>
      </w:tabs>
    </w:pPr>
  </w:style>
  <w:style w:type="paragraph" w:styleId="PlainText">
    <w:name w:val="Plain Text"/>
    <w:basedOn w:val="Normal"/>
    <w:link w:val="PlainTextChar"/>
    <w:rsid w:val="00C91F0B"/>
    <w:rPr>
      <w:sz w:val="20"/>
    </w:rPr>
  </w:style>
  <w:style w:type="character" w:customStyle="1" w:styleId="PlainTextChar">
    <w:name w:val="Plain Text Char"/>
    <w:basedOn w:val="DefaultParagraphFont"/>
    <w:link w:val="PlainText"/>
    <w:rsid w:val="00C91F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1F0B"/>
    <w:rPr>
      <w:b/>
      <w:smallCaps/>
    </w:rPr>
  </w:style>
  <w:style w:type="paragraph" w:customStyle="1" w:styleId="TableListNumber">
    <w:name w:val="Table List Number"/>
    <w:basedOn w:val="ListNumber"/>
    <w:rsid w:val="00C91F0B"/>
    <w:pPr>
      <w:numPr>
        <w:numId w:val="0"/>
      </w:numPr>
    </w:pPr>
  </w:style>
  <w:style w:type="paragraph" w:styleId="TOC4">
    <w:name w:val="toc 4"/>
    <w:basedOn w:val="TOCBase"/>
    <w:next w:val="Normal"/>
    <w:semiHidden/>
    <w:rsid w:val="00C91F0B"/>
    <w:pPr>
      <w:tabs>
        <w:tab w:val="right" w:leader="dot" w:pos="9071"/>
      </w:tabs>
      <w:ind w:left="1701"/>
    </w:pPr>
  </w:style>
  <w:style w:type="paragraph" w:customStyle="1" w:styleId="ListAlpha">
    <w:name w:val="List Alpha"/>
    <w:basedOn w:val="List"/>
    <w:rsid w:val="00C91F0B"/>
    <w:pPr>
      <w:numPr>
        <w:numId w:val="8"/>
      </w:numPr>
    </w:pPr>
  </w:style>
  <w:style w:type="paragraph" w:customStyle="1" w:styleId="ListAlpha2">
    <w:name w:val="List Alpha 2"/>
    <w:basedOn w:val="List2"/>
    <w:rsid w:val="00C91F0B"/>
    <w:pPr>
      <w:numPr>
        <w:numId w:val="7"/>
      </w:numPr>
    </w:pPr>
  </w:style>
  <w:style w:type="paragraph" w:styleId="List3">
    <w:name w:val="List 3"/>
    <w:basedOn w:val="BodyText"/>
    <w:rsid w:val="00C91F0B"/>
    <w:pPr>
      <w:tabs>
        <w:tab w:val="left" w:pos="1021"/>
      </w:tabs>
      <w:spacing w:before="60" w:after="60"/>
      <w:ind w:left="1020" w:hanging="340"/>
    </w:pPr>
  </w:style>
  <w:style w:type="paragraph" w:styleId="List4">
    <w:name w:val="List 4"/>
    <w:basedOn w:val="BodyText"/>
    <w:rsid w:val="00C91F0B"/>
    <w:pPr>
      <w:tabs>
        <w:tab w:val="left" w:pos="1361"/>
      </w:tabs>
      <w:spacing w:before="60" w:after="60"/>
      <w:ind w:left="1361" w:hanging="340"/>
    </w:pPr>
  </w:style>
  <w:style w:type="paragraph" w:styleId="List5">
    <w:name w:val="List 5"/>
    <w:basedOn w:val="BodyText"/>
    <w:rsid w:val="00C91F0B"/>
    <w:pPr>
      <w:tabs>
        <w:tab w:val="left" w:pos="1701"/>
      </w:tabs>
      <w:spacing w:before="60" w:after="60"/>
      <w:ind w:left="1701" w:hanging="340"/>
    </w:pPr>
  </w:style>
  <w:style w:type="paragraph" w:styleId="ListBullet3">
    <w:name w:val="List Bullet 3"/>
    <w:basedOn w:val="List3"/>
    <w:rsid w:val="00C91F0B"/>
    <w:pPr>
      <w:numPr>
        <w:numId w:val="14"/>
      </w:numPr>
      <w:tabs>
        <w:tab w:val="clear" w:pos="1021"/>
      </w:tabs>
      <w:ind w:left="1037" w:hanging="357"/>
    </w:pPr>
  </w:style>
  <w:style w:type="paragraph" w:styleId="ListBullet4">
    <w:name w:val="List Bullet 4"/>
    <w:basedOn w:val="List4"/>
    <w:rsid w:val="00C91F0B"/>
    <w:pPr>
      <w:numPr>
        <w:numId w:val="2"/>
      </w:numPr>
    </w:pPr>
  </w:style>
  <w:style w:type="paragraph" w:styleId="ListBullet5">
    <w:name w:val="List Bullet 5"/>
    <w:basedOn w:val="List5"/>
    <w:rsid w:val="00C91F0B"/>
    <w:pPr>
      <w:numPr>
        <w:numId w:val="3"/>
      </w:numPr>
    </w:pPr>
  </w:style>
  <w:style w:type="paragraph" w:styleId="ListContinue2">
    <w:name w:val="List Continue 2"/>
    <w:basedOn w:val="List2"/>
    <w:rsid w:val="00C91F0B"/>
    <w:pPr>
      <w:ind w:firstLine="0"/>
    </w:pPr>
  </w:style>
  <w:style w:type="paragraph" w:styleId="ListContinue3">
    <w:name w:val="List Continue 3"/>
    <w:basedOn w:val="List3"/>
    <w:rsid w:val="00C91F0B"/>
    <w:pPr>
      <w:ind w:left="1021" w:firstLine="0"/>
    </w:pPr>
  </w:style>
  <w:style w:type="paragraph" w:styleId="ListContinue4">
    <w:name w:val="List Continue 4"/>
    <w:basedOn w:val="List4"/>
    <w:rsid w:val="00C91F0B"/>
    <w:pPr>
      <w:ind w:firstLine="0"/>
    </w:pPr>
  </w:style>
  <w:style w:type="paragraph" w:styleId="ListContinue5">
    <w:name w:val="List Continue 5"/>
    <w:basedOn w:val="List5"/>
    <w:rsid w:val="00C91F0B"/>
    <w:pPr>
      <w:ind w:firstLine="0"/>
    </w:pPr>
  </w:style>
  <w:style w:type="paragraph" w:styleId="ListNumber3">
    <w:name w:val="List Number 3"/>
    <w:basedOn w:val="List3"/>
    <w:rsid w:val="00C91F0B"/>
    <w:pPr>
      <w:numPr>
        <w:numId w:val="4"/>
      </w:numPr>
    </w:pPr>
  </w:style>
  <w:style w:type="paragraph" w:styleId="ListNumber4">
    <w:name w:val="List Number 4"/>
    <w:basedOn w:val="List4"/>
    <w:rsid w:val="00C91F0B"/>
    <w:pPr>
      <w:numPr>
        <w:numId w:val="5"/>
      </w:numPr>
    </w:pPr>
  </w:style>
  <w:style w:type="paragraph" w:styleId="ListNumber5">
    <w:name w:val="List Number 5"/>
    <w:basedOn w:val="List5"/>
    <w:rsid w:val="00C91F0B"/>
    <w:pPr>
      <w:numPr>
        <w:numId w:val="6"/>
      </w:numPr>
    </w:pPr>
  </w:style>
  <w:style w:type="paragraph" w:styleId="BlockText">
    <w:name w:val="Block Text"/>
    <w:basedOn w:val="Normal"/>
    <w:rsid w:val="00C91F0B"/>
    <w:pPr>
      <w:spacing w:after="120"/>
      <w:ind w:left="1440" w:right="1440"/>
    </w:pPr>
  </w:style>
  <w:style w:type="character" w:customStyle="1" w:styleId="Subscript">
    <w:name w:val="Subscript"/>
    <w:basedOn w:val="DefaultParagraphFont"/>
    <w:rsid w:val="00C91F0B"/>
    <w:rPr>
      <w:sz w:val="16"/>
      <w:vertAlign w:val="subscript"/>
    </w:rPr>
  </w:style>
  <w:style w:type="character" w:customStyle="1" w:styleId="Superscript">
    <w:name w:val="Superscript"/>
    <w:basedOn w:val="DefaultParagraphFont"/>
    <w:rsid w:val="00C91F0B"/>
    <w:rPr>
      <w:sz w:val="16"/>
      <w:vertAlign w:val="superscript"/>
    </w:rPr>
  </w:style>
  <w:style w:type="character" w:customStyle="1" w:styleId="Symbols">
    <w:name w:val="Symbols"/>
    <w:basedOn w:val="DefaultParagraphFont"/>
    <w:rsid w:val="00C91F0B"/>
    <w:rPr>
      <w:rFonts w:ascii="Symbol" w:hAnsi="Symbol"/>
    </w:rPr>
  </w:style>
  <w:style w:type="character" w:customStyle="1" w:styleId="MenuOptions">
    <w:name w:val="Menu Options"/>
    <w:basedOn w:val="DefaultParagraphFont"/>
    <w:rsid w:val="00C91F0B"/>
    <w:rPr>
      <w:rFonts w:ascii="Arial Narrow" w:hAnsi="Arial Narrow"/>
      <w:smallCaps/>
    </w:rPr>
  </w:style>
  <w:style w:type="character" w:customStyle="1" w:styleId="Buttons">
    <w:name w:val="Buttons"/>
    <w:basedOn w:val="DefaultParagraphFont"/>
    <w:rsid w:val="00C91F0B"/>
    <w:rPr>
      <w:b/>
    </w:rPr>
  </w:style>
  <w:style w:type="character" w:customStyle="1" w:styleId="Underlined">
    <w:name w:val="Underlined"/>
    <w:basedOn w:val="DefaultParagraphFont"/>
    <w:rsid w:val="00C91F0B"/>
    <w:rPr>
      <w:u w:val="single"/>
    </w:rPr>
  </w:style>
  <w:style w:type="paragraph" w:customStyle="1" w:styleId="TableBodyTextRight">
    <w:name w:val="Table Body Text Right"/>
    <w:basedOn w:val="TableBodyText"/>
    <w:rsid w:val="00C91F0B"/>
    <w:pPr>
      <w:widowControl w:val="0"/>
      <w:autoSpaceDE w:val="0"/>
      <w:autoSpaceDN w:val="0"/>
      <w:adjustRightInd w:val="0"/>
      <w:jc w:val="right"/>
    </w:pPr>
    <w:rPr>
      <w:rFonts w:cs="Arial"/>
      <w:szCs w:val="18"/>
    </w:rPr>
  </w:style>
  <w:style w:type="paragraph" w:customStyle="1" w:styleId="CopyrightText">
    <w:name w:val="Copyright Text"/>
    <w:basedOn w:val="BodyText"/>
    <w:rsid w:val="00C91F0B"/>
    <w:rPr>
      <w:sz w:val="18"/>
    </w:rPr>
  </w:style>
  <w:style w:type="paragraph" w:customStyle="1" w:styleId="BodySmallRight">
    <w:name w:val="Body Small Right"/>
    <w:basedOn w:val="BodyTextRight"/>
    <w:rsid w:val="00C91F0B"/>
    <w:rPr>
      <w:sz w:val="18"/>
      <w:szCs w:val="18"/>
    </w:rPr>
  </w:style>
  <w:style w:type="paragraph" w:customStyle="1" w:styleId="MarginEdition">
    <w:name w:val="Margin Edition"/>
    <w:basedOn w:val="MarginNote"/>
    <w:rsid w:val="00C91F0B"/>
    <w:pPr>
      <w:spacing w:before="0" w:after="0"/>
    </w:pPr>
    <w:rPr>
      <w:rFonts w:ascii="Times New Roman" w:hAnsi="Times New Roman"/>
      <w:color w:val="999999"/>
    </w:rPr>
  </w:style>
  <w:style w:type="paragraph" w:customStyle="1" w:styleId="Spacer">
    <w:name w:val="Spacer"/>
    <w:basedOn w:val="Normal"/>
    <w:rsid w:val="00C91F0B"/>
    <w:rPr>
      <w:sz w:val="2"/>
      <w:szCs w:val="2"/>
    </w:rPr>
  </w:style>
  <w:style w:type="character" w:customStyle="1" w:styleId="Small">
    <w:name w:val="Small"/>
    <w:basedOn w:val="DefaultParagraphFont"/>
    <w:rsid w:val="00C91F0B"/>
    <w:rPr>
      <w:sz w:val="16"/>
    </w:rPr>
  </w:style>
  <w:style w:type="paragraph" w:customStyle="1" w:styleId="WideTable">
    <w:name w:val="Wide Table"/>
    <w:basedOn w:val="Normal"/>
    <w:rsid w:val="00C91F0B"/>
    <w:pPr>
      <w:ind w:left="-1418"/>
    </w:pPr>
    <w:rPr>
      <w:sz w:val="2"/>
      <w:szCs w:val="2"/>
    </w:rPr>
  </w:style>
  <w:style w:type="character" w:styleId="PageNumber">
    <w:name w:val="page number"/>
    <w:basedOn w:val="DefaultParagraphFont"/>
    <w:rsid w:val="00C91F0B"/>
  </w:style>
  <w:style w:type="paragraph" w:styleId="Quote">
    <w:name w:val="Quote"/>
    <w:basedOn w:val="Heading1"/>
    <w:link w:val="QuoteChar"/>
    <w:qFormat/>
    <w:rsid w:val="00C91F0B"/>
    <w:rPr>
      <w:b w:val="0"/>
      <w:sz w:val="72"/>
      <w:szCs w:val="72"/>
      <w:lang w:val="en-NZ"/>
    </w:rPr>
  </w:style>
  <w:style w:type="character" w:customStyle="1" w:styleId="QuoteChar">
    <w:name w:val="Quote Char"/>
    <w:basedOn w:val="DefaultParagraphFont"/>
    <w:link w:val="Quote"/>
    <w:rsid w:val="00C91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F0B"/>
    <w:pPr>
      <w:pageBreakBefore/>
    </w:pPr>
  </w:style>
  <w:style w:type="paragraph" w:customStyle="1" w:styleId="Border">
    <w:name w:val="Border"/>
    <w:basedOn w:val="Normal"/>
    <w:qFormat/>
    <w:rsid w:val="00C91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F0B"/>
    <w:rPr>
      <w:b/>
      <w:bCs/>
      <w:i/>
      <w:iCs/>
      <w:color w:val="auto"/>
    </w:rPr>
  </w:style>
  <w:style w:type="paragraph" w:styleId="IntenseQuote">
    <w:name w:val="Intense Quote"/>
    <w:basedOn w:val="Normal"/>
    <w:next w:val="Normal"/>
    <w:link w:val="IntenseQuoteChar"/>
    <w:uiPriority w:val="30"/>
    <w:qFormat/>
    <w:rsid w:val="00C91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F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1F0B"/>
    <w:rPr>
      <w:smallCaps/>
      <w:color w:val="auto"/>
      <w:u w:val="single"/>
    </w:rPr>
  </w:style>
  <w:style w:type="character" w:styleId="IntenseReference">
    <w:name w:val="Intense Reference"/>
    <w:basedOn w:val="DefaultParagraphFont"/>
    <w:uiPriority w:val="32"/>
    <w:qFormat/>
    <w:rsid w:val="00C91F0B"/>
    <w:rPr>
      <w:b/>
      <w:bCs/>
      <w:smallCaps/>
      <w:color w:val="auto"/>
      <w:spacing w:val="5"/>
      <w:u w:val="single"/>
    </w:rPr>
  </w:style>
  <w:style w:type="paragraph" w:customStyle="1" w:styleId="2ColumnHeading">
    <w:name w:val="2Column Heading"/>
    <w:basedOn w:val="BodyText"/>
    <w:qFormat/>
    <w:rsid w:val="00C91F0B"/>
    <w:pPr>
      <w:spacing w:after="60"/>
      <w:ind w:left="-2268"/>
    </w:pPr>
    <w:rPr>
      <w:b/>
    </w:rPr>
  </w:style>
  <w:style w:type="paragraph" w:customStyle="1" w:styleId="Heading1TOC">
    <w:name w:val="Heading1 TOC"/>
    <w:basedOn w:val="Normal"/>
    <w:qFormat/>
    <w:rsid w:val="00C91F0B"/>
    <w:pPr>
      <w:spacing w:before="240" w:after="120"/>
    </w:pPr>
    <w:rPr>
      <w:rFonts w:ascii="Times New Roman" w:hAnsi="Times New Roman"/>
      <w:b/>
      <w:sz w:val="32"/>
    </w:rPr>
  </w:style>
  <w:style w:type="paragraph" w:customStyle="1" w:styleId="Heading2TOC">
    <w:name w:val="Heading2 TOC"/>
    <w:basedOn w:val="Normal"/>
    <w:qFormat/>
    <w:rsid w:val="00C91F0B"/>
    <w:pPr>
      <w:spacing w:before="240" w:after="60"/>
    </w:pPr>
    <w:rPr>
      <w:rFonts w:ascii="Times New Roman" w:hAnsi="Times New Roman"/>
      <w:b/>
      <w:sz w:val="28"/>
    </w:rPr>
  </w:style>
  <w:style w:type="character" w:customStyle="1" w:styleId="Underline">
    <w:name w:val="Underline"/>
    <w:basedOn w:val="DefaultParagraphFont"/>
    <w:qFormat/>
    <w:rsid w:val="00C91F0B"/>
    <w:rPr>
      <w:u w:val="single"/>
    </w:rPr>
  </w:style>
  <w:style w:type="character" w:customStyle="1" w:styleId="BoldandItalics">
    <w:name w:val="Bold and Italics"/>
    <w:qFormat/>
    <w:rsid w:val="00C91F0B"/>
    <w:rPr>
      <w:b/>
      <w:i/>
      <w:u w:val="none"/>
    </w:rPr>
  </w:style>
  <w:style w:type="paragraph" w:styleId="BalloonText">
    <w:name w:val="Balloon Text"/>
    <w:basedOn w:val="Normal"/>
    <w:link w:val="BalloonTextChar"/>
    <w:rsid w:val="00C91F0B"/>
    <w:rPr>
      <w:rFonts w:ascii="Tahoma" w:hAnsi="Tahoma" w:cs="Tahoma"/>
      <w:sz w:val="16"/>
      <w:szCs w:val="16"/>
    </w:rPr>
  </w:style>
  <w:style w:type="character" w:customStyle="1" w:styleId="BalloonTextChar">
    <w:name w:val="Balloon Text Char"/>
    <w:basedOn w:val="DefaultParagraphFont"/>
    <w:link w:val="BalloonText"/>
    <w:rsid w:val="00C91F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1F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F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1010</Words>
  <Characters>6510</Characters>
  <Application>Microsoft Office Word</Application>
  <DocSecurity>0</DocSecurity>
  <Lines>245</Lines>
  <Paragraphs>101</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MEM03004B Perform electronic/electrical assembly (production)</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2012-05-27T01:26:00Z</dcterms:created>
  <dcterms:modified xsi:type="dcterms:W3CDTF">2012-05-27T01:26:00Z</dcterms:modified>
</cp:coreProperties>
</file>