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240" w:rsidP="00D53240">
      <w:pPr>
        <w:pStyle w:val="Title"/>
      </w:pPr>
      <w:r>
        <w:fldChar w:fldCharType="begin"/>
      </w:r>
      <w:r>
        <w:instrText xml:space="preserve"> TITLE   \* MERGEFORMAT </w:instrText>
      </w:r>
      <w:r>
        <w:fldChar w:fldCharType="separate"/>
      </w:r>
      <w:r>
        <w:t>MEM03002B Perform precision assembly</w:t>
      </w:r>
      <w:r>
        <w:fldChar w:fldCharType="end"/>
      </w:r>
    </w:p>
    <w:p w:rsidR="00D53240" w:rsidP="00D53240">
      <w:pPr>
        <w:pStyle w:val="Version"/>
        <w:sectPr w:rsidSect="00A41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892" w:rsidP="00A41892">
      <w:pPr>
        <w:pStyle w:val="SuperHeading"/>
      </w:pPr>
      <w:r w:rsidRPr="00A41892">
        <w:t>MEM03002B Perform precision assembly</w:t>
      </w:r>
    </w:p>
    <w:p w:rsidR="00000000" w:rsidRPr="00A41892" w:rsidP="00A41892">
      <w:pPr>
        <w:pStyle w:val="Heading1"/>
      </w:pPr>
      <w:bookmarkStart w:id="1" w:name="O_271968"/>
      <w:bookmarkEnd w:id="1"/>
      <w:r w:rsidRPr="00A41892">
        <w:t>Modification History</w:t>
      </w:r>
    </w:p>
    <w:p w:rsidR="00000000" w:rsidRPr="00A41892" w:rsidP="00A41892">
      <w:pPr>
        <w:pStyle w:val="BodyText"/>
      </w:pPr>
      <w:r w:rsidRPr="00A41892">
        <w:t>Not Applicable</w:t>
      </w:r>
    </w:p>
    <w:p w:rsidR="00000000" w:rsidRPr="00A41892" w:rsidP="00A41892">
      <w:pPr>
        <w:pStyle w:val="AllowPageBreak"/>
      </w:pPr>
    </w:p>
    <w:p w:rsidR="00000000" w:rsidRPr="00A41892" w:rsidP="00A41892">
      <w:pPr>
        <w:pStyle w:val="Heading1"/>
      </w:pPr>
      <w:bookmarkStart w:id="2" w:name="O_210214"/>
      <w:bookmarkEnd w:id="2"/>
      <w:r w:rsidRPr="00A41892">
        <w:t>Unit Descriptor</w:t>
      </w:r>
    </w:p>
    <w:tbl>
      <w:tblPr>
        <w:tblW w:w="0" w:type="auto"/>
        <w:tblLayout w:type="fixed"/>
        <w:tblCellMar>
          <w:left w:w="62" w:type="dxa"/>
          <w:right w:w="62" w:type="dxa"/>
        </w:tblCellMar>
        <w:tblLook w:val="0000"/>
      </w:tblPr>
      <w:tblGrid>
        <w:gridCol w:w="2667"/>
        <w:gridCol w:w="5855"/>
      </w:tblGrid>
      <w:tr w:rsidTr="00D5324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 xml:space="preserve">This unit covers assembling and testing complex engineering components and mechanical assemblies in a </w:t>
            </w:r>
            <w:r w:rsidRPr="00A41892">
              <w:t>production, manufacturing environment.</w:t>
            </w:r>
          </w:p>
        </w:tc>
      </w:tr>
    </w:tbl>
    <w:p w:rsidR="00D53240" w:rsidP="00A41892">
      <w:pPr>
        <w:pStyle w:val="BodyText"/>
      </w:pPr>
    </w:p>
    <w:p w:rsidR="00D53240" w:rsidP="00A41892">
      <w:pPr>
        <w:pStyle w:val="BodyText"/>
      </w:pPr>
    </w:p>
    <w:p w:rsidR="00000000" w:rsidRPr="00A41892" w:rsidP="00A41892">
      <w:pPr>
        <w:pStyle w:val="Heading1"/>
      </w:pPr>
      <w:bookmarkStart w:id="3" w:name="O_210218"/>
      <w:bookmarkEnd w:id="3"/>
      <w:r w:rsidRPr="00A41892">
        <w:t>Application of the Unit</w:t>
      </w:r>
    </w:p>
    <w:tbl>
      <w:tblPr>
        <w:tblW w:w="0" w:type="auto"/>
        <w:tblLayout w:type="fixed"/>
        <w:tblCellMar>
          <w:left w:w="62" w:type="dxa"/>
          <w:right w:w="62" w:type="dxa"/>
        </w:tblCellMar>
        <w:tblLook w:val="0000"/>
      </w:tblPr>
      <w:tblGrid>
        <w:gridCol w:w="2745"/>
        <w:gridCol w:w="5777"/>
      </w:tblGrid>
      <w:tr w:rsidTr="00D5324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 xml:space="preserve">This unit applies to assembly operations that are essentially manual in nature and require the application of accepted engineering principles </w:t>
            </w:r>
            <w:r w:rsidRPr="00A41892">
              <w:t>and practices. Assembly activities typically involve build-to-order work and/or low volume and/or complex assemblies and/or long assembly time frames. This is a production-oriented competency. Work may involve manual adjustments to achieve correct specific</w:t>
            </w:r>
            <w:r w:rsidRPr="00A41892">
              <w:t>ation.</w:t>
            </w:r>
          </w:p>
          <w:p w:rsidR="00000000" w:rsidRPr="00A41892" w:rsidP="00A41892">
            <w:pPr>
              <w:pStyle w:val="BodyText"/>
            </w:pPr>
            <w:r w:rsidRPr="00A41892">
              <w:t xml:space="preserve">Where varying levels of measurement competencies are required, refer to Units MEM12023A (Perform engineering measurements). </w:t>
            </w:r>
          </w:p>
          <w:p w:rsidR="00000000" w:rsidRPr="00A41892" w:rsidP="00A41892">
            <w:pPr>
              <w:pStyle w:val="BodyText"/>
            </w:pPr>
            <w:r w:rsidRPr="00A41892">
              <w:t xml:space="preserve">This unit should not be selected when Unit MEM18055B (Dismantle, replace and assemble engineering components) has also been </w:t>
            </w:r>
            <w:r w:rsidRPr="00A41892">
              <w:t>selected.</w:t>
            </w:r>
          </w:p>
          <w:p w:rsidR="00000000" w:rsidRPr="00A41892" w:rsidP="00A41892">
            <w:pPr>
              <w:pStyle w:val="BodyText"/>
            </w:pPr>
          </w:p>
          <w:p w:rsidR="00000000" w:rsidRPr="00A41892" w:rsidP="00A41892">
            <w:pPr>
              <w:pStyle w:val="BodyText"/>
            </w:pPr>
            <w:r w:rsidRPr="00A41892">
              <w:rPr>
                <w:rStyle w:val="SpecialBold"/>
              </w:rPr>
              <w:t>Band</w:t>
            </w:r>
            <w:r w:rsidRPr="00A41892">
              <w:t>:</w:t>
            </w:r>
            <w:r w:rsidRPr="00A41892">
              <w:tab/>
            </w:r>
            <w:r w:rsidRPr="00A41892">
              <w:rPr>
                <w:rStyle w:val="SpecialBold"/>
              </w:rPr>
              <w:t>A</w:t>
            </w:r>
          </w:p>
          <w:p w:rsidR="00000000" w:rsidRPr="00A41892" w:rsidP="00A41892">
            <w:pPr>
              <w:pStyle w:val="BodyText"/>
            </w:pPr>
            <w:r w:rsidRPr="00A41892">
              <w:rPr>
                <w:rStyle w:val="SpecialBold"/>
              </w:rPr>
              <w:t>Unit Weight</w:t>
            </w:r>
            <w:r w:rsidRPr="00A41892">
              <w:t>:</w:t>
            </w:r>
            <w:r w:rsidRPr="00A41892">
              <w:tab/>
            </w:r>
            <w:r w:rsidRPr="00A41892">
              <w:rPr>
                <w:rStyle w:val="SpecialBold"/>
              </w:rPr>
              <w:t>4</w:t>
            </w:r>
          </w:p>
        </w:tc>
      </w:tr>
    </w:tbl>
    <w:p w:rsidR="00D53240" w:rsidP="00A41892">
      <w:pPr>
        <w:pStyle w:val="BodyText"/>
      </w:pPr>
    </w:p>
    <w:p w:rsidR="00D53240" w:rsidP="00A41892">
      <w:pPr>
        <w:pStyle w:val="BodyText"/>
      </w:pPr>
    </w:p>
    <w:p w:rsidR="00000000" w:rsidRPr="00A41892" w:rsidP="00A41892">
      <w:pPr>
        <w:pStyle w:val="Heading1"/>
      </w:pPr>
      <w:bookmarkStart w:id="4" w:name="O_280228"/>
      <w:bookmarkEnd w:id="4"/>
      <w:r w:rsidRPr="00A41892">
        <w:t>Licensing/Regulatory Information</w:t>
      </w:r>
    </w:p>
    <w:p w:rsidR="00000000" w:rsidRPr="00A41892" w:rsidP="00A41892">
      <w:pPr>
        <w:pStyle w:val="BodyText"/>
      </w:pPr>
      <w:r w:rsidRPr="00A41892">
        <w:t>Not Applicable</w:t>
      </w:r>
    </w:p>
    <w:p w:rsidR="00000000" w:rsidRPr="00A41892" w:rsidP="00A41892">
      <w:pPr>
        <w:pStyle w:val="AllowPageBreak"/>
      </w:pPr>
    </w:p>
    <w:p w:rsidR="00000000" w:rsidRPr="00A41892" w:rsidP="00A41892">
      <w:pPr>
        <w:pStyle w:val="Heading1"/>
      </w:pPr>
      <w:bookmarkStart w:id="5" w:name="O_210216"/>
      <w:bookmarkEnd w:id="5"/>
      <w:r w:rsidRPr="00A41892">
        <w:t>Pre-Requisites</w:t>
      </w:r>
    </w:p>
    <w:tbl>
      <w:tblPr>
        <w:tblW w:w="0" w:type="auto"/>
        <w:tblLayout w:type="fixed"/>
        <w:tblCellMar>
          <w:left w:w="62" w:type="dxa"/>
          <w:right w:w="62" w:type="dxa"/>
        </w:tblCellMar>
        <w:tblLook w:val="0000"/>
      </w:tblPr>
      <w:tblGrid>
        <w:gridCol w:w="2722"/>
        <w:gridCol w:w="2207"/>
        <w:gridCol w:w="3593"/>
      </w:tblGrid>
      <w:tr w:rsidTr="00D53240">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p>
        </w:tc>
      </w:tr>
      <w:tr w:rsidTr="00D5324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Use hand tools</w:t>
            </w:r>
          </w:p>
        </w:tc>
      </w:tr>
    </w:tbl>
    <w:p w:rsidR="00D53240" w:rsidP="00A41892">
      <w:pPr>
        <w:pStyle w:val="BodyText"/>
      </w:pPr>
    </w:p>
    <w:p w:rsidR="00D53240" w:rsidP="00A41892">
      <w:pPr>
        <w:pStyle w:val="BodyText"/>
      </w:pPr>
    </w:p>
    <w:p w:rsidR="00000000" w:rsidRPr="00A41892" w:rsidP="00A41892">
      <w:pPr>
        <w:pStyle w:val="Heading1"/>
      </w:pPr>
      <w:bookmarkStart w:id="6" w:name="O_210215"/>
      <w:bookmarkEnd w:id="6"/>
      <w:r w:rsidRPr="00A41892">
        <w:t>Employability Skills Information</w:t>
      </w:r>
    </w:p>
    <w:tbl>
      <w:tblPr>
        <w:tblW w:w="0" w:type="auto"/>
        <w:tblLayout w:type="fixed"/>
        <w:tblCellMar>
          <w:left w:w="62" w:type="dxa"/>
          <w:right w:w="62" w:type="dxa"/>
        </w:tblCellMar>
        <w:tblLook w:val="0000"/>
      </w:tblPr>
      <w:tblGrid>
        <w:gridCol w:w="2802"/>
        <w:gridCol w:w="5720"/>
      </w:tblGrid>
      <w:tr w:rsidTr="00D532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This unit contains employability skills.</w:t>
            </w:r>
          </w:p>
        </w:tc>
      </w:tr>
    </w:tbl>
    <w:p w:rsidR="00D53240" w:rsidP="00A41892">
      <w:pPr>
        <w:pStyle w:val="BodyText"/>
      </w:pPr>
    </w:p>
    <w:p w:rsidR="00D53240" w:rsidP="00A41892">
      <w:pPr>
        <w:pStyle w:val="BodyText"/>
      </w:pPr>
    </w:p>
    <w:p w:rsidR="00000000" w:rsidRPr="00A41892" w:rsidP="00A41892">
      <w:pPr>
        <w:pStyle w:val="Heading1"/>
      </w:pPr>
      <w:bookmarkStart w:id="7" w:name="O_290014"/>
      <w:bookmarkEnd w:id="7"/>
      <w:r w:rsidRPr="00A41892">
        <w:t>Elements and Performance Criteria Pre-Content</w:t>
      </w:r>
    </w:p>
    <w:tbl>
      <w:tblPr>
        <w:tblW w:w="0" w:type="auto"/>
        <w:tblLayout w:type="fixed"/>
        <w:tblCellMar>
          <w:left w:w="62" w:type="dxa"/>
          <w:right w:w="62" w:type="dxa"/>
        </w:tblCellMar>
        <w:tblLook w:val="0000"/>
      </w:tblPr>
      <w:tblGrid>
        <w:gridCol w:w="2538"/>
        <w:gridCol w:w="5984"/>
      </w:tblGrid>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Performance criteria describe the performance needed to demons</w:t>
            </w:r>
            <w:r w:rsidRPr="00A4189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41892" w:rsidP="00A41892">
      <w:pPr>
        <w:pStyle w:val="BodyText"/>
      </w:pPr>
    </w:p>
    <w:p w:rsidR="00000000" w:rsidRPr="00A41892" w:rsidP="00A41892">
      <w:pPr>
        <w:pStyle w:val="AllowPageBreak"/>
      </w:pPr>
    </w:p>
    <w:p w:rsidR="00000000" w:rsidRPr="00A41892" w:rsidP="00A41892">
      <w:pPr>
        <w:pStyle w:val="Heading1"/>
      </w:pPr>
      <w:bookmarkStart w:id="8" w:name="O_236681"/>
      <w:bookmarkEnd w:id="8"/>
      <w:r w:rsidRPr="00A41892">
        <w:t>Elements and Performance Criteria</w:t>
      </w:r>
    </w:p>
    <w:tbl>
      <w:tblPr>
        <w:tblW w:w="0" w:type="auto"/>
        <w:tblLayout w:type="fixed"/>
        <w:tblCellMar>
          <w:left w:w="62" w:type="dxa"/>
          <w:right w:w="62" w:type="dxa"/>
        </w:tblCellMar>
        <w:tblLook w:val="0000"/>
      </w:tblPr>
      <w:tblGrid>
        <w:gridCol w:w="2538"/>
        <w:gridCol w:w="5984"/>
      </w:tblGrid>
      <w:tr w:rsidTr="00D53240">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PERFORMANCE CRITERIA</w:t>
            </w:r>
          </w:p>
        </w:tc>
      </w:tr>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
              <w:rPr>
                <w:lang w:val="en-NZ"/>
              </w:rPr>
            </w:pPr>
            <w:r w:rsidRPr="00A41892">
              <w:t>1.</w:t>
            </w:r>
            <w:r w:rsidRPr="00A41892">
              <w:tab/>
              <w:t xml:space="preserve">Read and understand job sheets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List2"/>
            </w:pPr>
            <w:r w:rsidRPr="00A41892">
              <w:t>1.1.</w:t>
            </w:r>
            <w:r w:rsidRPr="00A41892">
              <w:tab/>
              <w:t>Job sheet or equivalent instructions are interpreted correctly.</w:t>
            </w:r>
          </w:p>
          <w:p w:rsidR="00000000" w:rsidRPr="00A41892" w:rsidP="00A41892">
            <w:pPr>
              <w:pStyle w:val="List2"/>
            </w:pPr>
            <w:r w:rsidRPr="00A41892">
              <w:t>1.2.</w:t>
            </w:r>
            <w:r w:rsidRPr="00A41892">
              <w:tab/>
            </w:r>
            <w:r w:rsidRPr="00A41892">
              <w:t>All components/sub-assemblies are checked against job sheet, assembly list or equivalent instructions.</w:t>
            </w:r>
          </w:p>
          <w:p w:rsidR="00000000" w:rsidP="00A41892">
            <w:pPr>
              <w:pStyle w:val="List2"/>
              <w:rPr>
                <w:lang w:val="en-NZ"/>
              </w:rPr>
            </w:pPr>
            <w:r w:rsidRPr="00A41892">
              <w:t>1.3.</w:t>
            </w:r>
            <w:r w:rsidRPr="00A41892">
              <w:tab/>
              <w:t>Fitting requirements and sequential assembly planning are carried out where applicable.</w:t>
            </w:r>
          </w:p>
        </w:tc>
      </w:tr>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
              <w:rPr>
                <w:lang w:val="en-NZ"/>
              </w:rPr>
            </w:pPr>
            <w:r w:rsidRPr="00A41892">
              <w:t>2.</w:t>
            </w:r>
            <w:r w:rsidRPr="00A41892">
              <w:tab/>
              <w:t>Select and use assembly tools and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2"/>
              <w:rPr>
                <w:lang w:val="en-NZ"/>
              </w:rPr>
            </w:pPr>
            <w:r w:rsidRPr="00A41892">
              <w:t>2.1.</w:t>
            </w:r>
            <w:r w:rsidRPr="00A41892">
              <w:tab/>
              <w:t xml:space="preserve">Tools, </w:t>
            </w:r>
            <w:r w:rsidRPr="00A41892">
              <w:t>equipment and components/sub-assemblies are selected to meet job requirements.</w:t>
            </w:r>
          </w:p>
        </w:tc>
      </w:tr>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
              <w:rPr>
                <w:lang w:val="en-NZ"/>
              </w:rPr>
            </w:pPr>
            <w:r w:rsidRPr="00A41892">
              <w:t>3.</w:t>
            </w:r>
            <w:r w:rsidRPr="00A41892">
              <w:tab/>
              <w:t>Assemble engineering components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List2"/>
            </w:pPr>
            <w:r w:rsidRPr="00A41892">
              <w:t>3.1.</w:t>
            </w:r>
            <w:r w:rsidRPr="00A41892">
              <w:tab/>
              <w:t>Defective or faulty components/sub-assemblies are identified and processed according to standard operating procedure.</w:t>
            </w:r>
          </w:p>
          <w:p w:rsidR="00000000" w:rsidRPr="00A41892" w:rsidP="00A41892">
            <w:pPr>
              <w:pStyle w:val="List2"/>
            </w:pPr>
            <w:r w:rsidRPr="00A41892">
              <w:t>3.2.</w:t>
            </w:r>
            <w:r w:rsidRPr="00A41892">
              <w:tab/>
            </w:r>
            <w:r w:rsidRPr="00A41892">
              <w:t>Components/sub-assemblies are correctly prepared for assembly.</w:t>
            </w:r>
          </w:p>
          <w:p w:rsidR="00000000" w:rsidRPr="00A41892" w:rsidP="00A41892">
            <w:pPr>
              <w:pStyle w:val="List2"/>
            </w:pPr>
            <w:r w:rsidRPr="00A41892">
              <w:t>3.3.</w:t>
            </w:r>
            <w:r w:rsidRPr="00A41892">
              <w:tab/>
              <w:t>Techniques and principles appropriate to the job requirements are applied in assembly activity.</w:t>
            </w:r>
          </w:p>
          <w:p w:rsidR="00000000" w:rsidRPr="00A41892" w:rsidP="00A41892">
            <w:pPr>
              <w:pStyle w:val="List2"/>
            </w:pPr>
            <w:r w:rsidRPr="00A41892">
              <w:t>3.4.</w:t>
            </w:r>
            <w:r w:rsidRPr="00A41892">
              <w:tab/>
              <w:t>Records/inputs are accurately maintained or processed.</w:t>
            </w:r>
          </w:p>
          <w:p w:rsidR="00000000" w:rsidRPr="00A41892" w:rsidP="00A41892">
            <w:pPr>
              <w:pStyle w:val="List2"/>
            </w:pPr>
            <w:r w:rsidRPr="00A41892">
              <w:t>3.5.</w:t>
            </w:r>
            <w:r w:rsidRPr="00A41892">
              <w:tab/>
              <w:t xml:space="preserve">Components of assembly are </w:t>
            </w:r>
            <w:r w:rsidRPr="00A41892">
              <w:t>fitted to ensure correct positioning and conformance with specifications.</w:t>
            </w:r>
          </w:p>
          <w:p w:rsidR="00000000" w:rsidP="00A41892">
            <w:pPr>
              <w:pStyle w:val="List2"/>
              <w:rPr>
                <w:lang w:val="en-NZ"/>
              </w:rPr>
            </w:pPr>
            <w:r w:rsidRPr="00A41892">
              <w:t>3.6.</w:t>
            </w:r>
            <w:r w:rsidRPr="00A41892">
              <w:tab/>
              <w:t>Assembly is tested to ensure that components interface/interact according to operational specifications.</w:t>
            </w:r>
          </w:p>
        </w:tc>
      </w:tr>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
              <w:rPr>
                <w:lang w:val="en-NZ"/>
              </w:rPr>
            </w:pPr>
            <w:r w:rsidRPr="00A41892">
              <w:t>4.</w:t>
            </w:r>
            <w:r w:rsidRPr="00A41892">
              <w:tab/>
              <w:t>Adjust mechanical assemblies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List2"/>
            </w:pPr>
            <w:r w:rsidRPr="00A41892">
              <w:t>4.1.</w:t>
            </w:r>
            <w:r w:rsidRPr="00A41892">
              <w:tab/>
              <w:t>Final adjustments are performed on</w:t>
            </w:r>
            <w:r w:rsidRPr="00A41892">
              <w:t xml:space="preserve"> assembly to ensure alignment with operational specifications.</w:t>
            </w:r>
          </w:p>
          <w:p w:rsidR="00000000" w:rsidRPr="00A41892" w:rsidP="00A41892">
            <w:pPr>
              <w:pStyle w:val="List2"/>
            </w:pPr>
            <w:r w:rsidRPr="00A41892">
              <w:t>4.2.</w:t>
            </w:r>
            <w:r w:rsidRPr="00A41892">
              <w:tab/>
              <w:t>Faulty assemblies are identified for rework by operator or, where the fault is outside the scope of the workstation, processed according to standard operating procedure.</w:t>
            </w:r>
          </w:p>
          <w:p w:rsidR="00000000" w:rsidP="00A41892">
            <w:pPr>
              <w:pStyle w:val="List2"/>
              <w:rPr>
                <w:lang w:val="en-NZ"/>
              </w:rPr>
            </w:pPr>
            <w:r w:rsidRPr="00A41892">
              <w:t>4.3.</w:t>
            </w:r>
            <w:r w:rsidRPr="00A41892">
              <w:tab/>
              <w:t xml:space="preserve">The assembly </w:t>
            </w:r>
            <w:r w:rsidRPr="00A41892">
              <w:t>is correctly marked/tagged/identified.</w:t>
            </w:r>
          </w:p>
        </w:tc>
      </w:tr>
      <w:tr w:rsidTr="00D5324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List"/>
              <w:rPr>
                <w:lang w:val="en-NZ"/>
              </w:rPr>
            </w:pPr>
            <w:r w:rsidRPr="00A41892">
              <w:t>5.</w:t>
            </w:r>
            <w:r w:rsidRPr="00A41892">
              <w:tab/>
              <w:t>Protect assembly from damage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List2"/>
            </w:pPr>
            <w:r w:rsidRPr="00A41892">
              <w:t>5.1.</w:t>
            </w:r>
            <w:r w:rsidRPr="00A41892">
              <w:tab/>
              <w:t>Components and/or assembly are handled and stored according to standard operating procedures and in a manner least likely to cause damage.</w:t>
            </w:r>
          </w:p>
        </w:tc>
      </w:tr>
    </w:tbl>
    <w:p w:rsidR="00D53240" w:rsidP="00A41892">
      <w:pPr>
        <w:pStyle w:val="BodyText"/>
      </w:pPr>
    </w:p>
    <w:p w:rsidR="00D53240" w:rsidP="00A41892">
      <w:pPr>
        <w:pStyle w:val="BodyText"/>
      </w:pPr>
    </w:p>
    <w:p w:rsidR="00000000" w:rsidRPr="00A41892" w:rsidP="00A41892">
      <w:pPr>
        <w:pStyle w:val="Heading1"/>
      </w:pPr>
      <w:bookmarkStart w:id="9" w:name="O_260631"/>
      <w:bookmarkEnd w:id="9"/>
      <w:r w:rsidRPr="00A41892">
        <w:t>Required Skills and Knowledge</w:t>
      </w:r>
    </w:p>
    <w:tbl>
      <w:tblPr>
        <w:tblW w:w="0" w:type="auto"/>
        <w:tblLayout w:type="fixed"/>
        <w:tblCellMar>
          <w:left w:w="62" w:type="dxa"/>
          <w:right w:w="62" w:type="dxa"/>
        </w:tblCellMar>
        <w:tblLook w:val="0000"/>
      </w:tblPr>
      <w:tblGrid>
        <w:gridCol w:w="8522"/>
      </w:tblGrid>
      <w:tr w:rsidTr="00D532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REQUIRED SKILLS AND KNOWLEDGE</w:t>
            </w:r>
          </w:p>
        </w:tc>
      </w:tr>
      <w:tr w:rsidTr="00D532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This section describes the skills and knowledge required for this unit.</w:t>
            </w:r>
          </w:p>
        </w:tc>
      </w:tr>
      <w:tr w:rsidTr="00D53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Required skills</w:t>
            </w:r>
          </w:p>
        </w:tc>
      </w:tr>
      <w:tr w:rsidTr="00D53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Look for evidence that confirms skills in:</w:t>
            </w:r>
          </w:p>
          <w:p w:rsidR="00000000" w:rsidRPr="00A41892" w:rsidP="00A41892">
            <w:pPr>
              <w:pStyle w:val="ListBullet"/>
            </w:pPr>
            <w:r w:rsidRPr="00A41892">
              <w:t>reading and interpreting routine information on written job instructions, specifications and standard operating procedures. This may include drawings</w:t>
            </w:r>
          </w:p>
          <w:p w:rsidR="00000000" w:rsidRPr="00A41892" w:rsidP="00A41892">
            <w:pPr>
              <w:pStyle w:val="ListBullet"/>
            </w:pPr>
            <w:r w:rsidRPr="00A41892">
              <w:t>preparing a sequential assembly plan</w:t>
            </w:r>
          </w:p>
          <w:p w:rsidR="00000000" w:rsidRPr="00A41892" w:rsidP="00A41892">
            <w:pPr>
              <w:pStyle w:val="ListBullet"/>
            </w:pPr>
            <w:r w:rsidRPr="00A41892">
              <w:t>selecting and sourcing appropriate tools, components and sub-assembli</w:t>
            </w:r>
            <w:r w:rsidRPr="00A41892">
              <w:t>es</w:t>
            </w:r>
          </w:p>
          <w:p w:rsidR="00000000" w:rsidRPr="00A41892" w:rsidP="00A41892">
            <w:pPr>
              <w:pStyle w:val="ListBullet"/>
            </w:pPr>
            <w:r w:rsidRPr="00A41892">
              <w:t>using tools appropriately</w:t>
            </w:r>
          </w:p>
          <w:p w:rsidR="00000000" w:rsidRPr="00A41892" w:rsidP="00A41892">
            <w:pPr>
              <w:pStyle w:val="ListBullet"/>
            </w:pPr>
            <w:r w:rsidRPr="00A41892">
              <w:t>following job instructions</w:t>
            </w:r>
          </w:p>
          <w:p w:rsidR="00000000" w:rsidRPr="00A41892" w:rsidP="00A41892">
            <w:pPr>
              <w:pStyle w:val="ListBullet"/>
            </w:pPr>
            <w:r w:rsidRPr="00A41892">
              <w:t>identifying faulty components</w:t>
            </w:r>
          </w:p>
          <w:p w:rsidR="00000000" w:rsidRPr="00A41892" w:rsidP="00A41892">
            <w:pPr>
              <w:pStyle w:val="ListBullet"/>
            </w:pPr>
            <w:r w:rsidRPr="00A41892">
              <w:t>following oral instruction</w:t>
            </w:r>
          </w:p>
          <w:p w:rsidR="00000000" w:rsidP="00A41892">
            <w:pPr>
              <w:pStyle w:val="ListBullet"/>
              <w:rPr>
                <w:lang w:val="en-NZ"/>
              </w:rPr>
            </w:pPr>
            <w:r w:rsidRPr="00A41892">
              <w:t>entering routine and familiar information onto proformas and standard workplace forms</w:t>
            </w:r>
          </w:p>
        </w:tc>
      </w:tr>
      <w:tr w:rsidTr="00D53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Required knowledge</w:t>
            </w:r>
          </w:p>
        </w:tc>
      </w:tr>
      <w:tr w:rsidTr="00D53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Look for evidence that confirms knowledge of:</w:t>
            </w:r>
          </w:p>
          <w:p w:rsidR="00000000" w:rsidRPr="00A41892" w:rsidP="00A41892">
            <w:pPr>
              <w:pStyle w:val="ListBullet"/>
            </w:pPr>
            <w:r w:rsidRPr="00A41892">
              <w:t>fitting requirements</w:t>
            </w:r>
          </w:p>
          <w:p w:rsidR="00000000" w:rsidRPr="00A41892" w:rsidP="00A41892">
            <w:pPr>
              <w:pStyle w:val="ListBullet"/>
            </w:pPr>
            <w:r w:rsidRPr="00A41892">
              <w:t>uses of relevant tools and equipment</w:t>
            </w:r>
          </w:p>
          <w:p w:rsidR="00000000" w:rsidRPr="00A41892" w:rsidP="00A41892">
            <w:pPr>
              <w:pStyle w:val="ListBullet"/>
            </w:pPr>
            <w:r w:rsidRPr="00A41892">
              <w:t>sequence in which the tasks are to be performed</w:t>
            </w:r>
          </w:p>
          <w:p w:rsidR="00000000" w:rsidRPr="00A41892" w:rsidP="00A41892">
            <w:pPr>
              <w:pStyle w:val="ListBullet"/>
            </w:pPr>
            <w:r w:rsidRPr="00A41892">
              <w:t>sources of the component/sub-assemblies</w:t>
            </w:r>
          </w:p>
          <w:p w:rsidR="00000000" w:rsidRPr="00A41892" w:rsidP="00A41892">
            <w:pPr>
              <w:pStyle w:val="ListBullet"/>
            </w:pPr>
            <w:r w:rsidRPr="00A41892">
              <w:t>required action for tests and checks</w:t>
            </w:r>
          </w:p>
          <w:p w:rsidR="00000000" w:rsidRPr="00A41892" w:rsidP="00A41892">
            <w:pPr>
              <w:pStyle w:val="ListBullet"/>
            </w:pPr>
            <w:r w:rsidRPr="00A41892">
              <w:t>required action for non-co</w:t>
            </w:r>
            <w:r w:rsidRPr="00A41892">
              <w:t>nformance</w:t>
            </w:r>
          </w:p>
          <w:p w:rsidR="00000000" w:rsidRPr="00A41892" w:rsidP="00A41892">
            <w:pPr>
              <w:pStyle w:val="ListBullet"/>
            </w:pPr>
            <w:r w:rsidRPr="00A41892">
              <w:t>damage to components and/or assemblies through the use of inappropriate handling and/or unsafe storage procedures</w:t>
            </w:r>
          </w:p>
          <w:p w:rsidR="00000000" w:rsidRPr="00A41892" w:rsidP="00A41892">
            <w:pPr>
              <w:pStyle w:val="ListBullet"/>
            </w:pPr>
            <w:r w:rsidRPr="00A41892">
              <w:t>relevant record keeping requirements</w:t>
            </w:r>
          </w:p>
          <w:p w:rsidR="00000000" w:rsidRPr="00A41892" w:rsidP="00A41892">
            <w:pPr>
              <w:pStyle w:val="ListBullet"/>
            </w:pPr>
            <w:r w:rsidRPr="00A41892">
              <w:t>use and application of personal protective equipment</w:t>
            </w:r>
          </w:p>
          <w:p w:rsidR="00000000" w:rsidRPr="00A41892" w:rsidP="00A41892">
            <w:pPr>
              <w:pStyle w:val="ListBullet"/>
            </w:pPr>
            <w:r w:rsidRPr="00A41892">
              <w:t>safe work practices and procedures</w:t>
            </w:r>
          </w:p>
          <w:p w:rsidR="00000000" w:rsidRPr="00A41892" w:rsidP="00A41892">
            <w:pPr>
              <w:pStyle w:val="ListBullet"/>
            </w:pPr>
            <w:r w:rsidRPr="00A41892">
              <w:t>hazards and control measures associated with precision assembly</w:t>
            </w:r>
          </w:p>
        </w:tc>
      </w:tr>
    </w:tbl>
    <w:p w:rsidR="00D53240" w:rsidP="00A41892">
      <w:pPr>
        <w:pStyle w:val="BodyText"/>
      </w:pPr>
    </w:p>
    <w:p w:rsidR="00D53240" w:rsidP="00A41892">
      <w:pPr>
        <w:pStyle w:val="BodyText"/>
      </w:pPr>
    </w:p>
    <w:p w:rsidR="00000000" w:rsidRPr="00A41892" w:rsidP="00A41892">
      <w:pPr>
        <w:pStyle w:val="AllowPageBreak"/>
      </w:pPr>
    </w:p>
    <w:p w:rsidR="00000000" w:rsidRPr="00A41892" w:rsidP="00A41892">
      <w:pPr>
        <w:pStyle w:val="Heading1"/>
      </w:pPr>
      <w:bookmarkStart w:id="10" w:name="O_244665"/>
      <w:bookmarkEnd w:id="10"/>
      <w:r w:rsidRPr="00A41892">
        <w:t>Evidence Guide</w:t>
      </w:r>
    </w:p>
    <w:tbl>
      <w:tblPr>
        <w:tblW w:w="9570" w:type="dxa"/>
        <w:tblLayout w:type="fixed"/>
        <w:tblCellMar>
          <w:left w:w="62" w:type="dxa"/>
          <w:right w:w="62" w:type="dxa"/>
        </w:tblCellMar>
        <w:tblLook w:val="0000"/>
      </w:tblPr>
      <w:tblGrid>
        <w:gridCol w:w="3908"/>
        <w:gridCol w:w="5662"/>
      </w:tblGrid>
      <w:tr w:rsidTr="00D532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EVIDENCE GUIDE</w:t>
            </w:r>
          </w:p>
        </w:tc>
      </w:tr>
      <w:tr w:rsidTr="00D532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The evidence guide provides advice on assessment and must be read in conjunction with the performance criteria, required skills and knowledge, range statement and the Assessment Guidelines for the Training Package.</w:t>
            </w:r>
          </w:p>
        </w:tc>
      </w:tr>
      <w:tr w:rsidTr="00D53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A person who demonstrates competency in this unit must be able to assemble and test complex engineering components and mechanical assemblies.  Competency in this unit cannot be claimed until all prerequisites have been satisfied.</w:t>
            </w:r>
          </w:p>
        </w:tc>
      </w:tr>
      <w:tr w:rsidTr="00D53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Critical aspects for asse</w:t>
            </w:r>
            <w:r w:rsidRPr="00A41892">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 xml:space="preserve">Assessors must be satisfied that the candidate can competently and consistently perform all elements of the unit as specified by the criteria, including required knowledge, and be capable </w:t>
            </w:r>
            <w:r w:rsidRPr="00A41892">
              <w:t>of applying the competency in new and different situations and contexts.</w:t>
            </w:r>
          </w:p>
        </w:tc>
      </w:tr>
      <w:tr w:rsidTr="00D53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This unit may be assessed on the job, off the job or a combination of both on and off the job. Where assessment occurs off the job, t</w:t>
            </w:r>
            <w:r w:rsidRPr="00A41892">
              <w:t>hat is the candidate is not in productive work, then an appropriate simulation must be used where the range of conditions reflects realistic workplace situations. The competencies covered by this unit would be demonstrated by an individual working alone or</w:t>
            </w:r>
            <w:r w:rsidRPr="00A41892">
              <w:t xml:space="preserve"> as part of a team. The assessment environment should not disadvantage the candidate.</w:t>
            </w:r>
          </w:p>
          <w:p w:rsidR="00000000" w:rsidP="00A41892">
            <w:pPr>
              <w:pStyle w:val="BodyText"/>
              <w:rPr>
                <w:lang w:val="en-NZ"/>
              </w:rPr>
            </w:pPr>
            <w:r w:rsidRPr="00A41892">
              <w:t>This unit could be assessed in conjunction with any other units addressing the safety, quality, communication, materials handling, recording and reporting associated with</w:t>
            </w:r>
            <w:r w:rsidRPr="00A41892">
              <w:t xml:space="preserve"> precision assembly or other units requiring the exercise of the skills and knowledge covered by this unit.</w:t>
            </w:r>
          </w:p>
        </w:tc>
      </w:tr>
      <w:tr w:rsidTr="00D53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Assessors should gather a range of evidence that is valid, sufficient, current and authentic. Evidence can be gathered through</w:t>
            </w:r>
            <w:r w:rsidRPr="00A41892">
              <w:t xml:space="preserve"> a variety of ways including direct observation, supervisor's reports, project work, samples and questioning. Questioning techniques should not require language, literacy and numeracy skills beyond those required in this unit of competency. The candidate m</w:t>
            </w:r>
            <w:r w:rsidRPr="00A41892">
              <w:t>ust have access to all tools, equipment, materials and documentation required. The candidate must be permitted to refer to any relevant workplace procedures, product and manufacturing specifications, codes, standards, manuals and reference materials.</w:t>
            </w:r>
          </w:p>
        </w:tc>
      </w:tr>
      <w:tr w:rsidTr="00D53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Guid</w:t>
            </w:r>
            <w:r w:rsidRPr="00A41892">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p>
        </w:tc>
      </w:tr>
    </w:tbl>
    <w:p w:rsidR="00D53240" w:rsidP="00A41892">
      <w:pPr>
        <w:pStyle w:val="BodyText"/>
      </w:pPr>
    </w:p>
    <w:p w:rsidR="00D53240" w:rsidP="00A41892">
      <w:pPr>
        <w:pStyle w:val="BodyText"/>
      </w:pPr>
    </w:p>
    <w:p w:rsidR="00000000" w:rsidRPr="00A41892" w:rsidP="00A41892">
      <w:pPr>
        <w:pStyle w:val="Heading1"/>
      </w:pPr>
      <w:bookmarkStart w:id="11" w:name="O_252648"/>
      <w:bookmarkEnd w:id="11"/>
      <w:r w:rsidRPr="00A41892">
        <w:t>Range Statement</w:t>
      </w:r>
    </w:p>
    <w:tbl>
      <w:tblPr>
        <w:tblW w:w="0" w:type="auto"/>
        <w:tblLayout w:type="fixed"/>
        <w:tblCellMar>
          <w:left w:w="62" w:type="dxa"/>
          <w:right w:w="62" w:type="dxa"/>
        </w:tblCellMar>
        <w:tblLook w:val="0000"/>
      </w:tblPr>
      <w:tblGrid>
        <w:gridCol w:w="3582"/>
        <w:gridCol w:w="4940"/>
      </w:tblGrid>
      <w:tr w:rsidTr="00D532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RANGE STATEMENT</w:t>
            </w:r>
          </w:p>
        </w:tc>
      </w:tr>
      <w:tr w:rsidTr="00D532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 xml:space="preserve">The range statement relates to the unit of competency as a whole. It allows for different work environments and situations that may affect </w:t>
            </w:r>
            <w:r w:rsidRPr="00A41892">
              <w:t>performance. Bold italicised wording, if used in the performance criteria, is detailed below. Essential operating conditions that may be present with training and assessment (depending on the work situation, needs of the candidate, accessibility of the ite</w:t>
            </w:r>
            <w:r w:rsidRPr="00A41892">
              <w:t>m, and local industry and regional contexts) may also be included.</w:t>
            </w:r>
          </w:p>
        </w:tc>
      </w:tr>
      <w:tr w:rsidTr="00D53240">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Components</w:t>
            </w:r>
            <w:r w:rsidRPr="00A41892">
              <w:t>/</w:t>
            </w:r>
            <w:r w:rsidRPr="00A41892">
              <w:rPr>
                <w:rStyle w:val="SpecialBold"/>
              </w:rPr>
              <w:t>sub-assemblies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Includes parts that make up the sub-assembly and components</w:t>
            </w:r>
          </w:p>
        </w:tc>
      </w:tr>
      <w:tr w:rsidTr="00D53240">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Technique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Assembly methods and correct use of hand tools</w:t>
            </w:r>
          </w:p>
        </w:tc>
      </w:tr>
      <w:tr w:rsidTr="00D53240">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Records</w:t>
            </w:r>
            <w:r w:rsidRPr="00A41892">
              <w:t>/</w:t>
            </w:r>
            <w:r w:rsidRPr="00A41892">
              <w:rPr>
                <w:rStyle w:val="SpecialBold"/>
              </w:rPr>
              <w:t>inputs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Production schedules, job sheets, checklists</w:t>
            </w:r>
          </w:p>
        </w:tc>
      </w:tr>
      <w:tr w:rsidTr="00D53240">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Tested</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t>Tests and checks to specification of assembled product</w:t>
            </w:r>
          </w:p>
        </w:tc>
      </w:tr>
      <w:tr w:rsidTr="00D53240">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Adjustments</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Clearances, mesh, tension, level, alignment etc. using predetermined standards of quality and safety</w:t>
            </w:r>
          </w:p>
        </w:tc>
      </w:tr>
    </w:tbl>
    <w:p w:rsidR="00D53240" w:rsidP="00A41892">
      <w:pPr>
        <w:pStyle w:val="BodyText"/>
      </w:pPr>
    </w:p>
    <w:p w:rsidR="00D53240" w:rsidP="00A41892">
      <w:pPr>
        <w:pStyle w:val="BodyText"/>
      </w:pPr>
    </w:p>
    <w:p w:rsidR="00000000" w:rsidRPr="00A41892" w:rsidP="00A41892">
      <w:pPr>
        <w:pStyle w:val="Heading1"/>
      </w:pPr>
      <w:bookmarkStart w:id="12" w:name="O_210220"/>
      <w:bookmarkEnd w:id="12"/>
      <w:r w:rsidRPr="00A41892">
        <w:t>Unit Sector(s)</w:t>
      </w:r>
    </w:p>
    <w:tbl>
      <w:tblPr>
        <w:tblW w:w="0" w:type="auto"/>
        <w:tblLayout w:type="fixed"/>
        <w:tblCellMar>
          <w:left w:w="62" w:type="dxa"/>
          <w:right w:w="62" w:type="dxa"/>
        </w:tblCellMar>
        <w:tblLook w:val="0000"/>
      </w:tblPr>
      <w:tblGrid>
        <w:gridCol w:w="2654"/>
        <w:gridCol w:w="5868"/>
      </w:tblGrid>
      <w:tr w:rsidTr="00D532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p>
        </w:tc>
      </w:tr>
    </w:tbl>
    <w:p w:rsidR="00D53240" w:rsidP="00A41892">
      <w:pPr>
        <w:pStyle w:val="BodyText"/>
      </w:pPr>
    </w:p>
    <w:p w:rsidR="00D53240" w:rsidP="00A41892">
      <w:pPr>
        <w:pStyle w:val="BodyText"/>
      </w:pPr>
    </w:p>
    <w:p w:rsidR="00000000" w:rsidRPr="00A41892" w:rsidP="00A41892">
      <w:pPr>
        <w:pStyle w:val="Heading1"/>
      </w:pPr>
      <w:bookmarkStart w:id="13" w:name="O_210217"/>
      <w:bookmarkEnd w:id="13"/>
      <w:r w:rsidRPr="00A41892">
        <w:t>Co-requisite units</w:t>
      </w:r>
    </w:p>
    <w:tbl>
      <w:tblPr>
        <w:tblW w:w="0" w:type="auto"/>
        <w:tblLayout w:type="fixed"/>
        <w:tblCellMar>
          <w:left w:w="62" w:type="dxa"/>
          <w:right w:w="62" w:type="dxa"/>
        </w:tblCellMar>
        <w:tblLook w:val="0000"/>
      </w:tblPr>
      <w:tblGrid>
        <w:gridCol w:w="2641"/>
        <w:gridCol w:w="1322"/>
        <w:gridCol w:w="4559"/>
      </w:tblGrid>
      <w:tr w:rsidTr="00D532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p>
        </w:tc>
      </w:tr>
      <w:tr w:rsidTr="00D532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p>
        </w:tc>
      </w:tr>
      <w:tr w:rsidTr="00D532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p>
        </w:tc>
      </w:tr>
    </w:tbl>
    <w:p w:rsidR="00D53240" w:rsidP="00A41892">
      <w:pPr>
        <w:pStyle w:val="BodyText"/>
      </w:pPr>
    </w:p>
    <w:p w:rsidR="00D53240" w:rsidP="00A41892">
      <w:pPr>
        <w:pStyle w:val="BodyText"/>
      </w:pPr>
    </w:p>
    <w:p w:rsidR="00000000" w:rsidRPr="00A41892" w:rsidP="00A41892">
      <w:pPr>
        <w:pStyle w:val="Heading1"/>
      </w:pPr>
      <w:bookmarkStart w:id="14" w:name="O_210219"/>
      <w:bookmarkEnd w:id="14"/>
      <w:r w:rsidRPr="00A41892">
        <w:t>Competency field</w:t>
      </w:r>
    </w:p>
    <w:tbl>
      <w:tblPr>
        <w:tblW w:w="0" w:type="auto"/>
        <w:tblLayout w:type="fixed"/>
        <w:tblCellMar>
          <w:left w:w="62" w:type="dxa"/>
          <w:right w:w="62" w:type="dxa"/>
        </w:tblCellMar>
        <w:tblLook w:val="0000"/>
      </w:tblPr>
      <w:tblGrid>
        <w:gridCol w:w="2777"/>
        <w:gridCol w:w="5745"/>
      </w:tblGrid>
      <w:tr w:rsidTr="00D5324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892">
            <w:pPr>
              <w:pStyle w:val="BodyText"/>
              <w:rPr>
                <w:lang w:val="en-NZ"/>
              </w:rPr>
            </w:pPr>
            <w:r w:rsidRPr="00A4189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892" w:rsidP="00A41892">
            <w:pPr>
              <w:pStyle w:val="BodyText"/>
            </w:pPr>
            <w:r w:rsidRPr="00A41892">
              <w:t>Assembly</w:t>
            </w:r>
          </w:p>
        </w:tc>
      </w:tr>
    </w:tbl>
    <w:p w:rsidR="00D53240" w:rsidP="00A41892">
      <w:pPr>
        <w:pStyle w:val="BodyText"/>
      </w:pPr>
    </w:p>
    <w:p w:rsidR="00D53240" w:rsidP="00A41892">
      <w:pPr>
        <w:pStyle w:val="BodyText"/>
      </w:pPr>
    </w:p>
    <w:p w:rsidR="00000000" w:rsidRPr="00A41892" w:rsidP="00A41892"/>
    <w:sectPr w:rsidSect="00A41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240" w:rsidP="00D53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0" w:rsidP="00A41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3240" w:rsidP="00A418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3240" w:rsidP="00A418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240" w:rsidP="00D532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0" w:rsidP="00A41892">
    <w:pPr>
      <w:pStyle w:val="Header"/>
      <w:framePr w:wrap="around"/>
    </w:pPr>
    <w:r>
      <w:fldChar w:fldCharType="begin"/>
    </w:r>
    <w:r>
      <w:instrText xml:space="preserve"> TITLE   \* MERGEFORMAT </w:instrText>
    </w:r>
    <w:r>
      <w:fldChar w:fldCharType="separate"/>
    </w:r>
    <w:r>
      <w:t>MEM03002B Perform precision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240" w:rsidP="00A418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01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BAB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8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892"/>
    <w:pPr>
      <w:spacing w:before="360" w:after="60"/>
      <w:outlineLvl w:val="0"/>
    </w:pPr>
    <w:rPr>
      <w:sz w:val="32"/>
    </w:rPr>
  </w:style>
  <w:style w:type="paragraph" w:styleId="Heading2">
    <w:name w:val="heading 2"/>
    <w:basedOn w:val="HeadingBase"/>
    <w:next w:val="BodyText"/>
    <w:link w:val="Heading2Char"/>
    <w:qFormat/>
    <w:rsid w:val="00A41892"/>
    <w:pPr>
      <w:keepLines/>
      <w:spacing w:before="240" w:after="120"/>
      <w:outlineLvl w:val="1"/>
    </w:pPr>
    <w:rPr>
      <w:sz w:val="28"/>
      <w:szCs w:val="40"/>
    </w:rPr>
  </w:style>
  <w:style w:type="paragraph" w:styleId="Heading3">
    <w:name w:val="heading 3"/>
    <w:basedOn w:val="HeadingBase"/>
    <w:next w:val="BodyText"/>
    <w:link w:val="Heading3Char"/>
    <w:qFormat/>
    <w:rsid w:val="00A41892"/>
    <w:pPr>
      <w:spacing w:before="180" w:after="120"/>
      <w:outlineLvl w:val="2"/>
    </w:pPr>
    <w:rPr>
      <w:spacing w:val="-10"/>
      <w:kern w:val="32"/>
    </w:rPr>
  </w:style>
  <w:style w:type="paragraph" w:styleId="Heading4">
    <w:name w:val="heading 4"/>
    <w:basedOn w:val="HeadingBase"/>
    <w:next w:val="BodyText"/>
    <w:link w:val="Heading4Char"/>
    <w:qFormat/>
    <w:rsid w:val="00A41892"/>
    <w:pPr>
      <w:spacing w:before="160" w:after="120"/>
      <w:outlineLvl w:val="3"/>
    </w:pPr>
    <w:rPr>
      <w:sz w:val="22"/>
    </w:rPr>
  </w:style>
  <w:style w:type="paragraph" w:styleId="Heading5">
    <w:name w:val="heading 5"/>
    <w:basedOn w:val="HeadingBase"/>
    <w:next w:val="Normal"/>
    <w:link w:val="Heading5Char"/>
    <w:qFormat/>
    <w:rsid w:val="00A41892"/>
    <w:pPr>
      <w:spacing w:before="80"/>
      <w:outlineLvl w:val="4"/>
    </w:pPr>
    <w:rPr>
      <w:color w:val="918585"/>
      <w:sz w:val="20"/>
    </w:rPr>
  </w:style>
  <w:style w:type="paragraph" w:styleId="Heading6">
    <w:name w:val="heading 6"/>
    <w:basedOn w:val="HeadingBase"/>
    <w:next w:val="Normal"/>
    <w:link w:val="Heading6Char"/>
    <w:qFormat/>
    <w:rsid w:val="00A41892"/>
    <w:pPr>
      <w:spacing w:before="60"/>
      <w:outlineLvl w:val="5"/>
    </w:pPr>
    <w:rPr>
      <w:color w:val="918585"/>
      <w:sz w:val="20"/>
    </w:rPr>
  </w:style>
  <w:style w:type="paragraph" w:styleId="Heading7">
    <w:name w:val="heading 7"/>
    <w:basedOn w:val="Normal"/>
    <w:next w:val="Normal"/>
    <w:link w:val="Heading7Char"/>
    <w:qFormat/>
    <w:rsid w:val="00A41892"/>
    <w:pPr>
      <w:ind w:left="720"/>
      <w:outlineLvl w:val="6"/>
    </w:pPr>
    <w:rPr>
      <w:i/>
    </w:rPr>
  </w:style>
  <w:style w:type="paragraph" w:styleId="Heading8">
    <w:name w:val="heading 8"/>
    <w:basedOn w:val="Normal"/>
    <w:next w:val="Normal"/>
    <w:link w:val="Heading8Char"/>
    <w:qFormat/>
    <w:rsid w:val="00A41892"/>
    <w:pPr>
      <w:ind w:left="720"/>
      <w:outlineLvl w:val="7"/>
    </w:pPr>
    <w:rPr>
      <w:i/>
    </w:rPr>
  </w:style>
  <w:style w:type="paragraph" w:styleId="Heading9">
    <w:name w:val="heading 9"/>
    <w:basedOn w:val="Normal"/>
    <w:next w:val="Normal"/>
    <w:link w:val="Heading9Char"/>
    <w:qFormat/>
    <w:rsid w:val="00A41892"/>
    <w:pPr>
      <w:ind w:left="720"/>
      <w:outlineLvl w:val="8"/>
    </w:pPr>
    <w:rPr>
      <w:i/>
    </w:rPr>
  </w:style>
  <w:style w:type="character" w:default="1" w:styleId="DefaultParagraphFont">
    <w:name w:val="Default Paragraph Font"/>
    <w:uiPriority w:val="1"/>
    <w:unhideWhenUsed/>
    <w:rsid w:val="00A41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892"/>
  </w:style>
  <w:style w:type="character" w:customStyle="1" w:styleId="Heading1Char">
    <w:name w:val="Heading 1 Char"/>
    <w:basedOn w:val="DefaultParagraphFont"/>
    <w:link w:val="Heading1"/>
    <w:rsid w:val="00A41892"/>
    <w:rPr>
      <w:rFonts w:ascii="Times New Roman" w:eastAsia="Times New Roman" w:hAnsi="Times New Roman" w:cs="Times New Roman"/>
      <w:b/>
      <w:sz w:val="32"/>
      <w:szCs w:val="20"/>
      <w:lang w:eastAsia="en-US"/>
    </w:rPr>
  </w:style>
  <w:style w:type="paragraph" w:styleId="BodyText">
    <w:name w:val="Body Text"/>
    <w:basedOn w:val="Normal"/>
    <w:link w:val="BodyTextChar"/>
    <w:rsid w:val="00A418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892"/>
    <w:rPr>
      <w:rFonts w:ascii="Times New Roman" w:eastAsia="Times New Roman" w:hAnsi="Times New Roman" w:cs="Times New Roman"/>
      <w:sz w:val="24"/>
      <w:lang w:val="en-US" w:eastAsia="en-US"/>
    </w:rPr>
  </w:style>
  <w:style w:type="paragraph" w:styleId="Footer">
    <w:name w:val="footer"/>
    <w:basedOn w:val="Normal"/>
    <w:link w:val="FooterChar"/>
    <w:rsid w:val="00A41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892"/>
    <w:rPr>
      <w:rFonts w:ascii="Times New Roman" w:eastAsia="Times New Roman" w:hAnsi="Times New Roman" w:cs="Times New Roman"/>
      <w:sz w:val="16"/>
      <w:lang w:val="en-US" w:eastAsia="en-US"/>
    </w:rPr>
  </w:style>
  <w:style w:type="paragraph" w:styleId="List">
    <w:name w:val="List"/>
    <w:basedOn w:val="BodyText"/>
    <w:next w:val="BodyText"/>
    <w:rsid w:val="00A41892"/>
    <w:pPr>
      <w:tabs>
        <w:tab w:val="left" w:pos="340"/>
      </w:tabs>
      <w:spacing w:before="60" w:after="60"/>
      <w:ind w:left="340" w:hanging="340"/>
    </w:pPr>
  </w:style>
  <w:style w:type="paragraph" w:styleId="ListBullet">
    <w:name w:val="List Bullet"/>
    <w:basedOn w:val="List"/>
    <w:rsid w:val="00A41892"/>
    <w:pPr>
      <w:numPr>
        <w:numId w:val="12"/>
      </w:numPr>
      <w:tabs>
        <w:tab w:val="clear" w:pos="340"/>
      </w:tabs>
      <w:spacing w:before="40" w:after="40"/>
    </w:pPr>
  </w:style>
  <w:style w:type="character" w:customStyle="1" w:styleId="SpecialBold">
    <w:name w:val="Special Bold"/>
    <w:basedOn w:val="DefaultParagraphFont"/>
    <w:rsid w:val="00A41892"/>
    <w:rPr>
      <w:b/>
      <w:spacing w:val="0"/>
    </w:rPr>
  </w:style>
  <w:style w:type="paragraph" w:styleId="Header">
    <w:name w:val="header"/>
    <w:basedOn w:val="Normal"/>
    <w:link w:val="HeaderChar"/>
    <w:rsid w:val="00A41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8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1892"/>
    <w:pPr>
      <w:spacing w:before="240" w:after="120"/>
      <w:outlineLvl w:val="0"/>
    </w:pPr>
    <w:rPr>
      <w:rFonts w:ascii="Times New Roman" w:hAnsi="Times New Roman"/>
      <w:b/>
      <w:sz w:val="28"/>
    </w:rPr>
  </w:style>
  <w:style w:type="paragraph" w:customStyle="1" w:styleId="AllowPageBreak">
    <w:name w:val="AllowPageBreak"/>
    <w:rsid w:val="00A418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1892"/>
    <w:pPr>
      <w:tabs>
        <w:tab w:val="left" w:pos="680"/>
      </w:tabs>
      <w:spacing w:before="60" w:after="60"/>
      <w:ind w:left="680" w:hanging="340"/>
    </w:pPr>
  </w:style>
  <w:style w:type="character" w:customStyle="1" w:styleId="Heading2Char">
    <w:name w:val="Heading 2 Char"/>
    <w:basedOn w:val="DefaultParagraphFont"/>
    <w:link w:val="Heading2"/>
    <w:rsid w:val="00A41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8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8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892"/>
    <w:rPr>
      <w:rFonts w:ascii="Courier New" w:eastAsia="Times New Roman" w:hAnsi="Courier New" w:cs="Times New Roman"/>
      <w:i/>
      <w:szCs w:val="20"/>
      <w:lang w:val="en-US" w:eastAsia="en-US"/>
    </w:rPr>
  </w:style>
  <w:style w:type="paragraph" w:customStyle="1" w:styleId="HeadingBase">
    <w:name w:val="Heading Base"/>
    <w:rsid w:val="00A41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892"/>
    <w:pPr>
      <w:tabs>
        <w:tab w:val="right" w:leader="dot" w:pos="9072"/>
      </w:tabs>
      <w:ind w:left="567"/>
    </w:pPr>
    <w:rPr>
      <w:szCs w:val="22"/>
    </w:rPr>
  </w:style>
  <w:style w:type="paragraph" w:customStyle="1" w:styleId="TOCBase">
    <w:name w:val="TOC Base"/>
    <w:rsid w:val="00A41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892"/>
    <w:pPr>
      <w:tabs>
        <w:tab w:val="right" w:leader="dot" w:pos="9072"/>
      </w:tabs>
      <w:spacing w:before="40" w:after="40"/>
      <w:ind w:left="284"/>
    </w:pPr>
    <w:rPr>
      <w:rFonts w:ascii="Times New Roman" w:hAnsi="Times New Roman"/>
    </w:rPr>
  </w:style>
  <w:style w:type="paragraph" w:styleId="TOC1">
    <w:name w:val="toc 1"/>
    <w:basedOn w:val="TOCBase"/>
    <w:next w:val="Normal"/>
    <w:rsid w:val="00A418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892"/>
    <w:pPr>
      <w:spacing w:before="5040"/>
      <w:jc w:val="center"/>
    </w:pPr>
    <w:rPr>
      <w:sz w:val="48"/>
      <w:szCs w:val="72"/>
      <w:lang w:val="en-US"/>
    </w:rPr>
  </w:style>
  <w:style w:type="character" w:customStyle="1" w:styleId="TitleChar">
    <w:name w:val="Title Char"/>
    <w:basedOn w:val="DefaultParagraphFont"/>
    <w:link w:val="Title"/>
    <w:rsid w:val="00A41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892"/>
    <w:pPr>
      <w:tabs>
        <w:tab w:val="left" w:pos="3600"/>
        <w:tab w:val="left" w:pos="3958"/>
      </w:tabs>
    </w:pPr>
  </w:style>
  <w:style w:type="paragraph" w:customStyle="1" w:styleId="Note">
    <w:name w:val="Note"/>
    <w:basedOn w:val="BodyText"/>
    <w:rsid w:val="00A41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892"/>
    <w:pPr>
      <w:framePr w:wrap="auto" w:hAnchor="text" w:y="6049"/>
    </w:pPr>
    <w:rPr>
      <w:color w:val="000000"/>
      <w:sz w:val="40"/>
    </w:rPr>
  </w:style>
  <w:style w:type="paragraph" w:customStyle="1" w:styleId="TOCTitle">
    <w:name w:val="TOCTitle"/>
    <w:basedOn w:val="Heading1"/>
    <w:rsid w:val="00A41892"/>
    <w:pPr>
      <w:spacing w:after="240"/>
      <w:jc w:val="center"/>
      <w:outlineLvl w:val="9"/>
    </w:pPr>
    <w:rPr>
      <w:caps/>
    </w:rPr>
  </w:style>
  <w:style w:type="paragraph" w:customStyle="1" w:styleId="Version">
    <w:name w:val="Version"/>
    <w:rsid w:val="00A41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892"/>
    <w:pPr>
      <w:numPr>
        <w:numId w:val="13"/>
      </w:numPr>
      <w:tabs>
        <w:tab w:val="clear" w:pos="680"/>
      </w:tabs>
    </w:pPr>
  </w:style>
  <w:style w:type="paragraph" w:styleId="Index1">
    <w:name w:val="index 1"/>
    <w:basedOn w:val="Normal"/>
    <w:next w:val="Normal"/>
    <w:semiHidden/>
    <w:rsid w:val="00A41892"/>
    <w:pPr>
      <w:keepNext w:val="0"/>
      <w:tabs>
        <w:tab w:val="right" w:pos="4176"/>
      </w:tabs>
      <w:ind w:left="198" w:hanging="198"/>
    </w:pPr>
    <w:rPr>
      <w:rFonts w:ascii="Garamond" w:hAnsi="Garamond"/>
    </w:rPr>
  </w:style>
  <w:style w:type="paragraph" w:styleId="IndexHeading">
    <w:name w:val="index heading"/>
    <w:basedOn w:val="Normal"/>
    <w:next w:val="Index1"/>
    <w:semiHidden/>
    <w:rsid w:val="00A41892"/>
    <w:pPr>
      <w:spacing w:before="120" w:after="120"/>
    </w:pPr>
    <w:rPr>
      <w:rFonts w:ascii="Arial" w:hAnsi="Arial"/>
      <w:b/>
      <w:color w:val="918585"/>
      <w:sz w:val="24"/>
    </w:rPr>
  </w:style>
  <w:style w:type="paragraph" w:customStyle="1" w:styleId="Chapter">
    <w:name w:val="Chapter"/>
    <w:basedOn w:val="Normal"/>
    <w:rsid w:val="00A41892"/>
    <w:pPr>
      <w:spacing w:before="240"/>
    </w:pPr>
    <w:rPr>
      <w:rFonts w:ascii="Times New Roman" w:hAnsi="Times New Roman"/>
      <w:smallCaps/>
      <w:spacing w:val="80"/>
      <w:sz w:val="28"/>
    </w:rPr>
  </w:style>
  <w:style w:type="paragraph" w:customStyle="1" w:styleId="InChapter">
    <w:name w:val="InChapter"/>
    <w:basedOn w:val="Heading3"/>
    <w:rsid w:val="00A41892"/>
    <w:pPr>
      <w:spacing w:after="240"/>
      <w:outlineLvl w:val="9"/>
    </w:pPr>
    <w:rPr>
      <w:noProof/>
    </w:rPr>
  </w:style>
  <w:style w:type="paragraph" w:styleId="Index2">
    <w:name w:val="index 2"/>
    <w:basedOn w:val="Normal"/>
    <w:next w:val="Normal"/>
    <w:semiHidden/>
    <w:rsid w:val="00A41892"/>
    <w:pPr>
      <w:tabs>
        <w:tab w:val="right" w:pos="4176"/>
      </w:tabs>
      <w:ind w:left="568" w:hanging="284"/>
    </w:pPr>
    <w:rPr>
      <w:rFonts w:ascii="Garamond" w:hAnsi="Garamond"/>
    </w:rPr>
  </w:style>
  <w:style w:type="paragraph" w:customStyle="1" w:styleId="Byline">
    <w:name w:val="Byline"/>
    <w:rsid w:val="00A41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892"/>
    <w:pPr>
      <w:tabs>
        <w:tab w:val="clear" w:pos="3600"/>
        <w:tab w:val="clear" w:pos="3958"/>
      </w:tabs>
      <w:jc w:val="right"/>
    </w:pPr>
  </w:style>
  <w:style w:type="character" w:styleId="Emphasis">
    <w:name w:val="Emphasis"/>
    <w:basedOn w:val="DefaultParagraphFont"/>
    <w:qFormat/>
    <w:rsid w:val="00A41892"/>
    <w:rPr>
      <w:i/>
    </w:rPr>
  </w:style>
  <w:style w:type="paragraph" w:styleId="Caption">
    <w:name w:val="caption"/>
    <w:basedOn w:val="BodyText"/>
    <w:next w:val="Normal"/>
    <w:qFormat/>
    <w:rsid w:val="00A41892"/>
    <w:pPr>
      <w:framePr w:w="2268" w:hSpace="181" w:vSpace="181" w:wrap="around" w:vAnchor="text" w:hAnchor="page" w:x="1135" w:y="285" w:anchorLock="1"/>
    </w:pPr>
    <w:rPr>
      <w:i/>
    </w:rPr>
  </w:style>
  <w:style w:type="paragraph" w:customStyle="1" w:styleId="MiniTOCTitle">
    <w:name w:val="MiniTOCTitle"/>
    <w:basedOn w:val="Heading4"/>
    <w:rsid w:val="00A41892"/>
    <w:pPr>
      <w:spacing w:before="240"/>
      <w:outlineLvl w:val="9"/>
    </w:pPr>
    <w:rPr>
      <w:noProof/>
      <w:sz w:val="24"/>
    </w:rPr>
  </w:style>
  <w:style w:type="paragraph" w:customStyle="1" w:styleId="MiniTOCItem">
    <w:name w:val="MiniTOCItem"/>
    <w:basedOn w:val="ListBullet"/>
    <w:rsid w:val="00A41892"/>
    <w:pPr>
      <w:numPr>
        <w:numId w:val="0"/>
      </w:numPr>
      <w:tabs>
        <w:tab w:val="right" w:leader="dot" w:pos="6521"/>
      </w:tabs>
      <w:spacing w:before="0" w:after="0"/>
    </w:pPr>
  </w:style>
  <w:style w:type="paragraph" w:customStyle="1" w:styleId="TOFTitle">
    <w:name w:val="TOFTitle"/>
    <w:basedOn w:val="TOCTitle"/>
    <w:rsid w:val="00A41892"/>
  </w:style>
  <w:style w:type="paragraph" w:styleId="TableofFigures">
    <w:name w:val="table of figures"/>
    <w:basedOn w:val="Normal"/>
    <w:next w:val="Normal"/>
    <w:semiHidden/>
    <w:rsid w:val="00A41892"/>
    <w:pPr>
      <w:tabs>
        <w:tab w:val="right" w:leader="dot" w:pos="9072"/>
      </w:tabs>
      <w:ind w:left="970" w:hanging="403"/>
    </w:pPr>
    <w:rPr>
      <w:rFonts w:ascii="Times New Roman" w:hAnsi="Times New Roman"/>
      <w:b/>
    </w:rPr>
  </w:style>
  <w:style w:type="paragraph" w:styleId="ListNumber">
    <w:name w:val="List Number"/>
    <w:basedOn w:val="List"/>
    <w:rsid w:val="00A41892"/>
    <w:pPr>
      <w:numPr>
        <w:numId w:val="10"/>
      </w:numPr>
    </w:pPr>
  </w:style>
  <w:style w:type="character" w:customStyle="1" w:styleId="WingdingSymbols">
    <w:name w:val="Wingding Symbols"/>
    <w:rsid w:val="00A41892"/>
    <w:rPr>
      <w:rFonts w:ascii="Wingdings" w:hAnsi="Wingdings"/>
    </w:rPr>
  </w:style>
  <w:style w:type="paragraph" w:customStyle="1" w:styleId="TableHeading">
    <w:name w:val="Table Heading"/>
    <w:basedOn w:val="HeadingBase"/>
    <w:rsid w:val="00A41892"/>
    <w:pPr>
      <w:keepLines/>
      <w:pBdr>
        <w:bottom w:val="single" w:sz="6" w:space="1" w:color="918585"/>
      </w:pBdr>
      <w:spacing w:before="240"/>
    </w:pPr>
  </w:style>
  <w:style w:type="character" w:customStyle="1" w:styleId="HotSpot">
    <w:name w:val="HotSpot"/>
    <w:rsid w:val="00A41892"/>
    <w:rPr>
      <w:color w:val="0033CC"/>
      <w:u w:val="none"/>
    </w:rPr>
  </w:style>
  <w:style w:type="paragraph" w:customStyle="1" w:styleId="BodyTextRight">
    <w:name w:val="Body Text Right"/>
    <w:basedOn w:val="BodyText"/>
    <w:rsid w:val="00A41892"/>
    <w:pPr>
      <w:spacing w:before="0" w:after="0"/>
      <w:jc w:val="right"/>
    </w:pPr>
  </w:style>
  <w:style w:type="paragraph" w:styleId="Index3">
    <w:name w:val="index 3"/>
    <w:basedOn w:val="ListNumber2"/>
    <w:next w:val="Normal"/>
    <w:semiHidden/>
    <w:rsid w:val="00A41892"/>
    <w:pPr>
      <w:numPr>
        <w:numId w:val="0"/>
      </w:numPr>
      <w:tabs>
        <w:tab w:val="right" w:leader="dot" w:pos="4176"/>
      </w:tabs>
    </w:pPr>
  </w:style>
  <w:style w:type="paragraph" w:styleId="ListNumber2">
    <w:name w:val="List Number 2"/>
    <w:basedOn w:val="List2"/>
    <w:rsid w:val="00A41892"/>
    <w:pPr>
      <w:numPr>
        <w:numId w:val="9"/>
      </w:numPr>
      <w:tabs>
        <w:tab w:val="clear" w:pos="1060"/>
      </w:tabs>
    </w:pPr>
  </w:style>
  <w:style w:type="paragraph" w:customStyle="1" w:styleId="MarginNote">
    <w:name w:val="Margin Note"/>
    <w:basedOn w:val="BodyText"/>
    <w:rsid w:val="00A41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8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892"/>
    <w:rPr>
      <w:sz w:val="32"/>
    </w:rPr>
  </w:style>
  <w:style w:type="paragraph" w:customStyle="1" w:styleId="HeadingProcedure">
    <w:name w:val="Heading Procedure"/>
    <w:basedOn w:val="HeadingBase"/>
    <w:next w:val="Normal"/>
    <w:rsid w:val="00A41892"/>
    <w:pPr>
      <w:tabs>
        <w:tab w:val="left" w:pos="0"/>
      </w:tabs>
      <w:spacing w:before="120" w:after="60"/>
    </w:pPr>
    <w:rPr>
      <w:i/>
      <w:color w:val="918585"/>
      <w:sz w:val="22"/>
    </w:rPr>
  </w:style>
  <w:style w:type="paragraph" w:customStyle="1" w:styleId="TableBodyText">
    <w:name w:val="Table Body Text"/>
    <w:basedOn w:val="BodyText"/>
    <w:rsid w:val="00A41892"/>
    <w:pPr>
      <w:spacing w:before="60" w:after="60"/>
    </w:pPr>
  </w:style>
  <w:style w:type="paragraph" w:styleId="ListContinue">
    <w:name w:val="List Continue"/>
    <w:basedOn w:val="List"/>
    <w:rsid w:val="00A41892"/>
    <w:pPr>
      <w:ind w:firstLine="0"/>
    </w:pPr>
  </w:style>
  <w:style w:type="paragraph" w:customStyle="1" w:styleId="ListNote">
    <w:name w:val="List Note"/>
    <w:basedOn w:val="List"/>
    <w:rsid w:val="00A41892"/>
    <w:pPr>
      <w:pBdr>
        <w:top w:val="single" w:sz="6" w:space="2" w:color="918585"/>
        <w:bottom w:val="single" w:sz="6" w:space="2" w:color="918585"/>
      </w:pBdr>
      <w:tabs>
        <w:tab w:val="left" w:pos="1021"/>
      </w:tabs>
      <w:ind w:firstLine="0"/>
    </w:pPr>
  </w:style>
  <w:style w:type="paragraph" w:customStyle="1" w:styleId="Warning">
    <w:name w:val="Warning"/>
    <w:basedOn w:val="BodyText"/>
    <w:rsid w:val="00A41892"/>
    <w:pPr>
      <w:shd w:val="clear" w:color="auto" w:fill="D9D9D9"/>
      <w:tabs>
        <w:tab w:val="left" w:pos="992"/>
      </w:tabs>
      <w:ind w:left="119" w:right="119"/>
    </w:pPr>
    <w:rPr>
      <w:sz w:val="20"/>
    </w:rPr>
  </w:style>
  <w:style w:type="paragraph" w:customStyle="1" w:styleId="MarginIcons">
    <w:name w:val="Margin Icons"/>
    <w:basedOn w:val="BodyText"/>
    <w:rsid w:val="00A41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892"/>
    <w:rPr>
      <w:rFonts w:ascii="Courier New" w:hAnsi="Courier New"/>
    </w:rPr>
  </w:style>
  <w:style w:type="paragraph" w:customStyle="1" w:styleId="NoteBullet">
    <w:name w:val="Note Bullet"/>
    <w:basedOn w:val="Note"/>
    <w:rsid w:val="00A41892"/>
    <w:pPr>
      <w:tabs>
        <w:tab w:val="clear" w:pos="680"/>
      </w:tabs>
      <w:spacing w:before="60" w:after="60"/>
    </w:pPr>
  </w:style>
  <w:style w:type="paragraph" w:customStyle="1" w:styleId="SubHeading2">
    <w:name w:val="SubHeading2"/>
    <w:basedOn w:val="HeadingBase"/>
    <w:rsid w:val="00A41892"/>
    <w:pPr>
      <w:spacing w:before="240" w:after="60"/>
    </w:pPr>
    <w:rPr>
      <w:sz w:val="20"/>
    </w:rPr>
  </w:style>
  <w:style w:type="paragraph" w:customStyle="1" w:styleId="SubHeading1">
    <w:name w:val="SubHeading1"/>
    <w:basedOn w:val="HeadingBase"/>
    <w:rsid w:val="00A41892"/>
    <w:pPr>
      <w:spacing w:before="240" w:after="60"/>
    </w:pPr>
    <w:rPr>
      <w:color w:val="918585"/>
      <w:sz w:val="22"/>
    </w:rPr>
  </w:style>
  <w:style w:type="paragraph" w:customStyle="1" w:styleId="SideHeading">
    <w:name w:val="Side Heading"/>
    <w:basedOn w:val="HeadingBase"/>
    <w:rsid w:val="00A41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892"/>
    <w:pPr>
      <w:tabs>
        <w:tab w:val="num" w:pos="360"/>
      </w:tabs>
    </w:pPr>
  </w:style>
  <w:style w:type="paragraph" w:styleId="PlainText">
    <w:name w:val="Plain Text"/>
    <w:basedOn w:val="Normal"/>
    <w:link w:val="PlainTextChar"/>
    <w:rsid w:val="00A41892"/>
    <w:rPr>
      <w:sz w:val="20"/>
    </w:rPr>
  </w:style>
  <w:style w:type="character" w:customStyle="1" w:styleId="PlainTextChar">
    <w:name w:val="Plain Text Char"/>
    <w:basedOn w:val="DefaultParagraphFont"/>
    <w:link w:val="PlainText"/>
    <w:rsid w:val="00A418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1892"/>
    <w:rPr>
      <w:b/>
      <w:smallCaps/>
    </w:rPr>
  </w:style>
  <w:style w:type="paragraph" w:customStyle="1" w:styleId="TableListNumber">
    <w:name w:val="Table List Number"/>
    <w:basedOn w:val="ListNumber"/>
    <w:rsid w:val="00A41892"/>
    <w:pPr>
      <w:numPr>
        <w:numId w:val="0"/>
      </w:numPr>
    </w:pPr>
  </w:style>
  <w:style w:type="paragraph" w:styleId="TOC4">
    <w:name w:val="toc 4"/>
    <w:basedOn w:val="TOCBase"/>
    <w:next w:val="Normal"/>
    <w:semiHidden/>
    <w:rsid w:val="00A41892"/>
    <w:pPr>
      <w:tabs>
        <w:tab w:val="right" w:leader="dot" w:pos="9071"/>
      </w:tabs>
      <w:ind w:left="1701"/>
    </w:pPr>
  </w:style>
  <w:style w:type="paragraph" w:customStyle="1" w:styleId="ListAlpha">
    <w:name w:val="List Alpha"/>
    <w:basedOn w:val="List"/>
    <w:rsid w:val="00A41892"/>
    <w:pPr>
      <w:numPr>
        <w:numId w:val="8"/>
      </w:numPr>
    </w:pPr>
  </w:style>
  <w:style w:type="paragraph" w:customStyle="1" w:styleId="ListAlpha2">
    <w:name w:val="List Alpha 2"/>
    <w:basedOn w:val="List2"/>
    <w:rsid w:val="00A41892"/>
    <w:pPr>
      <w:numPr>
        <w:numId w:val="7"/>
      </w:numPr>
    </w:pPr>
  </w:style>
  <w:style w:type="paragraph" w:styleId="List3">
    <w:name w:val="List 3"/>
    <w:basedOn w:val="BodyText"/>
    <w:rsid w:val="00A41892"/>
    <w:pPr>
      <w:tabs>
        <w:tab w:val="left" w:pos="1021"/>
      </w:tabs>
      <w:spacing w:before="60" w:after="60"/>
      <w:ind w:left="1020" w:hanging="340"/>
    </w:pPr>
  </w:style>
  <w:style w:type="paragraph" w:styleId="List4">
    <w:name w:val="List 4"/>
    <w:basedOn w:val="BodyText"/>
    <w:rsid w:val="00A41892"/>
    <w:pPr>
      <w:tabs>
        <w:tab w:val="left" w:pos="1361"/>
      </w:tabs>
      <w:spacing w:before="60" w:after="60"/>
      <w:ind w:left="1361" w:hanging="340"/>
    </w:pPr>
  </w:style>
  <w:style w:type="paragraph" w:styleId="List5">
    <w:name w:val="List 5"/>
    <w:basedOn w:val="BodyText"/>
    <w:rsid w:val="00A41892"/>
    <w:pPr>
      <w:tabs>
        <w:tab w:val="left" w:pos="1701"/>
      </w:tabs>
      <w:spacing w:before="60" w:after="60"/>
      <w:ind w:left="1701" w:hanging="340"/>
    </w:pPr>
  </w:style>
  <w:style w:type="paragraph" w:styleId="ListBullet3">
    <w:name w:val="List Bullet 3"/>
    <w:basedOn w:val="List3"/>
    <w:rsid w:val="00A41892"/>
    <w:pPr>
      <w:numPr>
        <w:numId w:val="14"/>
      </w:numPr>
      <w:tabs>
        <w:tab w:val="clear" w:pos="1021"/>
      </w:tabs>
      <w:ind w:left="1037" w:hanging="357"/>
    </w:pPr>
  </w:style>
  <w:style w:type="paragraph" w:styleId="ListBullet4">
    <w:name w:val="List Bullet 4"/>
    <w:basedOn w:val="List4"/>
    <w:rsid w:val="00A41892"/>
    <w:pPr>
      <w:numPr>
        <w:numId w:val="2"/>
      </w:numPr>
    </w:pPr>
  </w:style>
  <w:style w:type="paragraph" w:styleId="ListBullet5">
    <w:name w:val="List Bullet 5"/>
    <w:basedOn w:val="List5"/>
    <w:rsid w:val="00A41892"/>
    <w:pPr>
      <w:numPr>
        <w:numId w:val="3"/>
      </w:numPr>
    </w:pPr>
  </w:style>
  <w:style w:type="paragraph" w:styleId="ListContinue2">
    <w:name w:val="List Continue 2"/>
    <w:basedOn w:val="List2"/>
    <w:rsid w:val="00A41892"/>
    <w:pPr>
      <w:ind w:firstLine="0"/>
    </w:pPr>
  </w:style>
  <w:style w:type="paragraph" w:styleId="ListContinue3">
    <w:name w:val="List Continue 3"/>
    <w:basedOn w:val="List3"/>
    <w:rsid w:val="00A41892"/>
    <w:pPr>
      <w:ind w:left="1021" w:firstLine="0"/>
    </w:pPr>
  </w:style>
  <w:style w:type="paragraph" w:styleId="ListContinue4">
    <w:name w:val="List Continue 4"/>
    <w:basedOn w:val="List4"/>
    <w:rsid w:val="00A41892"/>
    <w:pPr>
      <w:ind w:firstLine="0"/>
    </w:pPr>
  </w:style>
  <w:style w:type="paragraph" w:styleId="ListContinue5">
    <w:name w:val="List Continue 5"/>
    <w:basedOn w:val="List5"/>
    <w:rsid w:val="00A41892"/>
    <w:pPr>
      <w:ind w:firstLine="0"/>
    </w:pPr>
  </w:style>
  <w:style w:type="paragraph" w:styleId="ListNumber3">
    <w:name w:val="List Number 3"/>
    <w:basedOn w:val="List3"/>
    <w:rsid w:val="00A41892"/>
    <w:pPr>
      <w:numPr>
        <w:numId w:val="4"/>
      </w:numPr>
    </w:pPr>
  </w:style>
  <w:style w:type="paragraph" w:styleId="ListNumber4">
    <w:name w:val="List Number 4"/>
    <w:basedOn w:val="List4"/>
    <w:rsid w:val="00A41892"/>
    <w:pPr>
      <w:numPr>
        <w:numId w:val="5"/>
      </w:numPr>
    </w:pPr>
  </w:style>
  <w:style w:type="paragraph" w:styleId="ListNumber5">
    <w:name w:val="List Number 5"/>
    <w:basedOn w:val="List5"/>
    <w:rsid w:val="00A41892"/>
    <w:pPr>
      <w:numPr>
        <w:numId w:val="6"/>
      </w:numPr>
    </w:pPr>
  </w:style>
  <w:style w:type="paragraph" w:styleId="BlockText">
    <w:name w:val="Block Text"/>
    <w:basedOn w:val="Normal"/>
    <w:rsid w:val="00A41892"/>
    <w:pPr>
      <w:spacing w:after="120"/>
      <w:ind w:left="1440" w:right="1440"/>
    </w:pPr>
  </w:style>
  <w:style w:type="character" w:customStyle="1" w:styleId="Subscript">
    <w:name w:val="Subscript"/>
    <w:basedOn w:val="DefaultParagraphFont"/>
    <w:rsid w:val="00A41892"/>
    <w:rPr>
      <w:sz w:val="16"/>
      <w:vertAlign w:val="subscript"/>
    </w:rPr>
  </w:style>
  <w:style w:type="character" w:customStyle="1" w:styleId="Superscript">
    <w:name w:val="Superscript"/>
    <w:basedOn w:val="DefaultParagraphFont"/>
    <w:rsid w:val="00A41892"/>
    <w:rPr>
      <w:sz w:val="16"/>
      <w:vertAlign w:val="superscript"/>
    </w:rPr>
  </w:style>
  <w:style w:type="character" w:customStyle="1" w:styleId="Symbols">
    <w:name w:val="Symbols"/>
    <w:basedOn w:val="DefaultParagraphFont"/>
    <w:rsid w:val="00A41892"/>
    <w:rPr>
      <w:rFonts w:ascii="Symbol" w:hAnsi="Symbol"/>
    </w:rPr>
  </w:style>
  <w:style w:type="character" w:customStyle="1" w:styleId="MenuOptions">
    <w:name w:val="Menu Options"/>
    <w:basedOn w:val="DefaultParagraphFont"/>
    <w:rsid w:val="00A41892"/>
    <w:rPr>
      <w:rFonts w:ascii="Arial Narrow" w:hAnsi="Arial Narrow"/>
      <w:smallCaps/>
    </w:rPr>
  </w:style>
  <w:style w:type="character" w:customStyle="1" w:styleId="Buttons">
    <w:name w:val="Buttons"/>
    <w:basedOn w:val="DefaultParagraphFont"/>
    <w:rsid w:val="00A41892"/>
    <w:rPr>
      <w:b/>
    </w:rPr>
  </w:style>
  <w:style w:type="character" w:customStyle="1" w:styleId="Underlined">
    <w:name w:val="Underlined"/>
    <w:basedOn w:val="DefaultParagraphFont"/>
    <w:rsid w:val="00A41892"/>
    <w:rPr>
      <w:u w:val="single"/>
    </w:rPr>
  </w:style>
  <w:style w:type="paragraph" w:customStyle="1" w:styleId="TableBodyTextRight">
    <w:name w:val="Table Body Text Right"/>
    <w:basedOn w:val="TableBodyText"/>
    <w:rsid w:val="00A41892"/>
    <w:pPr>
      <w:widowControl w:val="0"/>
      <w:autoSpaceDE w:val="0"/>
      <w:autoSpaceDN w:val="0"/>
      <w:adjustRightInd w:val="0"/>
      <w:jc w:val="right"/>
    </w:pPr>
    <w:rPr>
      <w:rFonts w:cs="Arial"/>
      <w:szCs w:val="18"/>
    </w:rPr>
  </w:style>
  <w:style w:type="paragraph" w:customStyle="1" w:styleId="CopyrightText">
    <w:name w:val="Copyright Text"/>
    <w:basedOn w:val="BodyText"/>
    <w:rsid w:val="00A41892"/>
    <w:rPr>
      <w:sz w:val="18"/>
    </w:rPr>
  </w:style>
  <w:style w:type="paragraph" w:customStyle="1" w:styleId="BodySmallRight">
    <w:name w:val="Body Small Right"/>
    <w:basedOn w:val="BodyTextRight"/>
    <w:rsid w:val="00A41892"/>
    <w:rPr>
      <w:sz w:val="18"/>
      <w:szCs w:val="18"/>
    </w:rPr>
  </w:style>
  <w:style w:type="paragraph" w:customStyle="1" w:styleId="MarginEdition">
    <w:name w:val="Margin Edition"/>
    <w:basedOn w:val="MarginNote"/>
    <w:rsid w:val="00A41892"/>
    <w:pPr>
      <w:spacing w:before="0" w:after="0"/>
    </w:pPr>
    <w:rPr>
      <w:rFonts w:ascii="Times New Roman" w:hAnsi="Times New Roman"/>
      <w:color w:val="999999"/>
    </w:rPr>
  </w:style>
  <w:style w:type="paragraph" w:customStyle="1" w:styleId="Spacer">
    <w:name w:val="Spacer"/>
    <w:basedOn w:val="Normal"/>
    <w:rsid w:val="00A41892"/>
    <w:rPr>
      <w:sz w:val="2"/>
      <w:szCs w:val="2"/>
    </w:rPr>
  </w:style>
  <w:style w:type="character" w:customStyle="1" w:styleId="Small">
    <w:name w:val="Small"/>
    <w:basedOn w:val="DefaultParagraphFont"/>
    <w:rsid w:val="00A41892"/>
    <w:rPr>
      <w:sz w:val="16"/>
    </w:rPr>
  </w:style>
  <w:style w:type="paragraph" w:customStyle="1" w:styleId="WideTable">
    <w:name w:val="Wide Table"/>
    <w:basedOn w:val="Normal"/>
    <w:rsid w:val="00A41892"/>
    <w:pPr>
      <w:ind w:left="-1418"/>
    </w:pPr>
    <w:rPr>
      <w:sz w:val="2"/>
      <w:szCs w:val="2"/>
    </w:rPr>
  </w:style>
  <w:style w:type="character" w:styleId="PageNumber">
    <w:name w:val="page number"/>
    <w:basedOn w:val="DefaultParagraphFont"/>
    <w:rsid w:val="00A41892"/>
  </w:style>
  <w:style w:type="paragraph" w:styleId="Quote">
    <w:name w:val="Quote"/>
    <w:basedOn w:val="Heading1"/>
    <w:link w:val="QuoteChar"/>
    <w:qFormat/>
    <w:rsid w:val="00A41892"/>
    <w:rPr>
      <w:b w:val="0"/>
      <w:sz w:val="72"/>
      <w:szCs w:val="72"/>
      <w:lang w:val="en-NZ"/>
    </w:rPr>
  </w:style>
  <w:style w:type="character" w:customStyle="1" w:styleId="QuoteChar">
    <w:name w:val="Quote Char"/>
    <w:basedOn w:val="DefaultParagraphFont"/>
    <w:link w:val="Quote"/>
    <w:rsid w:val="00A41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892"/>
    <w:pPr>
      <w:pageBreakBefore/>
    </w:pPr>
  </w:style>
  <w:style w:type="paragraph" w:customStyle="1" w:styleId="Border">
    <w:name w:val="Border"/>
    <w:basedOn w:val="Normal"/>
    <w:qFormat/>
    <w:rsid w:val="00A41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892"/>
    <w:rPr>
      <w:b/>
      <w:bCs/>
      <w:i/>
      <w:iCs/>
      <w:color w:val="auto"/>
    </w:rPr>
  </w:style>
  <w:style w:type="paragraph" w:styleId="IntenseQuote">
    <w:name w:val="Intense Quote"/>
    <w:basedOn w:val="Normal"/>
    <w:next w:val="Normal"/>
    <w:link w:val="IntenseQuoteChar"/>
    <w:uiPriority w:val="30"/>
    <w:qFormat/>
    <w:rsid w:val="00A41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8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1892"/>
    <w:rPr>
      <w:smallCaps/>
      <w:color w:val="auto"/>
      <w:u w:val="single"/>
    </w:rPr>
  </w:style>
  <w:style w:type="character" w:styleId="IntenseReference">
    <w:name w:val="Intense Reference"/>
    <w:basedOn w:val="DefaultParagraphFont"/>
    <w:uiPriority w:val="32"/>
    <w:qFormat/>
    <w:rsid w:val="00A41892"/>
    <w:rPr>
      <w:b/>
      <w:bCs/>
      <w:smallCaps/>
      <w:color w:val="auto"/>
      <w:spacing w:val="5"/>
      <w:u w:val="single"/>
    </w:rPr>
  </w:style>
  <w:style w:type="paragraph" w:customStyle="1" w:styleId="2ColumnHeading">
    <w:name w:val="2Column Heading"/>
    <w:basedOn w:val="BodyText"/>
    <w:qFormat/>
    <w:rsid w:val="00A41892"/>
    <w:pPr>
      <w:spacing w:after="60"/>
      <w:ind w:left="-2268"/>
    </w:pPr>
    <w:rPr>
      <w:b/>
    </w:rPr>
  </w:style>
  <w:style w:type="paragraph" w:customStyle="1" w:styleId="Heading1TOC">
    <w:name w:val="Heading1 TOC"/>
    <w:basedOn w:val="Normal"/>
    <w:qFormat/>
    <w:rsid w:val="00A41892"/>
    <w:pPr>
      <w:spacing w:before="240" w:after="120"/>
    </w:pPr>
    <w:rPr>
      <w:rFonts w:ascii="Times New Roman" w:hAnsi="Times New Roman"/>
      <w:b/>
      <w:sz w:val="32"/>
    </w:rPr>
  </w:style>
  <w:style w:type="paragraph" w:customStyle="1" w:styleId="Heading2TOC">
    <w:name w:val="Heading2 TOC"/>
    <w:basedOn w:val="Normal"/>
    <w:qFormat/>
    <w:rsid w:val="00A41892"/>
    <w:pPr>
      <w:spacing w:before="240" w:after="60"/>
    </w:pPr>
    <w:rPr>
      <w:rFonts w:ascii="Times New Roman" w:hAnsi="Times New Roman"/>
      <w:b/>
      <w:sz w:val="28"/>
    </w:rPr>
  </w:style>
  <w:style w:type="character" w:customStyle="1" w:styleId="Underline">
    <w:name w:val="Underline"/>
    <w:basedOn w:val="DefaultParagraphFont"/>
    <w:qFormat/>
    <w:rsid w:val="00A41892"/>
    <w:rPr>
      <w:u w:val="single"/>
    </w:rPr>
  </w:style>
  <w:style w:type="character" w:customStyle="1" w:styleId="BoldandItalics">
    <w:name w:val="Bold and Italics"/>
    <w:qFormat/>
    <w:rsid w:val="00A41892"/>
    <w:rPr>
      <w:b/>
      <w:i/>
      <w:u w:val="none"/>
    </w:rPr>
  </w:style>
  <w:style w:type="paragraph" w:styleId="BalloonText">
    <w:name w:val="Balloon Text"/>
    <w:basedOn w:val="Normal"/>
    <w:link w:val="BalloonTextChar"/>
    <w:rsid w:val="00A41892"/>
    <w:rPr>
      <w:rFonts w:ascii="Tahoma" w:hAnsi="Tahoma" w:cs="Tahoma"/>
      <w:sz w:val="16"/>
      <w:szCs w:val="16"/>
    </w:rPr>
  </w:style>
  <w:style w:type="character" w:customStyle="1" w:styleId="BalloonTextChar">
    <w:name w:val="Balloon Text Char"/>
    <w:basedOn w:val="DefaultParagraphFont"/>
    <w:link w:val="BalloonText"/>
    <w:rsid w:val="00A418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8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8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1072</Words>
  <Characters>6807</Characters>
  <Application>Microsoft Office Word</Application>
  <DocSecurity>0</DocSecurity>
  <Lines>242</Lines>
  <Paragraphs>109</Paragraphs>
  <ScaleCrop>false</ScaleCrop>
  <Company>Author-it Software Corporation Ltd.</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MEM03002B Perform precision assembly</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2012-05-27T01:25:00Z</dcterms:created>
  <dcterms:modified xsi:type="dcterms:W3CDTF">2012-05-27T01:25:00Z</dcterms:modified>
</cp:coreProperties>
</file>