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46B" w:rsidP="0056246B">
      <w:pPr>
        <w:pStyle w:val="Title"/>
      </w:pPr>
      <w:r>
        <w:fldChar w:fldCharType="begin"/>
      </w:r>
      <w:r>
        <w:instrText xml:space="preserve"> TITLE   \* MERGEFORMAT </w:instrText>
      </w:r>
      <w:r>
        <w:fldChar w:fldCharType="separate"/>
      </w:r>
      <w:r>
        <w:t>MEM03001B Perform manual production assembly</w:t>
      </w:r>
      <w:r>
        <w:fldChar w:fldCharType="end"/>
      </w:r>
    </w:p>
    <w:p w:rsidR="0056246B" w:rsidP="0056246B">
      <w:pPr>
        <w:pStyle w:val="Version"/>
        <w:sectPr w:rsidSect="007B6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BE2" w:rsidP="007B6BE2">
      <w:pPr>
        <w:pStyle w:val="SuperHeading"/>
      </w:pPr>
      <w:r w:rsidRPr="007B6BE2">
        <w:t>MEM03001B Perform manual production assembly</w:t>
      </w:r>
    </w:p>
    <w:p w:rsidR="00000000" w:rsidRPr="007B6BE2" w:rsidP="007B6BE2">
      <w:pPr>
        <w:pStyle w:val="Heading1"/>
      </w:pPr>
      <w:bookmarkStart w:id="1" w:name="O_271967"/>
      <w:bookmarkEnd w:id="1"/>
      <w:r w:rsidRPr="007B6BE2">
        <w:t>Modification History</w:t>
      </w:r>
    </w:p>
    <w:p w:rsidR="00000000" w:rsidRPr="007B6BE2" w:rsidP="007B6BE2">
      <w:pPr>
        <w:pStyle w:val="BodyText"/>
      </w:pPr>
      <w:r w:rsidRPr="007B6BE2">
        <w:t>Not Applicable</w:t>
      </w:r>
    </w:p>
    <w:p w:rsidR="00000000" w:rsidRPr="007B6BE2" w:rsidP="007B6BE2">
      <w:pPr>
        <w:pStyle w:val="AllowPageBreak"/>
      </w:pPr>
    </w:p>
    <w:p w:rsidR="00000000" w:rsidRPr="007B6BE2" w:rsidP="007B6BE2">
      <w:pPr>
        <w:pStyle w:val="Heading1"/>
      </w:pPr>
      <w:bookmarkStart w:id="2" w:name="O_210207"/>
      <w:bookmarkEnd w:id="2"/>
      <w:r w:rsidRPr="007B6BE2">
        <w:t>Unit Descriptor</w:t>
      </w:r>
    </w:p>
    <w:tbl>
      <w:tblPr>
        <w:tblW w:w="0" w:type="auto"/>
        <w:tblLayout w:type="fixed"/>
        <w:tblCellMar>
          <w:left w:w="62" w:type="dxa"/>
          <w:right w:w="62" w:type="dxa"/>
        </w:tblCellMar>
        <w:tblLook w:val="0000"/>
      </w:tblPr>
      <w:tblGrid>
        <w:gridCol w:w="2667"/>
        <w:gridCol w:w="5855"/>
      </w:tblGrid>
      <w:tr w:rsidTr="0056246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This unit covers assembling components and/or sub-assemblies in a production environment and testing the c</w:t>
            </w:r>
            <w:r w:rsidRPr="007B6BE2">
              <w:t>omponents and/or sub-assemblies to ensure compliance with specifications.</w:t>
            </w:r>
          </w:p>
        </w:tc>
      </w:tr>
    </w:tbl>
    <w:p w:rsidR="0056246B" w:rsidP="007B6BE2">
      <w:pPr>
        <w:pStyle w:val="BodyText"/>
      </w:pPr>
    </w:p>
    <w:p w:rsidR="0056246B" w:rsidP="007B6BE2">
      <w:pPr>
        <w:pStyle w:val="BodyText"/>
      </w:pPr>
    </w:p>
    <w:p w:rsidR="00000000" w:rsidRPr="007B6BE2" w:rsidP="007B6BE2">
      <w:pPr>
        <w:pStyle w:val="Heading1"/>
      </w:pPr>
      <w:bookmarkStart w:id="3" w:name="O_210211"/>
      <w:bookmarkEnd w:id="3"/>
      <w:r w:rsidRPr="007B6BE2">
        <w:t>Application of the Unit</w:t>
      </w:r>
    </w:p>
    <w:tbl>
      <w:tblPr>
        <w:tblW w:w="0" w:type="auto"/>
        <w:tblLayout w:type="fixed"/>
        <w:tblCellMar>
          <w:left w:w="62" w:type="dxa"/>
          <w:right w:w="62" w:type="dxa"/>
        </w:tblCellMar>
        <w:tblLook w:val="0000"/>
      </w:tblPr>
      <w:tblGrid>
        <w:gridCol w:w="2745"/>
        <w:gridCol w:w="5777"/>
      </w:tblGrid>
      <w:tr w:rsidTr="0056246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This unit applies to production-orientated assembly operations that are essentially manual in nature and do not require complex adjustments.</w:t>
            </w:r>
          </w:p>
          <w:p w:rsidR="00000000" w:rsidRPr="007B6BE2" w:rsidP="007B6BE2">
            <w:pPr>
              <w:pStyle w:val="BodyText"/>
            </w:pPr>
            <w:r w:rsidRPr="007B6BE2">
              <w:t>This unit should not be selected when Unit MEM18055B (Dismantle, replace and assemble engineering components) has a</w:t>
            </w:r>
            <w:r w:rsidRPr="007B6BE2">
              <w:t xml:space="preserve">lready been selected. </w:t>
            </w:r>
          </w:p>
          <w:p w:rsidR="00000000" w:rsidRPr="007B6BE2" w:rsidP="007B6BE2">
            <w:pPr>
              <w:pStyle w:val="BodyText"/>
            </w:pPr>
            <w:r w:rsidRPr="007B6BE2">
              <w:t>Where the selection and use of tools is required as part of the assembly process, see Unit MEM18001C (Use hand tools) and Unit MEM18002B (Use power tools/hand held operations) as appropriate.</w:t>
            </w:r>
          </w:p>
          <w:p w:rsidR="00000000" w:rsidRPr="007B6BE2" w:rsidP="007B6BE2">
            <w:pPr>
              <w:pStyle w:val="BodyText"/>
            </w:pPr>
          </w:p>
          <w:p w:rsidR="00000000" w:rsidRPr="007B6BE2" w:rsidP="007B6BE2">
            <w:pPr>
              <w:pStyle w:val="BodyText"/>
            </w:pPr>
            <w:r w:rsidRPr="007B6BE2">
              <w:rPr>
                <w:rStyle w:val="SpecialBold"/>
              </w:rPr>
              <w:t>Band</w:t>
            </w:r>
            <w:r w:rsidRPr="007B6BE2">
              <w:t>:</w:t>
            </w:r>
            <w:r w:rsidRPr="007B6BE2">
              <w:tab/>
            </w:r>
            <w:r w:rsidRPr="007B6BE2">
              <w:rPr>
                <w:rStyle w:val="SpecialBold"/>
              </w:rPr>
              <w:t>A</w:t>
            </w:r>
          </w:p>
          <w:p w:rsidR="00000000" w:rsidRPr="007B6BE2" w:rsidP="007B6BE2">
            <w:pPr>
              <w:pStyle w:val="BodyText"/>
            </w:pPr>
            <w:r w:rsidRPr="007B6BE2">
              <w:rPr>
                <w:rStyle w:val="SpecialBold"/>
              </w:rPr>
              <w:t>Unit Weight</w:t>
            </w:r>
            <w:r w:rsidRPr="007B6BE2">
              <w:t>:</w:t>
            </w:r>
            <w:r w:rsidRPr="007B6BE2">
              <w:tab/>
            </w:r>
            <w:r w:rsidRPr="007B6BE2">
              <w:rPr>
                <w:rStyle w:val="SpecialBold"/>
              </w:rPr>
              <w:t>4</w:t>
            </w:r>
          </w:p>
        </w:tc>
      </w:tr>
    </w:tbl>
    <w:p w:rsidR="0056246B" w:rsidP="007B6BE2">
      <w:pPr>
        <w:pStyle w:val="BodyText"/>
      </w:pPr>
    </w:p>
    <w:p w:rsidR="0056246B" w:rsidP="007B6BE2">
      <w:pPr>
        <w:pStyle w:val="BodyText"/>
      </w:pPr>
    </w:p>
    <w:p w:rsidR="00000000" w:rsidRPr="007B6BE2" w:rsidP="007B6BE2">
      <w:pPr>
        <w:pStyle w:val="Heading1"/>
      </w:pPr>
      <w:bookmarkStart w:id="4" w:name="O_280227"/>
      <w:bookmarkEnd w:id="4"/>
      <w:r w:rsidRPr="007B6BE2">
        <w:t>Licensing/Regulatory Information</w:t>
      </w:r>
    </w:p>
    <w:p w:rsidR="00000000" w:rsidRPr="007B6BE2" w:rsidP="007B6BE2">
      <w:pPr>
        <w:pStyle w:val="BodyText"/>
      </w:pPr>
      <w:r w:rsidRPr="007B6BE2">
        <w:t>Not Applicable</w:t>
      </w:r>
    </w:p>
    <w:p w:rsidR="00000000" w:rsidRPr="007B6BE2" w:rsidP="007B6BE2">
      <w:pPr>
        <w:pStyle w:val="AllowPageBreak"/>
      </w:pPr>
    </w:p>
    <w:p w:rsidR="00000000" w:rsidRPr="007B6BE2" w:rsidP="007B6BE2">
      <w:pPr>
        <w:pStyle w:val="Heading1"/>
      </w:pPr>
      <w:bookmarkStart w:id="5" w:name="O_210209"/>
      <w:bookmarkEnd w:id="5"/>
      <w:r w:rsidRPr="007B6BE2">
        <w:t>Pre-Requisites</w:t>
      </w:r>
    </w:p>
    <w:tbl>
      <w:tblPr>
        <w:tblW w:w="0" w:type="auto"/>
        <w:tblLayout w:type="fixed"/>
        <w:tblCellMar>
          <w:left w:w="62" w:type="dxa"/>
          <w:right w:w="62" w:type="dxa"/>
        </w:tblCellMar>
        <w:tblLook w:val="0000"/>
      </w:tblPr>
      <w:tblGrid>
        <w:gridCol w:w="2775"/>
        <w:gridCol w:w="1295"/>
        <w:gridCol w:w="4452"/>
      </w:tblGrid>
      <w:tr w:rsidTr="005624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p>
        </w:tc>
      </w:tr>
      <w:tr w:rsidTr="005624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p>
        </w:tc>
      </w:tr>
      <w:tr w:rsidTr="005624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p>
        </w:tc>
      </w:tr>
    </w:tbl>
    <w:p w:rsidR="0056246B" w:rsidP="007B6BE2">
      <w:pPr>
        <w:pStyle w:val="BodyText"/>
      </w:pPr>
    </w:p>
    <w:p w:rsidR="0056246B" w:rsidP="007B6BE2">
      <w:pPr>
        <w:pStyle w:val="BodyText"/>
      </w:pPr>
    </w:p>
    <w:p w:rsidR="00000000" w:rsidRPr="007B6BE2" w:rsidP="007B6BE2">
      <w:pPr>
        <w:pStyle w:val="Heading1"/>
      </w:pPr>
      <w:bookmarkStart w:id="6" w:name="O_210208"/>
      <w:bookmarkEnd w:id="6"/>
      <w:r w:rsidRPr="007B6BE2">
        <w:t>Employability Skills Information</w:t>
      </w:r>
    </w:p>
    <w:tbl>
      <w:tblPr>
        <w:tblW w:w="0" w:type="auto"/>
        <w:tblLayout w:type="fixed"/>
        <w:tblCellMar>
          <w:left w:w="62" w:type="dxa"/>
          <w:right w:w="62" w:type="dxa"/>
        </w:tblCellMar>
        <w:tblLook w:val="0000"/>
      </w:tblPr>
      <w:tblGrid>
        <w:gridCol w:w="2802"/>
        <w:gridCol w:w="5720"/>
      </w:tblGrid>
      <w:tr w:rsidTr="005624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This unit contains employability skills.</w:t>
            </w:r>
          </w:p>
        </w:tc>
      </w:tr>
    </w:tbl>
    <w:p w:rsidR="0056246B" w:rsidP="007B6BE2">
      <w:pPr>
        <w:pStyle w:val="BodyText"/>
      </w:pPr>
    </w:p>
    <w:p w:rsidR="0056246B" w:rsidP="007B6BE2">
      <w:pPr>
        <w:pStyle w:val="BodyText"/>
      </w:pPr>
    </w:p>
    <w:p w:rsidR="00000000" w:rsidRPr="007B6BE2" w:rsidP="007B6BE2">
      <w:pPr>
        <w:pStyle w:val="Heading1"/>
      </w:pPr>
      <w:bookmarkStart w:id="7" w:name="O_290013"/>
      <w:bookmarkEnd w:id="7"/>
      <w:r w:rsidRPr="007B6BE2">
        <w:t>Elements and Performance Criteria Pre-Content</w:t>
      </w:r>
    </w:p>
    <w:tbl>
      <w:tblPr>
        <w:tblW w:w="0" w:type="auto"/>
        <w:tblLayout w:type="fixed"/>
        <w:tblCellMar>
          <w:left w:w="62" w:type="dxa"/>
          <w:right w:w="62" w:type="dxa"/>
        </w:tblCellMar>
        <w:tblLook w:val="0000"/>
      </w:tblPr>
      <w:tblGrid>
        <w:gridCol w:w="2538"/>
        <w:gridCol w:w="5984"/>
      </w:tblGrid>
      <w:tr w:rsidTr="0056246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Performance criteria describe the performance needed to demonstrate achievement of the element. Where bold italicised text is used, further info</w:t>
            </w:r>
            <w:r w:rsidRPr="007B6BE2">
              <w:t>rmation is detailed in the required skills and knowledge section and the range statement. Assessment of performance is to be consistent with the evidence guide.</w:t>
            </w:r>
          </w:p>
        </w:tc>
      </w:tr>
    </w:tbl>
    <w:p w:rsidR="00000000" w:rsidRPr="007B6BE2" w:rsidP="007B6BE2">
      <w:pPr>
        <w:pStyle w:val="BodyText"/>
      </w:pPr>
    </w:p>
    <w:p w:rsidR="00000000" w:rsidRPr="007B6BE2" w:rsidP="007B6BE2">
      <w:pPr>
        <w:pStyle w:val="AllowPageBreak"/>
      </w:pPr>
    </w:p>
    <w:p w:rsidR="00000000" w:rsidRPr="007B6BE2" w:rsidP="007B6BE2">
      <w:pPr>
        <w:pStyle w:val="Heading1"/>
      </w:pPr>
      <w:bookmarkStart w:id="8" w:name="O_236680"/>
      <w:bookmarkEnd w:id="8"/>
      <w:r w:rsidRPr="007B6BE2">
        <w:t>Elements and Performance Criteria</w:t>
      </w:r>
    </w:p>
    <w:tbl>
      <w:tblPr>
        <w:tblW w:w="0" w:type="auto"/>
        <w:tblLayout w:type="fixed"/>
        <w:tblCellMar>
          <w:left w:w="62" w:type="dxa"/>
          <w:right w:w="62" w:type="dxa"/>
        </w:tblCellMar>
        <w:tblLook w:val="0000"/>
      </w:tblPr>
      <w:tblGrid>
        <w:gridCol w:w="2538"/>
        <w:gridCol w:w="5984"/>
      </w:tblGrid>
      <w:tr w:rsidTr="0056246B">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PERFORMANCE CRITERIA</w:t>
            </w:r>
          </w:p>
        </w:tc>
      </w:tr>
      <w:tr w:rsidTr="0056246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List"/>
              <w:rPr>
                <w:lang w:val="en-NZ"/>
              </w:rPr>
            </w:pPr>
            <w:r w:rsidRPr="007B6BE2">
              <w:t>1.</w:t>
            </w:r>
            <w:r w:rsidRPr="007B6BE2">
              <w:tab/>
            </w:r>
            <w:r w:rsidRPr="007B6BE2">
              <w:t>Read and understand job sheets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List2"/>
              <w:rPr>
                <w:lang w:val="en-NZ"/>
              </w:rPr>
            </w:pPr>
            <w:r w:rsidRPr="007B6BE2">
              <w:t>1.1.</w:t>
            </w:r>
            <w:r w:rsidRPr="007B6BE2">
              <w:tab/>
              <w:t>Job sheets and instructions are understood and followed correctly.</w:t>
            </w:r>
          </w:p>
        </w:tc>
      </w:tr>
      <w:tr w:rsidTr="0056246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List"/>
              <w:rPr>
                <w:lang w:val="en-NZ"/>
              </w:rPr>
            </w:pPr>
            <w:r w:rsidRPr="007B6BE2">
              <w:t>2.</w:t>
            </w:r>
            <w:r w:rsidRPr="007B6BE2">
              <w:tab/>
              <w:t>Select assembly equipment and components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List2"/>
            </w:pPr>
            <w:r w:rsidRPr="007B6BE2">
              <w:t>2.1.</w:t>
            </w:r>
            <w:r w:rsidRPr="007B6BE2">
              <w:tab/>
            </w:r>
            <w:r w:rsidRPr="007B6BE2">
              <w:t>Assembly equipment is selected according to instructions or job sheets and used to standard operating procedures.</w:t>
            </w:r>
          </w:p>
          <w:p w:rsidR="00000000" w:rsidRPr="007B6BE2" w:rsidP="007B6BE2">
            <w:pPr>
              <w:pStyle w:val="List2"/>
            </w:pPr>
            <w:r w:rsidRPr="007B6BE2">
              <w:t>2.2.</w:t>
            </w:r>
            <w:r w:rsidRPr="007B6BE2">
              <w:tab/>
              <w:t>Components/sub-assemblies are obtained and arranged for assembly.</w:t>
            </w:r>
          </w:p>
          <w:p w:rsidR="00000000" w:rsidP="007B6BE2">
            <w:pPr>
              <w:pStyle w:val="List2"/>
              <w:rPr>
                <w:lang w:val="en-NZ"/>
              </w:rPr>
            </w:pPr>
            <w:r w:rsidRPr="007B6BE2">
              <w:t>2.3.</w:t>
            </w:r>
            <w:r w:rsidRPr="007B6BE2">
              <w:tab/>
              <w:t>Equipment/tools are used in a safe manner.</w:t>
            </w:r>
          </w:p>
        </w:tc>
      </w:tr>
      <w:tr w:rsidTr="0056246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List"/>
              <w:rPr>
                <w:lang w:val="en-NZ"/>
              </w:rPr>
            </w:pPr>
            <w:r w:rsidRPr="007B6BE2">
              <w:t>3.</w:t>
            </w:r>
            <w:r w:rsidRPr="007B6BE2">
              <w:tab/>
              <w:t>Assemble components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List2"/>
            </w:pPr>
            <w:r w:rsidRPr="007B6BE2">
              <w:t>3.1.</w:t>
            </w:r>
            <w:r w:rsidRPr="007B6BE2">
              <w:tab/>
              <w:t>Assembly is produced following correct sequence of operations, using selected equipment to standard operating procedures.</w:t>
            </w:r>
          </w:p>
          <w:p w:rsidR="00000000" w:rsidP="007B6BE2">
            <w:pPr>
              <w:pStyle w:val="List2"/>
              <w:rPr>
                <w:lang w:val="en-NZ"/>
              </w:rPr>
            </w:pPr>
            <w:r w:rsidRPr="007B6BE2">
              <w:t>3.2.</w:t>
            </w:r>
            <w:r w:rsidRPr="007B6BE2">
              <w:tab/>
              <w:t>Production data is recorded/input to standard operating procedures.</w:t>
            </w:r>
          </w:p>
        </w:tc>
      </w:tr>
      <w:tr w:rsidTr="0056246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List"/>
              <w:rPr>
                <w:lang w:val="en-NZ"/>
              </w:rPr>
            </w:pPr>
            <w:r w:rsidRPr="007B6BE2">
              <w:t>4.</w:t>
            </w:r>
            <w:r w:rsidRPr="007B6BE2">
              <w:tab/>
              <w:t>Perform tests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List2"/>
              <w:rPr>
                <w:lang w:val="en-NZ"/>
              </w:rPr>
            </w:pPr>
            <w:r w:rsidRPr="007B6BE2">
              <w:t>4.1.</w:t>
            </w:r>
            <w:r w:rsidRPr="007B6BE2">
              <w:tab/>
              <w:t>Assembly is tested/checked for c</w:t>
            </w:r>
            <w:r w:rsidRPr="007B6BE2">
              <w:t>ompliance to job sheet requirements, following standard operating procedures as required.</w:t>
            </w:r>
          </w:p>
        </w:tc>
      </w:tr>
      <w:tr w:rsidTr="0056246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List"/>
              <w:rPr>
                <w:lang w:val="en-NZ"/>
              </w:rPr>
            </w:pPr>
            <w:r w:rsidRPr="007B6BE2">
              <w:t>5.</w:t>
            </w:r>
            <w:r w:rsidRPr="007B6BE2">
              <w:tab/>
              <w:t>Protect assembly from damage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List2"/>
            </w:pPr>
            <w:r w:rsidRPr="007B6BE2">
              <w:t>5.1.</w:t>
            </w:r>
            <w:r w:rsidRPr="007B6BE2">
              <w:tab/>
              <w:t>Components and/or assemblies are handled and stored safely, in a manner least likely to cause damage.</w:t>
            </w:r>
          </w:p>
        </w:tc>
      </w:tr>
    </w:tbl>
    <w:p w:rsidR="0056246B" w:rsidP="007B6BE2">
      <w:pPr>
        <w:pStyle w:val="BodyText"/>
      </w:pPr>
    </w:p>
    <w:p w:rsidR="0056246B" w:rsidP="007B6BE2">
      <w:pPr>
        <w:pStyle w:val="BodyText"/>
      </w:pPr>
    </w:p>
    <w:p w:rsidR="00000000" w:rsidRPr="007B6BE2" w:rsidP="007B6BE2">
      <w:pPr>
        <w:pStyle w:val="Heading1"/>
      </w:pPr>
      <w:bookmarkStart w:id="9" w:name="O_260630"/>
      <w:bookmarkEnd w:id="9"/>
      <w:r w:rsidRPr="007B6BE2">
        <w:t>Required Skills and Knowledge</w:t>
      </w:r>
    </w:p>
    <w:tbl>
      <w:tblPr>
        <w:tblW w:w="0" w:type="auto"/>
        <w:tblLayout w:type="fixed"/>
        <w:tblCellMar>
          <w:left w:w="62" w:type="dxa"/>
          <w:right w:w="62" w:type="dxa"/>
        </w:tblCellMar>
        <w:tblLook w:val="0000"/>
      </w:tblPr>
      <w:tblGrid>
        <w:gridCol w:w="8522"/>
      </w:tblGrid>
      <w:tr w:rsidTr="005624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REQUIRED SKILLS AND KNOWLEDGE</w:t>
            </w:r>
          </w:p>
        </w:tc>
      </w:tr>
      <w:tr w:rsidTr="005624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This section describes the skills and knowledge required for this unit.</w:t>
            </w:r>
          </w:p>
        </w:tc>
      </w:tr>
      <w:tr w:rsidTr="005624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Required skills</w:t>
            </w:r>
          </w:p>
        </w:tc>
      </w:tr>
      <w:tr w:rsidTr="005624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Look for evidence that confirms skills in:</w:t>
            </w:r>
          </w:p>
          <w:p w:rsidR="00000000" w:rsidRPr="007B6BE2" w:rsidP="007B6BE2">
            <w:pPr>
              <w:pStyle w:val="ListBullet"/>
            </w:pPr>
            <w:r w:rsidRPr="007B6BE2">
              <w:t>following job instructions and standard operating procedures</w:t>
            </w:r>
          </w:p>
          <w:p w:rsidR="00000000" w:rsidRPr="007B6BE2" w:rsidP="007B6BE2">
            <w:pPr>
              <w:pStyle w:val="ListBullet"/>
            </w:pPr>
            <w:r w:rsidRPr="007B6BE2">
              <w:t>selecting and using assembly tools, components and sub-assemblies</w:t>
            </w:r>
          </w:p>
          <w:p w:rsidR="00000000" w:rsidRPr="007B6BE2" w:rsidP="007B6BE2">
            <w:pPr>
              <w:pStyle w:val="ListBullet"/>
            </w:pPr>
            <w:r w:rsidRPr="007B6BE2">
              <w:t>entering routine and familiar information onto proformas and other standard workplace forms</w:t>
            </w:r>
          </w:p>
          <w:p w:rsidR="00000000" w:rsidP="007B6BE2">
            <w:pPr>
              <w:pStyle w:val="ListBullet"/>
              <w:rPr>
                <w:lang w:val="en-NZ"/>
              </w:rPr>
            </w:pPr>
            <w:r w:rsidRPr="007B6BE2">
              <w:t>following oral instruction</w:t>
            </w:r>
          </w:p>
        </w:tc>
      </w:tr>
      <w:tr w:rsidTr="005624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 xml:space="preserve">Required </w:t>
            </w:r>
            <w:r w:rsidRPr="007B6BE2">
              <w:rPr>
                <w:rStyle w:val="SpecialBold"/>
              </w:rPr>
              <w:t>knowledge</w:t>
            </w:r>
          </w:p>
        </w:tc>
      </w:tr>
      <w:tr w:rsidTr="005624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Look for evidence that confirms knowledge of:</w:t>
            </w:r>
          </w:p>
          <w:p w:rsidR="00000000" w:rsidRPr="007B6BE2" w:rsidP="007B6BE2">
            <w:pPr>
              <w:pStyle w:val="ListBullet"/>
            </w:pPr>
            <w:r w:rsidRPr="007B6BE2">
              <w:t>application and use of assembly tools and equipment</w:t>
            </w:r>
          </w:p>
          <w:p w:rsidR="00000000" w:rsidRPr="007B6BE2" w:rsidP="007B6BE2">
            <w:pPr>
              <w:pStyle w:val="ListBullet"/>
            </w:pPr>
            <w:r w:rsidRPr="007B6BE2">
              <w:t>sequence in which the assemblies are to be performed</w:t>
            </w:r>
          </w:p>
          <w:p w:rsidR="00000000" w:rsidRPr="007B6BE2" w:rsidP="007B6BE2">
            <w:pPr>
              <w:pStyle w:val="ListBullet"/>
            </w:pPr>
            <w:r w:rsidRPr="007B6BE2">
              <w:t>storage location of the component/sub-assemblies</w:t>
            </w:r>
          </w:p>
          <w:p w:rsidR="00000000" w:rsidRPr="007B6BE2" w:rsidP="007B6BE2">
            <w:pPr>
              <w:pStyle w:val="ListBullet"/>
            </w:pPr>
            <w:r w:rsidRPr="007B6BE2">
              <w:t>required tests and checks</w:t>
            </w:r>
          </w:p>
          <w:p w:rsidR="00000000" w:rsidRPr="007B6BE2" w:rsidP="007B6BE2">
            <w:pPr>
              <w:pStyle w:val="ListBullet"/>
            </w:pPr>
            <w:r w:rsidRPr="007B6BE2">
              <w:t>requi</w:t>
            </w:r>
            <w:r w:rsidRPr="007B6BE2">
              <w:t>red action for non-conformance</w:t>
            </w:r>
          </w:p>
          <w:p w:rsidR="00000000" w:rsidRPr="007B6BE2" w:rsidP="007B6BE2">
            <w:pPr>
              <w:pStyle w:val="ListBullet"/>
            </w:pPr>
            <w:r w:rsidRPr="007B6BE2">
              <w:t>potential damage through the use of inappropriate handling and/or unsafe storage procedures</w:t>
            </w:r>
          </w:p>
          <w:p w:rsidR="00000000" w:rsidRPr="007B6BE2" w:rsidP="007B6BE2">
            <w:pPr>
              <w:pStyle w:val="ListBullet"/>
            </w:pPr>
            <w:r w:rsidRPr="007B6BE2">
              <w:t>use and application of personal protective equipment</w:t>
            </w:r>
          </w:p>
          <w:p w:rsidR="00000000" w:rsidRPr="007B6BE2" w:rsidP="007B6BE2">
            <w:pPr>
              <w:pStyle w:val="ListBullet"/>
            </w:pPr>
            <w:r w:rsidRPr="007B6BE2">
              <w:t>safe work practices and procedures</w:t>
            </w:r>
          </w:p>
          <w:p w:rsidR="00000000" w:rsidRPr="007B6BE2" w:rsidP="007B6BE2">
            <w:pPr>
              <w:pStyle w:val="ListBullet"/>
            </w:pPr>
            <w:r w:rsidRPr="007B6BE2">
              <w:t xml:space="preserve">hazards and control measures associated with </w:t>
            </w:r>
            <w:r w:rsidRPr="007B6BE2">
              <w:t>manual production assembly</w:t>
            </w:r>
          </w:p>
        </w:tc>
      </w:tr>
    </w:tbl>
    <w:p w:rsidR="0056246B" w:rsidP="007B6BE2">
      <w:pPr>
        <w:pStyle w:val="BodyText"/>
      </w:pPr>
    </w:p>
    <w:p w:rsidR="0056246B" w:rsidP="007B6BE2">
      <w:pPr>
        <w:pStyle w:val="BodyText"/>
      </w:pPr>
    </w:p>
    <w:p w:rsidR="00000000" w:rsidRPr="007B6BE2" w:rsidP="007B6BE2">
      <w:pPr>
        <w:pStyle w:val="AllowPageBreak"/>
      </w:pPr>
    </w:p>
    <w:p w:rsidR="00000000" w:rsidRPr="007B6BE2" w:rsidP="007B6BE2">
      <w:pPr>
        <w:pStyle w:val="Heading1"/>
      </w:pPr>
      <w:bookmarkStart w:id="10" w:name="O_244664"/>
      <w:bookmarkEnd w:id="10"/>
      <w:r w:rsidRPr="007B6BE2">
        <w:t>Evidence Guide</w:t>
      </w:r>
    </w:p>
    <w:tbl>
      <w:tblPr>
        <w:tblW w:w="9570" w:type="dxa"/>
        <w:tblLayout w:type="fixed"/>
        <w:tblCellMar>
          <w:left w:w="62" w:type="dxa"/>
          <w:right w:w="62" w:type="dxa"/>
        </w:tblCellMar>
        <w:tblLook w:val="0000"/>
      </w:tblPr>
      <w:tblGrid>
        <w:gridCol w:w="3908"/>
        <w:gridCol w:w="5662"/>
      </w:tblGrid>
      <w:tr w:rsidTr="005624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EVIDENCE GUIDE</w:t>
            </w:r>
          </w:p>
        </w:tc>
      </w:tr>
      <w:tr w:rsidTr="005624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 xml:space="preserve">The evidence guide provides advice on assessment and must be read in conjunction with the performance criteria, required skills and knowledge, </w:t>
            </w:r>
            <w:r w:rsidRPr="007B6BE2">
              <w:t>range statement and the Assessment Guidelines for the Training Package.</w:t>
            </w:r>
          </w:p>
        </w:tc>
      </w:tr>
      <w:tr w:rsidTr="00562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A person who demonstrates competency in this unit must be able to assemble components and/or sub-assemblies in a production environment and test the components</w:t>
            </w:r>
            <w:r w:rsidRPr="007B6BE2">
              <w:t xml:space="preserve"> and/or sub-assemblies to ensure compliance with specifications. </w:t>
            </w:r>
          </w:p>
        </w:tc>
      </w:tr>
      <w:tr w:rsidTr="00562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Assessors must be satisfied that the candidate can competently and consistently perform all elem</w:t>
            </w:r>
            <w:r w:rsidRPr="007B6BE2">
              <w:t>ents of the unit as specified by the criteria, including required knowledge, and be capable of applying the competency in new and different situations and contexts.</w:t>
            </w:r>
          </w:p>
        </w:tc>
      </w:tr>
      <w:tr w:rsidTr="00562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This unit may be assessed on the job, off</w:t>
            </w:r>
            <w:r w:rsidRPr="007B6BE2">
              <w:t xml:space="preserve"> the job or a combination of both on and off the job. Where assessment occurs off the job, that is the candidate is not in productive work, then an appropriate simulation must be used where the range of conditions reflects realistic workplace situations. T</w:t>
            </w:r>
            <w:r w:rsidRPr="007B6BE2">
              <w:t>he competencies covered by this unit would be demonstrated by an individual working alone or as part of a team. The assessment environment should not disadvantage the candidate.</w:t>
            </w:r>
          </w:p>
          <w:p w:rsidR="00000000" w:rsidP="007B6BE2">
            <w:pPr>
              <w:pStyle w:val="BodyText"/>
              <w:rPr>
                <w:lang w:val="en-NZ"/>
              </w:rPr>
            </w:pPr>
            <w:r w:rsidRPr="007B6BE2">
              <w:t>This unit could be assessed in conjunction with any other units addressing the safety, quality, communication, materials handling, recording and reporting associated with performing manual production assembly or other units requiring the exercise of the sk</w:t>
            </w:r>
            <w:r w:rsidRPr="007B6BE2">
              <w:t>ills and knowledge covered by this unit.</w:t>
            </w:r>
          </w:p>
        </w:tc>
      </w:tr>
      <w:tr w:rsidTr="00562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Assessors should gather a range of evidence that is valid, sufficient, current and authentic. Evidence can be gathered through a variety of ways including direct observation, supervisor's repor</w:t>
            </w:r>
            <w:r w:rsidRPr="007B6BE2">
              <w:t>ts, project work, samples and questioning. Questioning techniques should not require language, literacy and numeracy skills beyond those required in this unit of competency. The candidate must have access to all tools, equipment, materials and documentatio</w:t>
            </w:r>
            <w:r w:rsidRPr="007B6BE2">
              <w:t>n required. The candidate must be permitted to refer to any relevant workplace procedures, product and manufacturing specifications, codes, standards, manuals and reference materials.</w:t>
            </w:r>
          </w:p>
        </w:tc>
      </w:tr>
      <w:tr w:rsidTr="00562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p>
        </w:tc>
      </w:tr>
    </w:tbl>
    <w:p w:rsidR="0056246B" w:rsidP="007B6BE2">
      <w:pPr>
        <w:pStyle w:val="BodyText"/>
      </w:pPr>
    </w:p>
    <w:p w:rsidR="0056246B" w:rsidP="007B6BE2">
      <w:pPr>
        <w:pStyle w:val="BodyText"/>
      </w:pPr>
    </w:p>
    <w:p w:rsidR="00000000" w:rsidRPr="007B6BE2" w:rsidP="007B6BE2">
      <w:pPr>
        <w:pStyle w:val="Heading1"/>
      </w:pPr>
      <w:bookmarkStart w:id="11" w:name="O_252647"/>
      <w:bookmarkEnd w:id="11"/>
      <w:r w:rsidRPr="007B6BE2">
        <w:t>Range Statem</w:t>
      </w:r>
      <w:r w:rsidRPr="007B6BE2">
        <w:t>ent</w:t>
      </w:r>
    </w:p>
    <w:tbl>
      <w:tblPr>
        <w:tblW w:w="0" w:type="auto"/>
        <w:tblLayout w:type="fixed"/>
        <w:tblCellMar>
          <w:left w:w="62" w:type="dxa"/>
          <w:right w:w="62" w:type="dxa"/>
        </w:tblCellMar>
        <w:tblLook w:val="0000"/>
      </w:tblPr>
      <w:tblGrid>
        <w:gridCol w:w="3593"/>
        <w:gridCol w:w="4929"/>
      </w:tblGrid>
      <w:tr w:rsidTr="005624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RANGE STATEMENT</w:t>
            </w:r>
          </w:p>
        </w:tc>
      </w:tr>
      <w:tr w:rsidTr="005624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 xml:space="preserve">The range statement relates to the unit of competency as a whole. It allows for different work environments and situations that may affect </w:t>
            </w:r>
            <w:r w:rsidRPr="007B6BE2">
              <w:t>performance. Bold italicised wording, if used in the performance criteria, is detailed below. Essential operating conditions that may be present with training and assessment (depending on the work situation, needs of the candidate, accessibility of the ite</w:t>
            </w:r>
            <w:r w:rsidRPr="007B6BE2">
              <w:t>m, and local industry and regional contexts) may also be included.</w:t>
            </w:r>
          </w:p>
        </w:tc>
      </w:tr>
      <w:tr w:rsidTr="0056246B">
        <w:tblPrEx>
          <w:tblW w:w="0" w:type="auto"/>
          <w:tblLayout w:type="fixed"/>
          <w:tblCellMar>
            <w:left w:w="62" w:type="dxa"/>
            <w:right w:w="62" w:type="dxa"/>
          </w:tblCellMar>
          <w:tblLook w:val="0000"/>
        </w:tblPrEx>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Components</w:t>
            </w:r>
            <w:r w:rsidRPr="007B6BE2">
              <w:t>/</w:t>
            </w:r>
            <w:r w:rsidRPr="007B6BE2">
              <w:rPr>
                <w:rStyle w:val="SpecialBold"/>
              </w:rPr>
              <w:t>sub-assemblies</w:t>
            </w:r>
          </w:p>
        </w:tc>
        <w:tc>
          <w:tcPr>
            <w:tcW w:w="4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Parts that make up the sub-assembly and components</w:t>
            </w:r>
          </w:p>
        </w:tc>
      </w:tr>
      <w:tr w:rsidTr="0056246B">
        <w:tblPrEx>
          <w:tblW w:w="0" w:type="auto"/>
          <w:tblLayout w:type="fixed"/>
          <w:tblCellMar>
            <w:left w:w="62" w:type="dxa"/>
            <w:right w:w="62" w:type="dxa"/>
          </w:tblCellMar>
          <w:tblLook w:val="0000"/>
        </w:tblPrEx>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Recorded</w:t>
            </w:r>
            <w:r w:rsidRPr="007B6BE2">
              <w:t>/</w:t>
            </w:r>
            <w:r w:rsidRPr="007B6BE2">
              <w:rPr>
                <w:rStyle w:val="SpecialBold"/>
              </w:rPr>
              <w:t>input</w:t>
            </w:r>
          </w:p>
        </w:tc>
        <w:tc>
          <w:tcPr>
            <w:tcW w:w="4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t>By means of production schedules, job sheets, checklists</w:t>
            </w:r>
          </w:p>
        </w:tc>
      </w:tr>
      <w:tr w:rsidTr="0056246B">
        <w:tblPrEx>
          <w:tblW w:w="0" w:type="auto"/>
          <w:tblLayout w:type="fixed"/>
          <w:tblCellMar>
            <w:left w:w="62" w:type="dxa"/>
            <w:right w:w="62" w:type="dxa"/>
          </w:tblCellMar>
          <w:tblLook w:val="0000"/>
        </w:tblPrEx>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Tested</w:t>
            </w:r>
            <w:r w:rsidRPr="007B6BE2">
              <w:t>/</w:t>
            </w:r>
            <w:r w:rsidRPr="007B6BE2">
              <w:rPr>
                <w:rStyle w:val="SpecialBold"/>
              </w:rPr>
              <w:t>checked</w:t>
            </w:r>
          </w:p>
        </w:tc>
        <w:tc>
          <w:tcPr>
            <w:tcW w:w="4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Carried out according to specification of assembled product</w:t>
            </w:r>
          </w:p>
        </w:tc>
      </w:tr>
    </w:tbl>
    <w:p w:rsidR="0056246B" w:rsidP="007B6BE2">
      <w:pPr>
        <w:pStyle w:val="BodyText"/>
      </w:pPr>
    </w:p>
    <w:p w:rsidR="0056246B" w:rsidP="007B6BE2">
      <w:pPr>
        <w:pStyle w:val="BodyText"/>
      </w:pPr>
    </w:p>
    <w:p w:rsidR="00000000" w:rsidRPr="007B6BE2" w:rsidP="007B6BE2">
      <w:pPr>
        <w:pStyle w:val="Heading1"/>
      </w:pPr>
      <w:bookmarkStart w:id="12" w:name="O_210213"/>
      <w:bookmarkEnd w:id="12"/>
      <w:r w:rsidRPr="007B6BE2">
        <w:t>Unit Sector(s)</w:t>
      </w:r>
    </w:p>
    <w:tbl>
      <w:tblPr>
        <w:tblW w:w="0" w:type="auto"/>
        <w:tblLayout w:type="fixed"/>
        <w:tblCellMar>
          <w:left w:w="62" w:type="dxa"/>
          <w:right w:w="62" w:type="dxa"/>
        </w:tblCellMar>
        <w:tblLook w:val="0000"/>
      </w:tblPr>
      <w:tblGrid>
        <w:gridCol w:w="2654"/>
        <w:gridCol w:w="5868"/>
      </w:tblGrid>
      <w:tr w:rsidTr="005624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p>
        </w:tc>
      </w:tr>
    </w:tbl>
    <w:p w:rsidR="0056246B" w:rsidP="007B6BE2">
      <w:pPr>
        <w:pStyle w:val="BodyText"/>
      </w:pPr>
    </w:p>
    <w:p w:rsidR="0056246B" w:rsidP="007B6BE2">
      <w:pPr>
        <w:pStyle w:val="BodyText"/>
      </w:pPr>
    </w:p>
    <w:p w:rsidR="00000000" w:rsidRPr="007B6BE2" w:rsidP="007B6BE2">
      <w:pPr>
        <w:pStyle w:val="Heading1"/>
      </w:pPr>
      <w:bookmarkStart w:id="13" w:name="O_210210"/>
      <w:bookmarkEnd w:id="13"/>
      <w:r w:rsidRPr="007B6BE2">
        <w:t>Co-requisite units</w:t>
      </w:r>
    </w:p>
    <w:tbl>
      <w:tblPr>
        <w:tblW w:w="0" w:type="auto"/>
        <w:tblLayout w:type="fixed"/>
        <w:tblCellMar>
          <w:left w:w="62" w:type="dxa"/>
          <w:right w:w="62" w:type="dxa"/>
        </w:tblCellMar>
        <w:tblLook w:val="0000"/>
      </w:tblPr>
      <w:tblGrid>
        <w:gridCol w:w="2641"/>
        <w:gridCol w:w="1322"/>
        <w:gridCol w:w="4559"/>
      </w:tblGrid>
      <w:tr w:rsidTr="005624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p>
        </w:tc>
      </w:tr>
      <w:tr w:rsidTr="005624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p>
        </w:tc>
      </w:tr>
      <w:tr w:rsidTr="005624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p>
        </w:tc>
      </w:tr>
    </w:tbl>
    <w:p w:rsidR="0056246B" w:rsidP="007B6BE2">
      <w:pPr>
        <w:pStyle w:val="BodyText"/>
      </w:pPr>
    </w:p>
    <w:p w:rsidR="0056246B" w:rsidP="007B6BE2">
      <w:pPr>
        <w:pStyle w:val="BodyText"/>
      </w:pPr>
    </w:p>
    <w:p w:rsidR="00000000" w:rsidRPr="007B6BE2" w:rsidP="007B6BE2">
      <w:pPr>
        <w:pStyle w:val="Heading1"/>
      </w:pPr>
      <w:bookmarkStart w:id="14" w:name="O_210212"/>
      <w:bookmarkEnd w:id="14"/>
      <w:r w:rsidRPr="007B6BE2">
        <w:t>Competency field</w:t>
      </w:r>
    </w:p>
    <w:tbl>
      <w:tblPr>
        <w:tblW w:w="0" w:type="auto"/>
        <w:tblLayout w:type="fixed"/>
        <w:tblCellMar>
          <w:left w:w="62" w:type="dxa"/>
          <w:right w:w="62" w:type="dxa"/>
        </w:tblCellMar>
        <w:tblLook w:val="0000"/>
      </w:tblPr>
      <w:tblGrid>
        <w:gridCol w:w="2777"/>
        <w:gridCol w:w="5745"/>
      </w:tblGrid>
      <w:tr w:rsidTr="0056246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2">
            <w:pPr>
              <w:pStyle w:val="BodyText"/>
              <w:rPr>
                <w:lang w:val="en-NZ"/>
              </w:rPr>
            </w:pPr>
            <w:r w:rsidRPr="007B6BE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2" w:rsidP="007B6BE2">
            <w:pPr>
              <w:pStyle w:val="BodyText"/>
            </w:pPr>
            <w:r w:rsidRPr="007B6BE2">
              <w:t>Assembly</w:t>
            </w:r>
          </w:p>
        </w:tc>
      </w:tr>
    </w:tbl>
    <w:p w:rsidR="0056246B" w:rsidP="007B6BE2">
      <w:pPr>
        <w:pStyle w:val="BodyText"/>
      </w:pPr>
    </w:p>
    <w:p w:rsidR="0056246B" w:rsidP="007B6BE2">
      <w:pPr>
        <w:pStyle w:val="BodyText"/>
      </w:pPr>
    </w:p>
    <w:p w:rsidR="00000000" w:rsidRPr="007B6BE2" w:rsidP="007B6BE2"/>
    <w:sectPr w:rsidSect="007B6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46B" w:rsidP="00562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6B" w:rsidP="007B6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246B" w:rsidP="007B6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246B" w:rsidP="007B6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46B" w:rsidP="005624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6B" w:rsidP="007B6BE2">
    <w:pPr>
      <w:pStyle w:val="Header"/>
      <w:framePr w:wrap="around"/>
    </w:pPr>
    <w:r>
      <w:fldChar w:fldCharType="begin"/>
    </w:r>
    <w:r>
      <w:instrText xml:space="preserve"> TITLE   \* MERGEFORMAT </w:instrText>
    </w:r>
    <w:r>
      <w:fldChar w:fldCharType="separate"/>
    </w:r>
    <w:r>
      <w:t>MEM03001B Perform manual production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246B" w:rsidP="007B6B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46F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FC8A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B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6BE2"/>
    <w:pPr>
      <w:spacing w:before="360" w:after="60"/>
      <w:outlineLvl w:val="0"/>
    </w:pPr>
    <w:rPr>
      <w:sz w:val="32"/>
    </w:rPr>
  </w:style>
  <w:style w:type="paragraph" w:styleId="Heading2">
    <w:name w:val="heading 2"/>
    <w:basedOn w:val="HeadingBase"/>
    <w:next w:val="BodyText"/>
    <w:link w:val="Heading2Char"/>
    <w:qFormat/>
    <w:rsid w:val="007B6BE2"/>
    <w:pPr>
      <w:keepLines/>
      <w:spacing w:before="240" w:after="120"/>
      <w:outlineLvl w:val="1"/>
    </w:pPr>
    <w:rPr>
      <w:sz w:val="28"/>
      <w:szCs w:val="40"/>
    </w:rPr>
  </w:style>
  <w:style w:type="paragraph" w:styleId="Heading3">
    <w:name w:val="heading 3"/>
    <w:basedOn w:val="HeadingBase"/>
    <w:next w:val="BodyText"/>
    <w:link w:val="Heading3Char"/>
    <w:qFormat/>
    <w:rsid w:val="007B6BE2"/>
    <w:pPr>
      <w:spacing w:before="180" w:after="120"/>
      <w:outlineLvl w:val="2"/>
    </w:pPr>
    <w:rPr>
      <w:spacing w:val="-10"/>
      <w:kern w:val="32"/>
    </w:rPr>
  </w:style>
  <w:style w:type="paragraph" w:styleId="Heading4">
    <w:name w:val="heading 4"/>
    <w:basedOn w:val="HeadingBase"/>
    <w:next w:val="BodyText"/>
    <w:link w:val="Heading4Char"/>
    <w:qFormat/>
    <w:rsid w:val="007B6BE2"/>
    <w:pPr>
      <w:spacing w:before="160" w:after="120"/>
      <w:outlineLvl w:val="3"/>
    </w:pPr>
    <w:rPr>
      <w:sz w:val="22"/>
    </w:rPr>
  </w:style>
  <w:style w:type="paragraph" w:styleId="Heading5">
    <w:name w:val="heading 5"/>
    <w:basedOn w:val="HeadingBase"/>
    <w:next w:val="Normal"/>
    <w:link w:val="Heading5Char"/>
    <w:qFormat/>
    <w:rsid w:val="007B6BE2"/>
    <w:pPr>
      <w:spacing w:before="80"/>
      <w:outlineLvl w:val="4"/>
    </w:pPr>
    <w:rPr>
      <w:color w:val="918585"/>
      <w:sz w:val="20"/>
    </w:rPr>
  </w:style>
  <w:style w:type="paragraph" w:styleId="Heading6">
    <w:name w:val="heading 6"/>
    <w:basedOn w:val="HeadingBase"/>
    <w:next w:val="Normal"/>
    <w:link w:val="Heading6Char"/>
    <w:qFormat/>
    <w:rsid w:val="007B6BE2"/>
    <w:pPr>
      <w:spacing w:before="60"/>
      <w:outlineLvl w:val="5"/>
    </w:pPr>
    <w:rPr>
      <w:color w:val="918585"/>
      <w:sz w:val="20"/>
    </w:rPr>
  </w:style>
  <w:style w:type="paragraph" w:styleId="Heading7">
    <w:name w:val="heading 7"/>
    <w:basedOn w:val="Normal"/>
    <w:next w:val="Normal"/>
    <w:link w:val="Heading7Char"/>
    <w:qFormat/>
    <w:rsid w:val="007B6BE2"/>
    <w:pPr>
      <w:ind w:left="720"/>
      <w:outlineLvl w:val="6"/>
    </w:pPr>
    <w:rPr>
      <w:i/>
    </w:rPr>
  </w:style>
  <w:style w:type="paragraph" w:styleId="Heading8">
    <w:name w:val="heading 8"/>
    <w:basedOn w:val="Normal"/>
    <w:next w:val="Normal"/>
    <w:link w:val="Heading8Char"/>
    <w:qFormat/>
    <w:rsid w:val="007B6BE2"/>
    <w:pPr>
      <w:ind w:left="720"/>
      <w:outlineLvl w:val="7"/>
    </w:pPr>
    <w:rPr>
      <w:i/>
    </w:rPr>
  </w:style>
  <w:style w:type="paragraph" w:styleId="Heading9">
    <w:name w:val="heading 9"/>
    <w:basedOn w:val="Normal"/>
    <w:next w:val="Normal"/>
    <w:link w:val="Heading9Char"/>
    <w:qFormat/>
    <w:rsid w:val="007B6BE2"/>
    <w:pPr>
      <w:ind w:left="720"/>
      <w:outlineLvl w:val="8"/>
    </w:pPr>
    <w:rPr>
      <w:i/>
    </w:rPr>
  </w:style>
  <w:style w:type="character" w:default="1" w:styleId="DefaultParagraphFont">
    <w:name w:val="Default Paragraph Font"/>
    <w:uiPriority w:val="1"/>
    <w:unhideWhenUsed/>
    <w:rsid w:val="007B6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BE2"/>
  </w:style>
  <w:style w:type="character" w:customStyle="1" w:styleId="Heading1Char">
    <w:name w:val="Heading 1 Char"/>
    <w:basedOn w:val="DefaultParagraphFont"/>
    <w:link w:val="Heading1"/>
    <w:rsid w:val="007B6BE2"/>
    <w:rPr>
      <w:rFonts w:ascii="Times New Roman" w:eastAsia="Times New Roman" w:hAnsi="Times New Roman" w:cs="Times New Roman"/>
      <w:b/>
      <w:sz w:val="32"/>
      <w:szCs w:val="20"/>
      <w:lang w:eastAsia="en-US"/>
    </w:rPr>
  </w:style>
  <w:style w:type="paragraph" w:styleId="BodyText">
    <w:name w:val="Body Text"/>
    <w:basedOn w:val="Normal"/>
    <w:link w:val="BodyTextChar"/>
    <w:rsid w:val="007B6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6BE2"/>
    <w:rPr>
      <w:rFonts w:ascii="Times New Roman" w:eastAsia="Times New Roman" w:hAnsi="Times New Roman" w:cs="Times New Roman"/>
      <w:sz w:val="24"/>
      <w:lang w:val="en-US" w:eastAsia="en-US"/>
    </w:rPr>
  </w:style>
  <w:style w:type="paragraph" w:styleId="Footer">
    <w:name w:val="footer"/>
    <w:basedOn w:val="Normal"/>
    <w:link w:val="FooterChar"/>
    <w:rsid w:val="007B6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BE2"/>
    <w:rPr>
      <w:rFonts w:ascii="Times New Roman" w:eastAsia="Times New Roman" w:hAnsi="Times New Roman" w:cs="Times New Roman"/>
      <w:sz w:val="16"/>
      <w:lang w:val="en-US" w:eastAsia="en-US"/>
    </w:rPr>
  </w:style>
  <w:style w:type="paragraph" w:styleId="List">
    <w:name w:val="List"/>
    <w:basedOn w:val="BodyText"/>
    <w:next w:val="BodyText"/>
    <w:rsid w:val="007B6BE2"/>
    <w:pPr>
      <w:tabs>
        <w:tab w:val="left" w:pos="340"/>
      </w:tabs>
      <w:spacing w:before="60" w:after="60"/>
      <w:ind w:left="340" w:hanging="340"/>
    </w:pPr>
  </w:style>
  <w:style w:type="paragraph" w:styleId="ListBullet">
    <w:name w:val="List Bullet"/>
    <w:basedOn w:val="List"/>
    <w:rsid w:val="007B6BE2"/>
    <w:pPr>
      <w:numPr>
        <w:numId w:val="12"/>
      </w:numPr>
      <w:tabs>
        <w:tab w:val="clear" w:pos="340"/>
      </w:tabs>
      <w:spacing w:before="40" w:after="40"/>
    </w:pPr>
  </w:style>
  <w:style w:type="character" w:customStyle="1" w:styleId="SpecialBold">
    <w:name w:val="Special Bold"/>
    <w:basedOn w:val="DefaultParagraphFont"/>
    <w:rsid w:val="007B6BE2"/>
    <w:rPr>
      <w:b/>
      <w:spacing w:val="0"/>
    </w:rPr>
  </w:style>
  <w:style w:type="paragraph" w:styleId="Header">
    <w:name w:val="header"/>
    <w:basedOn w:val="Normal"/>
    <w:link w:val="HeaderChar"/>
    <w:rsid w:val="007B6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B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6BE2"/>
    <w:pPr>
      <w:spacing w:before="240" w:after="120"/>
      <w:outlineLvl w:val="0"/>
    </w:pPr>
    <w:rPr>
      <w:rFonts w:ascii="Times New Roman" w:hAnsi="Times New Roman"/>
      <w:b/>
      <w:sz w:val="28"/>
    </w:rPr>
  </w:style>
  <w:style w:type="paragraph" w:customStyle="1" w:styleId="AllowPageBreak">
    <w:name w:val="AllowPageBreak"/>
    <w:rsid w:val="007B6B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6BE2"/>
    <w:pPr>
      <w:tabs>
        <w:tab w:val="left" w:pos="680"/>
      </w:tabs>
      <w:spacing w:before="60" w:after="60"/>
      <w:ind w:left="680" w:hanging="340"/>
    </w:pPr>
  </w:style>
  <w:style w:type="character" w:customStyle="1" w:styleId="Heading2Char">
    <w:name w:val="Heading 2 Char"/>
    <w:basedOn w:val="DefaultParagraphFont"/>
    <w:link w:val="Heading2"/>
    <w:rsid w:val="007B6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B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6B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6BE2"/>
    <w:rPr>
      <w:rFonts w:ascii="Courier New" w:eastAsia="Times New Roman" w:hAnsi="Courier New" w:cs="Times New Roman"/>
      <w:i/>
      <w:szCs w:val="20"/>
      <w:lang w:val="en-US" w:eastAsia="en-US"/>
    </w:rPr>
  </w:style>
  <w:style w:type="paragraph" w:customStyle="1" w:styleId="HeadingBase">
    <w:name w:val="Heading Base"/>
    <w:rsid w:val="007B6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BE2"/>
    <w:pPr>
      <w:tabs>
        <w:tab w:val="right" w:leader="dot" w:pos="9072"/>
      </w:tabs>
      <w:ind w:left="567"/>
    </w:pPr>
    <w:rPr>
      <w:szCs w:val="22"/>
    </w:rPr>
  </w:style>
  <w:style w:type="paragraph" w:customStyle="1" w:styleId="TOCBase">
    <w:name w:val="TOC Base"/>
    <w:rsid w:val="007B6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BE2"/>
    <w:pPr>
      <w:tabs>
        <w:tab w:val="right" w:leader="dot" w:pos="9072"/>
      </w:tabs>
      <w:spacing w:before="40" w:after="40"/>
      <w:ind w:left="284"/>
    </w:pPr>
    <w:rPr>
      <w:rFonts w:ascii="Times New Roman" w:hAnsi="Times New Roman"/>
    </w:rPr>
  </w:style>
  <w:style w:type="paragraph" w:styleId="TOC1">
    <w:name w:val="toc 1"/>
    <w:basedOn w:val="TOCBase"/>
    <w:next w:val="Normal"/>
    <w:rsid w:val="007B6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6BE2"/>
    <w:pPr>
      <w:spacing w:before="5040"/>
      <w:jc w:val="center"/>
    </w:pPr>
    <w:rPr>
      <w:sz w:val="48"/>
      <w:szCs w:val="72"/>
      <w:lang w:val="en-US"/>
    </w:rPr>
  </w:style>
  <w:style w:type="character" w:customStyle="1" w:styleId="TitleChar">
    <w:name w:val="Title Char"/>
    <w:basedOn w:val="DefaultParagraphFont"/>
    <w:link w:val="Title"/>
    <w:rsid w:val="007B6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BE2"/>
    <w:pPr>
      <w:tabs>
        <w:tab w:val="left" w:pos="3600"/>
        <w:tab w:val="left" w:pos="3958"/>
      </w:tabs>
    </w:pPr>
  </w:style>
  <w:style w:type="paragraph" w:customStyle="1" w:styleId="Note">
    <w:name w:val="Note"/>
    <w:basedOn w:val="BodyText"/>
    <w:rsid w:val="007B6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BE2"/>
    <w:pPr>
      <w:framePr w:wrap="auto" w:hAnchor="text" w:y="6049"/>
    </w:pPr>
    <w:rPr>
      <w:color w:val="000000"/>
      <w:sz w:val="40"/>
    </w:rPr>
  </w:style>
  <w:style w:type="paragraph" w:customStyle="1" w:styleId="TOCTitle">
    <w:name w:val="TOCTitle"/>
    <w:basedOn w:val="Heading1"/>
    <w:rsid w:val="007B6BE2"/>
    <w:pPr>
      <w:spacing w:after="240"/>
      <w:jc w:val="center"/>
      <w:outlineLvl w:val="9"/>
    </w:pPr>
    <w:rPr>
      <w:caps/>
    </w:rPr>
  </w:style>
  <w:style w:type="paragraph" w:customStyle="1" w:styleId="Version">
    <w:name w:val="Version"/>
    <w:rsid w:val="007B6B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6BE2"/>
    <w:pPr>
      <w:numPr>
        <w:numId w:val="13"/>
      </w:numPr>
      <w:tabs>
        <w:tab w:val="clear" w:pos="680"/>
      </w:tabs>
    </w:pPr>
  </w:style>
  <w:style w:type="paragraph" w:styleId="Index1">
    <w:name w:val="index 1"/>
    <w:basedOn w:val="Normal"/>
    <w:next w:val="Normal"/>
    <w:semiHidden/>
    <w:rsid w:val="007B6BE2"/>
    <w:pPr>
      <w:keepNext w:val="0"/>
      <w:tabs>
        <w:tab w:val="right" w:pos="4176"/>
      </w:tabs>
      <w:ind w:left="198" w:hanging="198"/>
    </w:pPr>
    <w:rPr>
      <w:rFonts w:ascii="Garamond" w:hAnsi="Garamond"/>
    </w:rPr>
  </w:style>
  <w:style w:type="paragraph" w:styleId="IndexHeading">
    <w:name w:val="index heading"/>
    <w:basedOn w:val="Normal"/>
    <w:next w:val="Index1"/>
    <w:semiHidden/>
    <w:rsid w:val="007B6BE2"/>
    <w:pPr>
      <w:spacing w:before="120" w:after="120"/>
    </w:pPr>
    <w:rPr>
      <w:rFonts w:ascii="Arial" w:hAnsi="Arial"/>
      <w:b/>
      <w:color w:val="918585"/>
      <w:sz w:val="24"/>
    </w:rPr>
  </w:style>
  <w:style w:type="paragraph" w:customStyle="1" w:styleId="Chapter">
    <w:name w:val="Chapter"/>
    <w:basedOn w:val="Normal"/>
    <w:rsid w:val="007B6BE2"/>
    <w:pPr>
      <w:spacing w:before="240"/>
    </w:pPr>
    <w:rPr>
      <w:rFonts w:ascii="Times New Roman" w:hAnsi="Times New Roman"/>
      <w:smallCaps/>
      <w:spacing w:val="80"/>
      <w:sz w:val="28"/>
    </w:rPr>
  </w:style>
  <w:style w:type="paragraph" w:customStyle="1" w:styleId="InChapter">
    <w:name w:val="InChapter"/>
    <w:basedOn w:val="Heading3"/>
    <w:rsid w:val="007B6BE2"/>
    <w:pPr>
      <w:spacing w:after="240"/>
      <w:outlineLvl w:val="9"/>
    </w:pPr>
    <w:rPr>
      <w:noProof/>
    </w:rPr>
  </w:style>
  <w:style w:type="paragraph" w:styleId="Index2">
    <w:name w:val="index 2"/>
    <w:basedOn w:val="Normal"/>
    <w:next w:val="Normal"/>
    <w:semiHidden/>
    <w:rsid w:val="007B6BE2"/>
    <w:pPr>
      <w:tabs>
        <w:tab w:val="right" w:pos="4176"/>
      </w:tabs>
      <w:ind w:left="568" w:hanging="284"/>
    </w:pPr>
    <w:rPr>
      <w:rFonts w:ascii="Garamond" w:hAnsi="Garamond"/>
    </w:rPr>
  </w:style>
  <w:style w:type="paragraph" w:customStyle="1" w:styleId="Byline">
    <w:name w:val="Byline"/>
    <w:rsid w:val="007B6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BE2"/>
    <w:pPr>
      <w:tabs>
        <w:tab w:val="clear" w:pos="3600"/>
        <w:tab w:val="clear" w:pos="3958"/>
      </w:tabs>
      <w:jc w:val="right"/>
    </w:pPr>
  </w:style>
  <w:style w:type="character" w:styleId="Emphasis">
    <w:name w:val="Emphasis"/>
    <w:basedOn w:val="DefaultParagraphFont"/>
    <w:qFormat/>
    <w:rsid w:val="007B6BE2"/>
    <w:rPr>
      <w:i/>
    </w:rPr>
  </w:style>
  <w:style w:type="paragraph" w:styleId="Caption">
    <w:name w:val="caption"/>
    <w:basedOn w:val="BodyText"/>
    <w:next w:val="Normal"/>
    <w:qFormat/>
    <w:rsid w:val="007B6BE2"/>
    <w:pPr>
      <w:framePr w:w="2268" w:hSpace="181" w:vSpace="181" w:wrap="around" w:vAnchor="text" w:hAnchor="page" w:x="1135" w:y="285" w:anchorLock="1"/>
    </w:pPr>
    <w:rPr>
      <w:i/>
    </w:rPr>
  </w:style>
  <w:style w:type="paragraph" w:customStyle="1" w:styleId="MiniTOCTitle">
    <w:name w:val="MiniTOCTitle"/>
    <w:basedOn w:val="Heading4"/>
    <w:rsid w:val="007B6BE2"/>
    <w:pPr>
      <w:spacing w:before="240"/>
      <w:outlineLvl w:val="9"/>
    </w:pPr>
    <w:rPr>
      <w:noProof/>
      <w:sz w:val="24"/>
    </w:rPr>
  </w:style>
  <w:style w:type="paragraph" w:customStyle="1" w:styleId="MiniTOCItem">
    <w:name w:val="MiniTOCItem"/>
    <w:basedOn w:val="ListBullet"/>
    <w:rsid w:val="007B6BE2"/>
    <w:pPr>
      <w:numPr>
        <w:numId w:val="0"/>
      </w:numPr>
      <w:tabs>
        <w:tab w:val="right" w:leader="dot" w:pos="6521"/>
      </w:tabs>
      <w:spacing w:before="0" w:after="0"/>
    </w:pPr>
  </w:style>
  <w:style w:type="paragraph" w:customStyle="1" w:styleId="TOFTitle">
    <w:name w:val="TOFTitle"/>
    <w:basedOn w:val="TOCTitle"/>
    <w:rsid w:val="007B6BE2"/>
  </w:style>
  <w:style w:type="paragraph" w:styleId="TableofFigures">
    <w:name w:val="table of figures"/>
    <w:basedOn w:val="Normal"/>
    <w:next w:val="Normal"/>
    <w:semiHidden/>
    <w:rsid w:val="007B6BE2"/>
    <w:pPr>
      <w:tabs>
        <w:tab w:val="right" w:leader="dot" w:pos="9072"/>
      </w:tabs>
      <w:ind w:left="970" w:hanging="403"/>
    </w:pPr>
    <w:rPr>
      <w:rFonts w:ascii="Times New Roman" w:hAnsi="Times New Roman"/>
      <w:b/>
    </w:rPr>
  </w:style>
  <w:style w:type="paragraph" w:styleId="ListNumber">
    <w:name w:val="List Number"/>
    <w:basedOn w:val="List"/>
    <w:rsid w:val="007B6BE2"/>
    <w:pPr>
      <w:numPr>
        <w:numId w:val="10"/>
      </w:numPr>
    </w:pPr>
  </w:style>
  <w:style w:type="character" w:customStyle="1" w:styleId="WingdingSymbols">
    <w:name w:val="Wingding Symbols"/>
    <w:rsid w:val="007B6BE2"/>
    <w:rPr>
      <w:rFonts w:ascii="Wingdings" w:hAnsi="Wingdings"/>
    </w:rPr>
  </w:style>
  <w:style w:type="paragraph" w:customStyle="1" w:styleId="TableHeading">
    <w:name w:val="Table Heading"/>
    <w:basedOn w:val="HeadingBase"/>
    <w:rsid w:val="007B6BE2"/>
    <w:pPr>
      <w:keepLines/>
      <w:pBdr>
        <w:bottom w:val="single" w:sz="6" w:space="1" w:color="918585"/>
      </w:pBdr>
      <w:spacing w:before="240"/>
    </w:pPr>
  </w:style>
  <w:style w:type="character" w:customStyle="1" w:styleId="HotSpot">
    <w:name w:val="HotSpot"/>
    <w:rsid w:val="007B6BE2"/>
    <w:rPr>
      <w:color w:val="0033CC"/>
      <w:u w:val="none"/>
    </w:rPr>
  </w:style>
  <w:style w:type="paragraph" w:customStyle="1" w:styleId="BodyTextRight">
    <w:name w:val="Body Text Right"/>
    <w:basedOn w:val="BodyText"/>
    <w:rsid w:val="007B6BE2"/>
    <w:pPr>
      <w:spacing w:before="0" w:after="0"/>
      <w:jc w:val="right"/>
    </w:pPr>
  </w:style>
  <w:style w:type="paragraph" w:styleId="Index3">
    <w:name w:val="index 3"/>
    <w:basedOn w:val="ListNumber2"/>
    <w:next w:val="Normal"/>
    <w:semiHidden/>
    <w:rsid w:val="007B6BE2"/>
    <w:pPr>
      <w:numPr>
        <w:numId w:val="0"/>
      </w:numPr>
      <w:tabs>
        <w:tab w:val="right" w:leader="dot" w:pos="4176"/>
      </w:tabs>
    </w:pPr>
  </w:style>
  <w:style w:type="paragraph" w:styleId="ListNumber2">
    <w:name w:val="List Number 2"/>
    <w:basedOn w:val="List2"/>
    <w:rsid w:val="007B6BE2"/>
    <w:pPr>
      <w:numPr>
        <w:numId w:val="9"/>
      </w:numPr>
      <w:tabs>
        <w:tab w:val="clear" w:pos="1060"/>
      </w:tabs>
    </w:pPr>
  </w:style>
  <w:style w:type="paragraph" w:customStyle="1" w:styleId="MarginNote">
    <w:name w:val="Margin Note"/>
    <w:basedOn w:val="BodyText"/>
    <w:rsid w:val="007B6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B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6BE2"/>
    <w:rPr>
      <w:sz w:val="32"/>
    </w:rPr>
  </w:style>
  <w:style w:type="paragraph" w:customStyle="1" w:styleId="HeadingProcedure">
    <w:name w:val="Heading Procedure"/>
    <w:basedOn w:val="HeadingBase"/>
    <w:next w:val="Normal"/>
    <w:rsid w:val="007B6BE2"/>
    <w:pPr>
      <w:tabs>
        <w:tab w:val="left" w:pos="0"/>
      </w:tabs>
      <w:spacing w:before="120" w:after="60"/>
    </w:pPr>
    <w:rPr>
      <w:i/>
      <w:color w:val="918585"/>
      <w:sz w:val="22"/>
    </w:rPr>
  </w:style>
  <w:style w:type="paragraph" w:customStyle="1" w:styleId="TableBodyText">
    <w:name w:val="Table Body Text"/>
    <w:basedOn w:val="BodyText"/>
    <w:rsid w:val="007B6BE2"/>
    <w:pPr>
      <w:spacing w:before="60" w:after="60"/>
    </w:pPr>
  </w:style>
  <w:style w:type="paragraph" w:styleId="ListContinue">
    <w:name w:val="List Continue"/>
    <w:basedOn w:val="List"/>
    <w:rsid w:val="007B6BE2"/>
    <w:pPr>
      <w:ind w:firstLine="0"/>
    </w:pPr>
  </w:style>
  <w:style w:type="paragraph" w:customStyle="1" w:styleId="ListNote">
    <w:name w:val="List Note"/>
    <w:basedOn w:val="List"/>
    <w:rsid w:val="007B6BE2"/>
    <w:pPr>
      <w:pBdr>
        <w:top w:val="single" w:sz="6" w:space="2" w:color="918585"/>
        <w:bottom w:val="single" w:sz="6" w:space="2" w:color="918585"/>
      </w:pBdr>
      <w:tabs>
        <w:tab w:val="left" w:pos="1021"/>
      </w:tabs>
      <w:ind w:firstLine="0"/>
    </w:pPr>
  </w:style>
  <w:style w:type="paragraph" w:customStyle="1" w:styleId="Warning">
    <w:name w:val="Warning"/>
    <w:basedOn w:val="BodyText"/>
    <w:rsid w:val="007B6BE2"/>
    <w:pPr>
      <w:shd w:val="clear" w:color="auto" w:fill="D9D9D9"/>
      <w:tabs>
        <w:tab w:val="left" w:pos="992"/>
      </w:tabs>
      <w:ind w:left="119" w:right="119"/>
    </w:pPr>
    <w:rPr>
      <w:sz w:val="20"/>
    </w:rPr>
  </w:style>
  <w:style w:type="paragraph" w:customStyle="1" w:styleId="MarginIcons">
    <w:name w:val="Margin Icons"/>
    <w:basedOn w:val="BodyText"/>
    <w:rsid w:val="007B6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BE2"/>
    <w:rPr>
      <w:rFonts w:ascii="Courier New" w:hAnsi="Courier New"/>
    </w:rPr>
  </w:style>
  <w:style w:type="paragraph" w:customStyle="1" w:styleId="NoteBullet">
    <w:name w:val="Note Bullet"/>
    <w:basedOn w:val="Note"/>
    <w:rsid w:val="007B6BE2"/>
    <w:pPr>
      <w:tabs>
        <w:tab w:val="clear" w:pos="680"/>
      </w:tabs>
      <w:spacing w:before="60" w:after="60"/>
    </w:pPr>
  </w:style>
  <w:style w:type="paragraph" w:customStyle="1" w:styleId="SubHeading2">
    <w:name w:val="SubHeading2"/>
    <w:basedOn w:val="HeadingBase"/>
    <w:rsid w:val="007B6BE2"/>
    <w:pPr>
      <w:spacing w:before="240" w:after="60"/>
    </w:pPr>
    <w:rPr>
      <w:sz w:val="20"/>
    </w:rPr>
  </w:style>
  <w:style w:type="paragraph" w:customStyle="1" w:styleId="SubHeading1">
    <w:name w:val="SubHeading1"/>
    <w:basedOn w:val="HeadingBase"/>
    <w:rsid w:val="007B6BE2"/>
    <w:pPr>
      <w:spacing w:before="240" w:after="60"/>
    </w:pPr>
    <w:rPr>
      <w:color w:val="918585"/>
      <w:sz w:val="22"/>
    </w:rPr>
  </w:style>
  <w:style w:type="paragraph" w:customStyle="1" w:styleId="SideHeading">
    <w:name w:val="Side Heading"/>
    <w:basedOn w:val="HeadingBase"/>
    <w:rsid w:val="007B6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BE2"/>
    <w:pPr>
      <w:tabs>
        <w:tab w:val="num" w:pos="360"/>
      </w:tabs>
    </w:pPr>
  </w:style>
  <w:style w:type="paragraph" w:styleId="PlainText">
    <w:name w:val="Plain Text"/>
    <w:basedOn w:val="Normal"/>
    <w:link w:val="PlainTextChar"/>
    <w:rsid w:val="007B6BE2"/>
    <w:rPr>
      <w:sz w:val="20"/>
    </w:rPr>
  </w:style>
  <w:style w:type="character" w:customStyle="1" w:styleId="PlainTextChar">
    <w:name w:val="Plain Text Char"/>
    <w:basedOn w:val="DefaultParagraphFont"/>
    <w:link w:val="PlainText"/>
    <w:rsid w:val="007B6B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6BE2"/>
    <w:rPr>
      <w:b/>
      <w:smallCaps/>
    </w:rPr>
  </w:style>
  <w:style w:type="paragraph" w:customStyle="1" w:styleId="TableListNumber">
    <w:name w:val="Table List Number"/>
    <w:basedOn w:val="ListNumber"/>
    <w:rsid w:val="007B6BE2"/>
    <w:pPr>
      <w:numPr>
        <w:numId w:val="0"/>
      </w:numPr>
    </w:pPr>
  </w:style>
  <w:style w:type="paragraph" w:styleId="TOC4">
    <w:name w:val="toc 4"/>
    <w:basedOn w:val="TOCBase"/>
    <w:next w:val="Normal"/>
    <w:semiHidden/>
    <w:rsid w:val="007B6BE2"/>
    <w:pPr>
      <w:tabs>
        <w:tab w:val="right" w:leader="dot" w:pos="9071"/>
      </w:tabs>
      <w:ind w:left="1701"/>
    </w:pPr>
  </w:style>
  <w:style w:type="paragraph" w:customStyle="1" w:styleId="ListAlpha">
    <w:name w:val="List Alpha"/>
    <w:basedOn w:val="List"/>
    <w:rsid w:val="007B6BE2"/>
    <w:pPr>
      <w:numPr>
        <w:numId w:val="8"/>
      </w:numPr>
    </w:pPr>
  </w:style>
  <w:style w:type="paragraph" w:customStyle="1" w:styleId="ListAlpha2">
    <w:name w:val="List Alpha 2"/>
    <w:basedOn w:val="List2"/>
    <w:rsid w:val="007B6BE2"/>
    <w:pPr>
      <w:numPr>
        <w:numId w:val="7"/>
      </w:numPr>
    </w:pPr>
  </w:style>
  <w:style w:type="paragraph" w:styleId="List3">
    <w:name w:val="List 3"/>
    <w:basedOn w:val="BodyText"/>
    <w:rsid w:val="007B6BE2"/>
    <w:pPr>
      <w:tabs>
        <w:tab w:val="left" w:pos="1021"/>
      </w:tabs>
      <w:spacing w:before="60" w:after="60"/>
      <w:ind w:left="1020" w:hanging="340"/>
    </w:pPr>
  </w:style>
  <w:style w:type="paragraph" w:styleId="List4">
    <w:name w:val="List 4"/>
    <w:basedOn w:val="BodyText"/>
    <w:rsid w:val="007B6BE2"/>
    <w:pPr>
      <w:tabs>
        <w:tab w:val="left" w:pos="1361"/>
      </w:tabs>
      <w:spacing w:before="60" w:after="60"/>
      <w:ind w:left="1361" w:hanging="340"/>
    </w:pPr>
  </w:style>
  <w:style w:type="paragraph" w:styleId="List5">
    <w:name w:val="List 5"/>
    <w:basedOn w:val="BodyText"/>
    <w:rsid w:val="007B6BE2"/>
    <w:pPr>
      <w:tabs>
        <w:tab w:val="left" w:pos="1701"/>
      </w:tabs>
      <w:spacing w:before="60" w:after="60"/>
      <w:ind w:left="1701" w:hanging="340"/>
    </w:pPr>
  </w:style>
  <w:style w:type="paragraph" w:styleId="ListBullet3">
    <w:name w:val="List Bullet 3"/>
    <w:basedOn w:val="List3"/>
    <w:rsid w:val="007B6BE2"/>
    <w:pPr>
      <w:numPr>
        <w:numId w:val="14"/>
      </w:numPr>
      <w:tabs>
        <w:tab w:val="clear" w:pos="1021"/>
      </w:tabs>
      <w:ind w:left="1037" w:hanging="357"/>
    </w:pPr>
  </w:style>
  <w:style w:type="paragraph" w:styleId="ListBullet4">
    <w:name w:val="List Bullet 4"/>
    <w:basedOn w:val="List4"/>
    <w:rsid w:val="007B6BE2"/>
    <w:pPr>
      <w:numPr>
        <w:numId w:val="2"/>
      </w:numPr>
    </w:pPr>
  </w:style>
  <w:style w:type="paragraph" w:styleId="ListBullet5">
    <w:name w:val="List Bullet 5"/>
    <w:basedOn w:val="List5"/>
    <w:rsid w:val="007B6BE2"/>
    <w:pPr>
      <w:numPr>
        <w:numId w:val="3"/>
      </w:numPr>
    </w:pPr>
  </w:style>
  <w:style w:type="paragraph" w:styleId="ListContinue2">
    <w:name w:val="List Continue 2"/>
    <w:basedOn w:val="List2"/>
    <w:rsid w:val="007B6BE2"/>
    <w:pPr>
      <w:ind w:firstLine="0"/>
    </w:pPr>
  </w:style>
  <w:style w:type="paragraph" w:styleId="ListContinue3">
    <w:name w:val="List Continue 3"/>
    <w:basedOn w:val="List3"/>
    <w:rsid w:val="007B6BE2"/>
    <w:pPr>
      <w:ind w:left="1021" w:firstLine="0"/>
    </w:pPr>
  </w:style>
  <w:style w:type="paragraph" w:styleId="ListContinue4">
    <w:name w:val="List Continue 4"/>
    <w:basedOn w:val="List4"/>
    <w:rsid w:val="007B6BE2"/>
    <w:pPr>
      <w:ind w:firstLine="0"/>
    </w:pPr>
  </w:style>
  <w:style w:type="paragraph" w:styleId="ListContinue5">
    <w:name w:val="List Continue 5"/>
    <w:basedOn w:val="List5"/>
    <w:rsid w:val="007B6BE2"/>
    <w:pPr>
      <w:ind w:firstLine="0"/>
    </w:pPr>
  </w:style>
  <w:style w:type="paragraph" w:styleId="ListNumber3">
    <w:name w:val="List Number 3"/>
    <w:basedOn w:val="List3"/>
    <w:rsid w:val="007B6BE2"/>
    <w:pPr>
      <w:numPr>
        <w:numId w:val="4"/>
      </w:numPr>
    </w:pPr>
  </w:style>
  <w:style w:type="paragraph" w:styleId="ListNumber4">
    <w:name w:val="List Number 4"/>
    <w:basedOn w:val="List4"/>
    <w:rsid w:val="007B6BE2"/>
    <w:pPr>
      <w:numPr>
        <w:numId w:val="5"/>
      </w:numPr>
    </w:pPr>
  </w:style>
  <w:style w:type="paragraph" w:styleId="ListNumber5">
    <w:name w:val="List Number 5"/>
    <w:basedOn w:val="List5"/>
    <w:rsid w:val="007B6BE2"/>
    <w:pPr>
      <w:numPr>
        <w:numId w:val="6"/>
      </w:numPr>
    </w:pPr>
  </w:style>
  <w:style w:type="paragraph" w:styleId="BlockText">
    <w:name w:val="Block Text"/>
    <w:basedOn w:val="Normal"/>
    <w:rsid w:val="007B6BE2"/>
    <w:pPr>
      <w:spacing w:after="120"/>
      <w:ind w:left="1440" w:right="1440"/>
    </w:pPr>
  </w:style>
  <w:style w:type="character" w:customStyle="1" w:styleId="Subscript">
    <w:name w:val="Subscript"/>
    <w:basedOn w:val="DefaultParagraphFont"/>
    <w:rsid w:val="007B6BE2"/>
    <w:rPr>
      <w:sz w:val="16"/>
      <w:vertAlign w:val="subscript"/>
    </w:rPr>
  </w:style>
  <w:style w:type="character" w:customStyle="1" w:styleId="Superscript">
    <w:name w:val="Superscript"/>
    <w:basedOn w:val="DefaultParagraphFont"/>
    <w:rsid w:val="007B6BE2"/>
    <w:rPr>
      <w:sz w:val="16"/>
      <w:vertAlign w:val="superscript"/>
    </w:rPr>
  </w:style>
  <w:style w:type="character" w:customStyle="1" w:styleId="Symbols">
    <w:name w:val="Symbols"/>
    <w:basedOn w:val="DefaultParagraphFont"/>
    <w:rsid w:val="007B6BE2"/>
    <w:rPr>
      <w:rFonts w:ascii="Symbol" w:hAnsi="Symbol"/>
    </w:rPr>
  </w:style>
  <w:style w:type="character" w:customStyle="1" w:styleId="MenuOptions">
    <w:name w:val="Menu Options"/>
    <w:basedOn w:val="DefaultParagraphFont"/>
    <w:rsid w:val="007B6BE2"/>
    <w:rPr>
      <w:rFonts w:ascii="Arial Narrow" w:hAnsi="Arial Narrow"/>
      <w:smallCaps/>
    </w:rPr>
  </w:style>
  <w:style w:type="character" w:customStyle="1" w:styleId="Buttons">
    <w:name w:val="Buttons"/>
    <w:basedOn w:val="DefaultParagraphFont"/>
    <w:rsid w:val="007B6BE2"/>
    <w:rPr>
      <w:b/>
    </w:rPr>
  </w:style>
  <w:style w:type="character" w:customStyle="1" w:styleId="Underlined">
    <w:name w:val="Underlined"/>
    <w:basedOn w:val="DefaultParagraphFont"/>
    <w:rsid w:val="007B6BE2"/>
    <w:rPr>
      <w:u w:val="single"/>
    </w:rPr>
  </w:style>
  <w:style w:type="paragraph" w:customStyle="1" w:styleId="TableBodyTextRight">
    <w:name w:val="Table Body Text Right"/>
    <w:basedOn w:val="TableBodyText"/>
    <w:rsid w:val="007B6BE2"/>
    <w:pPr>
      <w:widowControl w:val="0"/>
      <w:autoSpaceDE w:val="0"/>
      <w:autoSpaceDN w:val="0"/>
      <w:adjustRightInd w:val="0"/>
      <w:jc w:val="right"/>
    </w:pPr>
    <w:rPr>
      <w:rFonts w:cs="Arial"/>
      <w:szCs w:val="18"/>
    </w:rPr>
  </w:style>
  <w:style w:type="paragraph" w:customStyle="1" w:styleId="CopyrightText">
    <w:name w:val="Copyright Text"/>
    <w:basedOn w:val="BodyText"/>
    <w:rsid w:val="007B6BE2"/>
    <w:rPr>
      <w:sz w:val="18"/>
    </w:rPr>
  </w:style>
  <w:style w:type="paragraph" w:customStyle="1" w:styleId="BodySmallRight">
    <w:name w:val="Body Small Right"/>
    <w:basedOn w:val="BodyTextRight"/>
    <w:rsid w:val="007B6BE2"/>
    <w:rPr>
      <w:sz w:val="18"/>
      <w:szCs w:val="18"/>
    </w:rPr>
  </w:style>
  <w:style w:type="paragraph" w:customStyle="1" w:styleId="MarginEdition">
    <w:name w:val="Margin Edition"/>
    <w:basedOn w:val="MarginNote"/>
    <w:rsid w:val="007B6BE2"/>
    <w:pPr>
      <w:spacing w:before="0" w:after="0"/>
    </w:pPr>
    <w:rPr>
      <w:rFonts w:ascii="Times New Roman" w:hAnsi="Times New Roman"/>
      <w:color w:val="999999"/>
    </w:rPr>
  </w:style>
  <w:style w:type="paragraph" w:customStyle="1" w:styleId="Spacer">
    <w:name w:val="Spacer"/>
    <w:basedOn w:val="Normal"/>
    <w:rsid w:val="007B6BE2"/>
    <w:rPr>
      <w:sz w:val="2"/>
      <w:szCs w:val="2"/>
    </w:rPr>
  </w:style>
  <w:style w:type="character" w:customStyle="1" w:styleId="Small">
    <w:name w:val="Small"/>
    <w:basedOn w:val="DefaultParagraphFont"/>
    <w:rsid w:val="007B6BE2"/>
    <w:rPr>
      <w:sz w:val="16"/>
    </w:rPr>
  </w:style>
  <w:style w:type="paragraph" w:customStyle="1" w:styleId="WideTable">
    <w:name w:val="Wide Table"/>
    <w:basedOn w:val="Normal"/>
    <w:rsid w:val="007B6BE2"/>
    <w:pPr>
      <w:ind w:left="-1418"/>
    </w:pPr>
    <w:rPr>
      <w:sz w:val="2"/>
      <w:szCs w:val="2"/>
    </w:rPr>
  </w:style>
  <w:style w:type="character" w:styleId="PageNumber">
    <w:name w:val="page number"/>
    <w:basedOn w:val="DefaultParagraphFont"/>
    <w:rsid w:val="007B6BE2"/>
  </w:style>
  <w:style w:type="paragraph" w:styleId="Quote">
    <w:name w:val="Quote"/>
    <w:basedOn w:val="Heading1"/>
    <w:link w:val="QuoteChar"/>
    <w:qFormat/>
    <w:rsid w:val="007B6BE2"/>
    <w:rPr>
      <w:b w:val="0"/>
      <w:sz w:val="72"/>
      <w:szCs w:val="72"/>
      <w:lang w:val="en-NZ"/>
    </w:rPr>
  </w:style>
  <w:style w:type="character" w:customStyle="1" w:styleId="QuoteChar">
    <w:name w:val="Quote Char"/>
    <w:basedOn w:val="DefaultParagraphFont"/>
    <w:link w:val="Quote"/>
    <w:rsid w:val="007B6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BE2"/>
    <w:pPr>
      <w:pageBreakBefore/>
    </w:pPr>
  </w:style>
  <w:style w:type="paragraph" w:customStyle="1" w:styleId="Border">
    <w:name w:val="Border"/>
    <w:basedOn w:val="Normal"/>
    <w:qFormat/>
    <w:rsid w:val="007B6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BE2"/>
    <w:rPr>
      <w:b/>
      <w:bCs/>
      <w:i/>
      <w:iCs/>
      <w:color w:val="auto"/>
    </w:rPr>
  </w:style>
  <w:style w:type="paragraph" w:styleId="IntenseQuote">
    <w:name w:val="Intense Quote"/>
    <w:basedOn w:val="Normal"/>
    <w:next w:val="Normal"/>
    <w:link w:val="IntenseQuoteChar"/>
    <w:uiPriority w:val="30"/>
    <w:qFormat/>
    <w:rsid w:val="007B6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B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6BE2"/>
    <w:rPr>
      <w:smallCaps/>
      <w:color w:val="auto"/>
      <w:u w:val="single"/>
    </w:rPr>
  </w:style>
  <w:style w:type="character" w:styleId="IntenseReference">
    <w:name w:val="Intense Reference"/>
    <w:basedOn w:val="DefaultParagraphFont"/>
    <w:uiPriority w:val="32"/>
    <w:qFormat/>
    <w:rsid w:val="007B6BE2"/>
    <w:rPr>
      <w:b/>
      <w:bCs/>
      <w:smallCaps/>
      <w:color w:val="auto"/>
      <w:spacing w:val="5"/>
      <w:u w:val="single"/>
    </w:rPr>
  </w:style>
  <w:style w:type="paragraph" w:customStyle="1" w:styleId="2ColumnHeading">
    <w:name w:val="2Column Heading"/>
    <w:basedOn w:val="BodyText"/>
    <w:qFormat/>
    <w:rsid w:val="007B6BE2"/>
    <w:pPr>
      <w:spacing w:after="60"/>
      <w:ind w:left="-2268"/>
    </w:pPr>
    <w:rPr>
      <w:b/>
    </w:rPr>
  </w:style>
  <w:style w:type="paragraph" w:customStyle="1" w:styleId="Heading1TOC">
    <w:name w:val="Heading1 TOC"/>
    <w:basedOn w:val="Normal"/>
    <w:qFormat/>
    <w:rsid w:val="007B6BE2"/>
    <w:pPr>
      <w:spacing w:before="240" w:after="120"/>
    </w:pPr>
    <w:rPr>
      <w:rFonts w:ascii="Times New Roman" w:hAnsi="Times New Roman"/>
      <w:b/>
      <w:sz w:val="32"/>
    </w:rPr>
  </w:style>
  <w:style w:type="paragraph" w:customStyle="1" w:styleId="Heading2TOC">
    <w:name w:val="Heading2 TOC"/>
    <w:basedOn w:val="Normal"/>
    <w:qFormat/>
    <w:rsid w:val="007B6BE2"/>
    <w:pPr>
      <w:spacing w:before="240" w:after="60"/>
    </w:pPr>
    <w:rPr>
      <w:rFonts w:ascii="Times New Roman" w:hAnsi="Times New Roman"/>
      <w:b/>
      <w:sz w:val="28"/>
    </w:rPr>
  </w:style>
  <w:style w:type="character" w:customStyle="1" w:styleId="Underline">
    <w:name w:val="Underline"/>
    <w:basedOn w:val="DefaultParagraphFont"/>
    <w:qFormat/>
    <w:rsid w:val="007B6BE2"/>
    <w:rPr>
      <w:u w:val="single"/>
    </w:rPr>
  </w:style>
  <w:style w:type="character" w:customStyle="1" w:styleId="BoldandItalics">
    <w:name w:val="Bold and Italics"/>
    <w:qFormat/>
    <w:rsid w:val="007B6BE2"/>
    <w:rPr>
      <w:b/>
      <w:i/>
      <w:u w:val="none"/>
    </w:rPr>
  </w:style>
  <w:style w:type="paragraph" w:styleId="BalloonText">
    <w:name w:val="Balloon Text"/>
    <w:basedOn w:val="Normal"/>
    <w:link w:val="BalloonTextChar"/>
    <w:rsid w:val="007B6BE2"/>
    <w:rPr>
      <w:rFonts w:ascii="Tahoma" w:hAnsi="Tahoma" w:cs="Tahoma"/>
      <w:sz w:val="16"/>
      <w:szCs w:val="16"/>
    </w:rPr>
  </w:style>
  <w:style w:type="character" w:customStyle="1" w:styleId="BalloonTextChar">
    <w:name w:val="Balloon Text Char"/>
    <w:basedOn w:val="DefaultParagraphFont"/>
    <w:link w:val="BalloonText"/>
    <w:rsid w:val="007B6B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6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6B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918</Words>
  <Characters>5689</Characters>
  <Application>Microsoft Office Word</Application>
  <DocSecurity>0</DocSecurity>
  <Lines>216</Lines>
  <Paragraphs>90</Paragraphs>
  <ScaleCrop>false</ScaleCrop>
  <Company>Author-it Software Corporation Ltd.</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MEM03001B Perform manual production assembly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2012-05-27T01:25:00Z</dcterms:created>
  <dcterms:modified xsi:type="dcterms:W3CDTF">2012-05-27T01:25:00Z</dcterms:modified>
</cp:coreProperties>
</file>