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D4BD9" w:rsidP="00DD4BD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MEMPE007 Pull apart and re-assemble engineering mechanisms</w:t>
      </w:r>
      <w:r>
        <w:fldChar w:fldCharType="end"/>
      </w:r>
    </w:p>
    <w:p w:rsidR="00DD4BD9" w:rsidP="00DD4BD9">
      <w:pPr>
        <w:pStyle w:val="Version"/>
        <w:sectPr w:rsidSect="00815DA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15DA7" w:rsidP="00815DA7">
      <w:pPr>
        <w:pStyle w:val="SuperHeading"/>
      </w:pPr>
      <w:r w:rsidRPr="00815DA7">
        <w:t>Assessment Requirements for MEMPE007 Pull apart and re-assemble engineering mechanisms</w:t>
      </w:r>
    </w:p>
    <w:p w:rsidR="00000000" w:rsidRPr="00815DA7" w:rsidP="00815DA7">
      <w:pPr>
        <w:pStyle w:val="Heading1"/>
      </w:pPr>
      <w:bookmarkStart w:id="1" w:name="O_943520"/>
      <w:bookmarkEnd w:id="1"/>
      <w:r w:rsidRPr="00815DA7">
        <w:t>Modification History</w:t>
      </w:r>
    </w:p>
    <w:p w:rsidR="00DD4BD9" w:rsidP="00DD4BD9">
      <w:pPr>
        <w:pStyle w:val="BodyText"/>
      </w:pPr>
      <w:r w:rsidRPr="00815DA7">
        <w:t>Release 1. Supersedes and is equivalent to MEMPE007A Pull apart and re-assemble engineering mechanisms.</w:t>
      </w:r>
    </w:p>
    <w:p w:rsidR="00000000" w:rsidRPr="00815DA7" w:rsidP="00815DA7">
      <w:pPr>
        <w:pStyle w:val="Heading1"/>
      </w:pPr>
      <w:bookmarkStart w:id="2" w:name="O_943523"/>
      <w:bookmarkEnd w:id="2"/>
      <w:r w:rsidRPr="00815DA7">
        <w:t>Performance Evidence</w:t>
      </w:r>
    </w:p>
    <w:p w:rsidR="00000000" w:rsidRPr="00815DA7" w:rsidP="00DD4BD9">
      <w:pPr>
        <w:pStyle w:val="BodyText"/>
      </w:pPr>
      <w:r w:rsidRPr="00815DA7">
        <w:t>Evidence required to demonstrate competence in this unit must be relevant to and satisfy the requirements of the elements and performance criteria and include:</w:t>
      </w:r>
    </w:p>
    <w:p w:rsidR="00000000" w:rsidRPr="00815DA7" w:rsidP="00815DA7">
      <w:pPr>
        <w:pStyle w:val="ListBullet"/>
      </w:pPr>
      <w:r w:rsidRPr="00815DA7">
        <w:t>following work instructions and safe work practices</w:t>
      </w:r>
    </w:p>
    <w:p w:rsidR="00000000" w:rsidRPr="00815DA7" w:rsidP="00815DA7">
      <w:pPr>
        <w:pStyle w:val="ListBullet"/>
      </w:pPr>
      <w:r w:rsidRPr="00815DA7">
        <w:t>preparing a job plan</w:t>
      </w:r>
    </w:p>
    <w:p w:rsidR="00000000" w:rsidRPr="00815DA7" w:rsidP="00815DA7">
      <w:pPr>
        <w:pStyle w:val="ListBullet"/>
      </w:pPr>
      <w:r w:rsidRPr="00815DA7">
        <w:t>d</w:t>
      </w:r>
      <w:r w:rsidRPr="00815DA7">
        <w:t>isassembling a mechanism on at least two occasions</w:t>
      </w:r>
    </w:p>
    <w:p w:rsidR="00000000" w:rsidRPr="00815DA7" w:rsidP="00815DA7">
      <w:pPr>
        <w:pStyle w:val="ListBullet"/>
      </w:pPr>
      <w:r w:rsidRPr="00815DA7">
        <w:t>identifying components</w:t>
      </w:r>
    </w:p>
    <w:p w:rsidR="00000000" w:rsidRPr="00815DA7" w:rsidP="00815DA7">
      <w:pPr>
        <w:pStyle w:val="ListBullet"/>
      </w:pPr>
      <w:r w:rsidRPr="00815DA7">
        <w:t>re-assembling a mechanism on at least two occasions</w:t>
      </w:r>
    </w:p>
    <w:p w:rsidR="00000000" w:rsidRPr="00815DA7" w:rsidP="00815DA7">
      <w:pPr>
        <w:pStyle w:val="ListBullet"/>
      </w:pPr>
      <w:r w:rsidRPr="00815DA7">
        <w:t>using appropriate measuring skills</w:t>
      </w:r>
    </w:p>
    <w:p w:rsidR="00000000" w:rsidRPr="00815DA7" w:rsidP="00815DA7">
      <w:pPr>
        <w:pStyle w:val="ListBullet"/>
      </w:pPr>
      <w:r w:rsidRPr="00815DA7">
        <w:t>cleaning and storing of machines and equipment.</w:t>
      </w:r>
    </w:p>
    <w:p w:rsidR="00000000" w:rsidRPr="00815DA7" w:rsidP="00815DA7">
      <w:pPr>
        <w:pStyle w:val="BodyText"/>
      </w:pPr>
    </w:p>
    <w:p w:rsidR="00DD4BD9" w:rsidRPr="00DD4BD9" w:rsidP="00DD4BD9">
      <w:pPr>
        <w:pStyle w:val="BodyText"/>
        <w:rPr>
          <w:i/>
        </w:rPr>
      </w:pPr>
      <w:r w:rsidRPr="00DD4BD9">
        <w:rPr>
          <w:rStyle w:val="Emphasis"/>
        </w:rPr>
        <w:t>Note: Where a volume and/or frequency is not s</w:t>
      </w:r>
      <w:r w:rsidRPr="00DD4BD9">
        <w:rPr>
          <w:rStyle w:val="Emphasis"/>
        </w:rPr>
        <w:t>pecified, demonstration must be provided at least once.</w:t>
      </w:r>
    </w:p>
    <w:p w:rsidR="00000000" w:rsidRPr="00815DA7" w:rsidP="00815DA7">
      <w:pPr>
        <w:pStyle w:val="Heading1"/>
      </w:pPr>
      <w:bookmarkStart w:id="3" w:name="O_943522"/>
      <w:bookmarkEnd w:id="3"/>
      <w:r w:rsidRPr="00815DA7">
        <w:t>Knowledge Evidence</w:t>
      </w:r>
    </w:p>
    <w:p w:rsidR="00000000" w:rsidRPr="00815DA7" w:rsidP="00DD4BD9">
      <w:pPr>
        <w:pStyle w:val="BodyText"/>
      </w:pPr>
      <w:r w:rsidRPr="00815DA7">
        <w:t>Evidence required to demonstrate the required knowledge for this unit must be relevant to and satisfy the requirements of the elements and performance criteria and</w:t>
      </w:r>
      <w:r w:rsidRPr="00815DA7">
        <w:t xml:space="preserve"> include knowledge of:</w:t>
      </w:r>
    </w:p>
    <w:p w:rsidR="00000000" w:rsidRPr="00815DA7" w:rsidP="00815DA7">
      <w:pPr>
        <w:pStyle w:val="ListBullet"/>
      </w:pPr>
      <w:r w:rsidRPr="00815DA7">
        <w:t>safe work practices and use of personal protective equipment (PPE)</w:t>
      </w:r>
    </w:p>
    <w:p w:rsidR="00000000" w:rsidRPr="00815DA7" w:rsidP="00815DA7">
      <w:pPr>
        <w:pStyle w:val="ListBullet"/>
      </w:pPr>
      <w:r w:rsidRPr="00815DA7">
        <w:t>engineering mechanisms</w:t>
      </w:r>
    </w:p>
    <w:p w:rsidR="00000000" w:rsidRPr="00815DA7" w:rsidP="00815DA7">
      <w:pPr>
        <w:pStyle w:val="ListBullet"/>
      </w:pPr>
      <w:r w:rsidRPr="00815DA7">
        <w:t>measuring equipment</w:t>
      </w:r>
    </w:p>
    <w:p w:rsidR="00000000" w:rsidRPr="00815DA7" w:rsidP="00815DA7">
      <w:pPr>
        <w:pStyle w:val="ListBullet"/>
      </w:pPr>
      <w:r w:rsidRPr="00815DA7">
        <w:t>non-destructive methods for marking components</w:t>
      </w:r>
    </w:p>
    <w:p w:rsidR="00000000" w:rsidRPr="00815DA7" w:rsidP="00815DA7">
      <w:pPr>
        <w:pStyle w:val="ListBullet"/>
      </w:pPr>
      <w:r w:rsidRPr="00815DA7">
        <w:t>basic disassembly and re-assembly techniques</w:t>
      </w:r>
    </w:p>
    <w:p w:rsidR="00000000" w:rsidRPr="00815DA7" w:rsidP="00815DA7">
      <w:pPr>
        <w:pStyle w:val="ListBullet"/>
      </w:pPr>
      <w:r w:rsidRPr="00815DA7">
        <w:t>use and care of tools</w:t>
      </w:r>
    </w:p>
    <w:p w:rsidR="00DD4BD9" w:rsidP="00815DA7">
      <w:pPr>
        <w:pStyle w:val="ListBullet"/>
      </w:pPr>
      <w:r w:rsidRPr="00815DA7">
        <w:t>types of tools and machines used to pull apart and re-assemble components.</w:t>
      </w:r>
    </w:p>
    <w:p w:rsidR="00DD4BD9" w:rsidP="00815DA7">
      <w:pPr>
        <w:pStyle w:val="ListBullet"/>
      </w:pPr>
    </w:p>
    <w:p w:rsidR="00000000" w:rsidRPr="00815DA7" w:rsidP="00815DA7">
      <w:pPr>
        <w:pStyle w:val="Heading1"/>
      </w:pPr>
      <w:bookmarkStart w:id="4" w:name="O_943521"/>
      <w:bookmarkEnd w:id="4"/>
      <w:r w:rsidRPr="00815DA7">
        <w:t>Assessment Conditions</w:t>
      </w:r>
    </w:p>
    <w:p w:rsidR="00000000" w:rsidRPr="00815DA7" w:rsidP="00815DA7">
      <w:pPr>
        <w:pStyle w:val="ListBullet"/>
      </w:pPr>
      <w:r w:rsidRPr="00815DA7">
        <w:t>Assessors must:</w:t>
      </w:r>
    </w:p>
    <w:p w:rsidR="00000000" w:rsidRPr="00815DA7" w:rsidP="00815DA7">
      <w:pPr>
        <w:pStyle w:val="ListBullet2"/>
      </w:pPr>
      <w:r w:rsidRPr="00815DA7">
        <w:t>have vocational competency in pulling apart and re-assembling engineering mechanisms at least to the level being assessed w</w:t>
      </w:r>
      <w:r w:rsidRPr="00815DA7">
        <w:t>ith relevant industry knowledge and experience.</w:t>
      </w:r>
    </w:p>
    <w:p w:rsidR="00000000" w:rsidRPr="00815DA7" w:rsidP="00815DA7">
      <w:pPr>
        <w:pStyle w:val="ListBullet2"/>
      </w:pPr>
      <w:r w:rsidRPr="00815DA7">
        <w:t xml:space="preserve">satisfy the assessor requirements in the </w:t>
      </w:r>
      <w:r w:rsidRPr="00815DA7">
        <w:rPr>
          <w:rStyle w:val="Emphasis"/>
        </w:rPr>
        <w:t xml:space="preserve">Standards for Registered Training Organisations 2015 or its replacement </w:t>
      </w:r>
      <w:r w:rsidRPr="00815DA7">
        <w:t xml:space="preserve">and comply with the </w:t>
      </w:r>
      <w:r w:rsidRPr="00815DA7">
        <w:rPr>
          <w:rStyle w:val="Emphasis"/>
        </w:rPr>
        <w:t xml:space="preserve">National Vocational Education and Training Regulator Act 2011, </w:t>
      </w:r>
      <w:r w:rsidRPr="00815DA7">
        <w:t>its replacem</w:t>
      </w:r>
      <w:r w:rsidRPr="00815DA7">
        <w:t>ent</w:t>
      </w:r>
      <w:r w:rsidRPr="00815DA7">
        <w:rPr>
          <w:rStyle w:val="Emphasis"/>
        </w:rPr>
        <w:t xml:space="preserve"> </w:t>
      </w:r>
      <w:r w:rsidRPr="00815DA7">
        <w:t>or equivalent legislation covering VET regulation in a non-referring State as the case requires.</w:t>
      </w:r>
    </w:p>
    <w:p w:rsidR="00000000" w:rsidRPr="00815DA7" w:rsidP="00815DA7">
      <w:pPr>
        <w:pStyle w:val="ListBullet"/>
      </w:pPr>
      <w:r w:rsidRPr="00815DA7">
        <w:t xml:space="preserve">This unit must be assessed in a learning institution and must cover the successful disassembly and re-assembly of an engineering mechanism and the skills </w:t>
      </w:r>
      <w:r w:rsidRPr="00815DA7">
        <w:t>developed would usually be developed by an individual working alone under direct supervision.</w:t>
      </w:r>
    </w:p>
    <w:p w:rsidR="00000000" w:rsidRPr="00815DA7" w:rsidP="00815DA7">
      <w:pPr>
        <w:pStyle w:val="ListBullet"/>
      </w:pPr>
      <w:r w:rsidRPr="00815DA7">
        <w:t>Conditions for assessment must include access to all tools, equipment, materials and documentation required including relevant workplace procedures, product and m</w:t>
      </w:r>
      <w:r w:rsidRPr="00815DA7">
        <w:t>anufacturing specifications.</w:t>
      </w:r>
    </w:p>
    <w:p w:rsidR="00DD4BD9" w:rsidP="00815DA7">
      <w:pPr>
        <w:pStyle w:val="ListBullet"/>
      </w:pPr>
      <w:r w:rsidRPr="00815DA7">
        <w:t>Assessment processes and techniques must be appropriate to the language, literacy and numeracy requirements of the work being performed and the needs of the candidate.</w:t>
      </w:r>
    </w:p>
    <w:p w:rsidR="00DD4BD9" w:rsidP="00815DA7">
      <w:pPr>
        <w:pStyle w:val="ListBullet"/>
      </w:pPr>
    </w:p>
    <w:p w:rsidR="00000000" w:rsidRPr="00815DA7" w:rsidP="00815DA7">
      <w:pPr>
        <w:pStyle w:val="Heading1"/>
      </w:pPr>
      <w:bookmarkStart w:id="5" w:name="O_943519"/>
      <w:bookmarkEnd w:id="5"/>
      <w:r w:rsidRPr="00815DA7">
        <w:t>Links</w:t>
      </w:r>
    </w:p>
    <w:p w:rsidR="00000000" w:rsidRPr="00815DA7" w:rsidP="00DD4BD9">
      <w:pPr>
        <w:pStyle w:val="BodyText"/>
      </w:pPr>
      <w:r w:rsidRPr="00815DA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9330E7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815DA7" w:rsidP="00815DA7"/>
    <w:sectPr w:rsidSect="00815DA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5DA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5DA7" w:rsidRPr="00DD4BD9" w:rsidP="00DD4BD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5DA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4BD9" w:rsidP="00815DA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D4BD9" w:rsidP="00815DA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D4BD9" w:rsidP="00815DA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5DA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4BD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15DA7" w:rsidRPr="00DD4BD9" w:rsidP="00DD4BD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5DA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4BD9" w:rsidRPr="002D2AF8" w:rsidP="00815DA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MEMPE007 Pull apart and re-assemble engineering mechanisms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DD4BD9" w:rsidP="00815DA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3701DA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86823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958F93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5DA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15DA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15DA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15DA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15DA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15DA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15DA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15DA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15DA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15DA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15DA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15DA7"/>
  </w:style>
  <w:style w:type="character" w:customStyle="1" w:styleId="Heading1Char">
    <w:name w:val="Heading 1 Char"/>
    <w:basedOn w:val="DefaultParagraphFont"/>
    <w:link w:val="Heading1"/>
    <w:rsid w:val="00815DA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15DA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15DA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15DA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15DA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15DA7"/>
    <w:rPr>
      <w:i/>
    </w:rPr>
  </w:style>
  <w:style w:type="paragraph" w:customStyle="1" w:styleId="SuperHeading">
    <w:name w:val="SuperHeading"/>
    <w:basedOn w:val="Normal"/>
    <w:rsid w:val="00815DA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15DA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15DA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15DA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15DA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15D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15D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15D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15D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15DA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15DA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15DA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15DA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15DA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15DA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15DA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15DA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15DA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15DA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15DA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15DA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15DA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15DA7"/>
    <w:rPr>
      <w:b/>
      <w:spacing w:val="0"/>
    </w:rPr>
  </w:style>
  <w:style w:type="paragraph" w:customStyle="1" w:styleId="SuperTitle">
    <w:name w:val="SuperTitle"/>
    <w:basedOn w:val="Title"/>
    <w:rsid w:val="00815DA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15DA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15DA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15DA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15DA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15DA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15DA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15DA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15DA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15DA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15DA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15DA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15DA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15DA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15DA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15DA7"/>
  </w:style>
  <w:style w:type="paragraph" w:styleId="TableofFigures">
    <w:name w:val="table of figures"/>
    <w:basedOn w:val="Normal"/>
    <w:next w:val="Normal"/>
    <w:semiHidden/>
    <w:rsid w:val="00815DA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15DA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15DA7"/>
    <w:rPr>
      <w:rFonts w:ascii="Wingdings" w:hAnsi="Wingdings"/>
    </w:rPr>
  </w:style>
  <w:style w:type="paragraph" w:customStyle="1" w:styleId="TableHeading">
    <w:name w:val="Table Heading"/>
    <w:basedOn w:val="HeadingBase"/>
    <w:rsid w:val="00815DA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15DA7"/>
    <w:rPr>
      <w:color w:val="0033CC"/>
      <w:u w:val="none"/>
    </w:rPr>
  </w:style>
  <w:style w:type="paragraph" w:customStyle="1" w:styleId="BodyTextRight">
    <w:name w:val="Body Text Right"/>
    <w:basedOn w:val="BodyText"/>
    <w:rsid w:val="00815DA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15DA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15DA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15DA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15DA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15DA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15DA7"/>
    <w:rPr>
      <w:sz w:val="32"/>
    </w:rPr>
  </w:style>
  <w:style w:type="paragraph" w:customStyle="1" w:styleId="HeadingProcedure">
    <w:name w:val="Heading Procedure"/>
    <w:basedOn w:val="HeadingBase"/>
    <w:next w:val="Normal"/>
    <w:rsid w:val="00815DA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15DA7"/>
    <w:pPr>
      <w:spacing w:before="60" w:after="60"/>
    </w:pPr>
  </w:style>
  <w:style w:type="paragraph" w:styleId="ListContinue">
    <w:name w:val="List Continue"/>
    <w:basedOn w:val="List"/>
    <w:rsid w:val="00815DA7"/>
    <w:pPr>
      <w:ind w:firstLine="0"/>
    </w:pPr>
  </w:style>
  <w:style w:type="paragraph" w:customStyle="1" w:styleId="ListNote">
    <w:name w:val="List Note"/>
    <w:basedOn w:val="List"/>
    <w:rsid w:val="00815DA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15DA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15DA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15DA7"/>
    <w:rPr>
      <w:rFonts w:ascii="Courier New" w:hAnsi="Courier New"/>
    </w:rPr>
  </w:style>
  <w:style w:type="paragraph" w:customStyle="1" w:styleId="NoteBullet">
    <w:name w:val="Note Bullet"/>
    <w:basedOn w:val="Note"/>
    <w:rsid w:val="00815DA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15DA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15DA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15DA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15DA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15DA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15DA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15DA7"/>
    <w:rPr>
      <w:b/>
      <w:smallCaps/>
    </w:rPr>
  </w:style>
  <w:style w:type="paragraph" w:customStyle="1" w:styleId="TableListNumber">
    <w:name w:val="Table List Number"/>
    <w:basedOn w:val="ListNumber"/>
    <w:rsid w:val="00815DA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15DA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15DA7"/>
    <w:pPr>
      <w:numPr>
        <w:numId w:val="9"/>
      </w:numPr>
    </w:pPr>
  </w:style>
  <w:style w:type="paragraph" w:customStyle="1" w:styleId="ListAlpha2">
    <w:name w:val="List Alpha 2"/>
    <w:basedOn w:val="List2"/>
    <w:rsid w:val="00815DA7"/>
    <w:pPr>
      <w:numPr>
        <w:numId w:val="8"/>
      </w:numPr>
    </w:pPr>
  </w:style>
  <w:style w:type="paragraph" w:styleId="List2">
    <w:name w:val="List 2"/>
    <w:basedOn w:val="BodyText"/>
    <w:rsid w:val="00815DA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15DA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15DA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15DA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15DA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15DA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15DA7"/>
    <w:pPr>
      <w:numPr>
        <w:numId w:val="4"/>
      </w:numPr>
    </w:pPr>
  </w:style>
  <w:style w:type="paragraph" w:styleId="ListContinue2">
    <w:name w:val="List Continue 2"/>
    <w:basedOn w:val="List2"/>
    <w:rsid w:val="00815DA7"/>
    <w:pPr>
      <w:ind w:firstLine="0"/>
    </w:pPr>
  </w:style>
  <w:style w:type="paragraph" w:styleId="ListContinue3">
    <w:name w:val="List Continue 3"/>
    <w:basedOn w:val="List3"/>
    <w:rsid w:val="00815DA7"/>
    <w:pPr>
      <w:ind w:left="1021" w:firstLine="0"/>
    </w:pPr>
  </w:style>
  <w:style w:type="paragraph" w:styleId="ListContinue4">
    <w:name w:val="List Continue 4"/>
    <w:basedOn w:val="List4"/>
    <w:rsid w:val="00815DA7"/>
    <w:pPr>
      <w:ind w:firstLine="0"/>
    </w:pPr>
  </w:style>
  <w:style w:type="paragraph" w:styleId="ListContinue5">
    <w:name w:val="List Continue 5"/>
    <w:basedOn w:val="List5"/>
    <w:rsid w:val="00815DA7"/>
    <w:pPr>
      <w:ind w:firstLine="0"/>
    </w:pPr>
  </w:style>
  <w:style w:type="paragraph" w:styleId="ListNumber3">
    <w:name w:val="List Number 3"/>
    <w:basedOn w:val="List3"/>
    <w:rsid w:val="00815DA7"/>
    <w:pPr>
      <w:numPr>
        <w:numId w:val="5"/>
      </w:numPr>
    </w:pPr>
  </w:style>
  <w:style w:type="paragraph" w:styleId="ListNumber4">
    <w:name w:val="List Number 4"/>
    <w:basedOn w:val="List4"/>
    <w:rsid w:val="00815DA7"/>
    <w:pPr>
      <w:numPr>
        <w:numId w:val="6"/>
      </w:numPr>
    </w:pPr>
  </w:style>
  <w:style w:type="paragraph" w:styleId="ListNumber5">
    <w:name w:val="List Number 5"/>
    <w:basedOn w:val="List5"/>
    <w:rsid w:val="00815DA7"/>
    <w:pPr>
      <w:numPr>
        <w:numId w:val="7"/>
      </w:numPr>
    </w:pPr>
  </w:style>
  <w:style w:type="paragraph" w:styleId="BlockText">
    <w:name w:val="Block Text"/>
    <w:basedOn w:val="Normal"/>
    <w:rsid w:val="00815DA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15DA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15DA7"/>
    <w:rPr>
      <w:sz w:val="16"/>
      <w:vertAlign w:val="superscript"/>
    </w:rPr>
  </w:style>
  <w:style w:type="character" w:customStyle="1" w:styleId="Symbols">
    <w:name w:val="Symbols"/>
    <w:basedOn w:val="DefaultParagraphFont"/>
    <w:rsid w:val="00815DA7"/>
    <w:rPr>
      <w:rFonts w:ascii="Symbol" w:hAnsi="Symbol"/>
    </w:rPr>
  </w:style>
  <w:style w:type="character" w:customStyle="1" w:styleId="MenuOptions">
    <w:name w:val="Menu Options"/>
    <w:basedOn w:val="DefaultParagraphFont"/>
    <w:rsid w:val="00815DA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15DA7"/>
    <w:rPr>
      <w:b/>
    </w:rPr>
  </w:style>
  <w:style w:type="character" w:customStyle="1" w:styleId="Underlined">
    <w:name w:val="Underlined"/>
    <w:basedOn w:val="DefaultParagraphFont"/>
    <w:rsid w:val="00815DA7"/>
    <w:rPr>
      <w:u w:val="single"/>
    </w:rPr>
  </w:style>
  <w:style w:type="paragraph" w:customStyle="1" w:styleId="TableBodyTextRight">
    <w:name w:val="Table Body Text Right"/>
    <w:basedOn w:val="TableBodyText"/>
    <w:rsid w:val="00815DA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15DA7"/>
    <w:rPr>
      <w:sz w:val="18"/>
    </w:rPr>
  </w:style>
  <w:style w:type="paragraph" w:customStyle="1" w:styleId="BodySmallRight">
    <w:name w:val="Body Small Right"/>
    <w:basedOn w:val="BodyTextRight"/>
    <w:rsid w:val="00815DA7"/>
    <w:rPr>
      <w:sz w:val="18"/>
      <w:szCs w:val="18"/>
    </w:rPr>
  </w:style>
  <w:style w:type="paragraph" w:customStyle="1" w:styleId="MarginEdition">
    <w:name w:val="Margin Edition"/>
    <w:basedOn w:val="MarginNote"/>
    <w:rsid w:val="00815DA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15DA7"/>
    <w:rPr>
      <w:sz w:val="2"/>
      <w:szCs w:val="2"/>
    </w:rPr>
  </w:style>
  <w:style w:type="character" w:customStyle="1" w:styleId="Small">
    <w:name w:val="Small"/>
    <w:basedOn w:val="DefaultParagraphFont"/>
    <w:rsid w:val="00815DA7"/>
    <w:rPr>
      <w:sz w:val="16"/>
    </w:rPr>
  </w:style>
  <w:style w:type="paragraph" w:customStyle="1" w:styleId="WideTable">
    <w:name w:val="Wide Table"/>
    <w:basedOn w:val="Normal"/>
    <w:rsid w:val="00815DA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15DA7"/>
  </w:style>
  <w:style w:type="paragraph" w:styleId="Quote">
    <w:name w:val="Quote"/>
    <w:basedOn w:val="Heading1"/>
    <w:link w:val="QuoteChar"/>
    <w:qFormat/>
    <w:rsid w:val="00815DA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15DA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15DA7"/>
    <w:pPr>
      <w:pageBreakBefore/>
    </w:pPr>
  </w:style>
  <w:style w:type="paragraph" w:customStyle="1" w:styleId="Border">
    <w:name w:val="Border"/>
    <w:basedOn w:val="Normal"/>
    <w:qFormat/>
    <w:rsid w:val="00815DA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15DA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5DA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5DA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15DA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15DA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15DA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15DA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15DA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15DA7"/>
    <w:rPr>
      <w:u w:val="single"/>
    </w:rPr>
  </w:style>
  <w:style w:type="character" w:customStyle="1" w:styleId="BoldandItalics">
    <w:name w:val="Bold and Italics"/>
    <w:qFormat/>
    <w:rsid w:val="00815DA7"/>
    <w:rPr>
      <w:b/>
      <w:i/>
      <w:u w:val="none"/>
    </w:rPr>
  </w:style>
  <w:style w:type="paragraph" w:styleId="BalloonText">
    <w:name w:val="Balloon Text"/>
    <w:basedOn w:val="Normal"/>
    <w:link w:val="BalloonTextChar"/>
    <w:rsid w:val="00815DA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15DA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15DA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15DA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15DA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15DA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15DA7"/>
    <w:pPr>
      <w:spacing w:before="0" w:after="0"/>
    </w:pPr>
  </w:style>
  <w:style w:type="paragraph" w:customStyle="1" w:styleId="BodyTextBold">
    <w:name w:val="Body Text Bold"/>
    <w:basedOn w:val="BodyText"/>
    <w:qFormat/>
    <w:rsid w:val="00815DA7"/>
    <w:rPr>
      <w:b/>
    </w:rPr>
  </w:style>
  <w:style w:type="character" w:styleId="Hyperlink">
    <w:name w:val="Hyperlink"/>
    <w:basedOn w:val="DefaultParagraphFont"/>
    <w:uiPriority w:val="99"/>
    <w:unhideWhenUsed/>
    <w:rsid w:val="00DD4BD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376</Words>
  <Characters>2455</Characters>
  <Application>Microsoft Office Word</Application>
  <DocSecurity>0</DocSecurity>
  <Lines>61</Lines>
  <Paragraphs>39</Paragraphs>
  <ScaleCrop>false</ScaleCrop>
  <Company>Author-it Software Corporation Ltd.</Company>
  <LinksUpToDate>false</LinksUpToDate>
  <CharactersWithSpaces>2792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MEMPE007 Pull apart and re-assemble engineering mechanisms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2023-02-03T06:46:00Z</dcterms:created>
  <dcterms:modified xsi:type="dcterms:W3CDTF">2023-02-03T06:46:00Z</dcterms:modified>
</cp:coreProperties>
</file>