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05D" w:rsidP="0038405D">
      <w:pPr>
        <w:pStyle w:val="Title"/>
      </w:pPr>
      <w:r>
        <w:fldChar w:fldCharType="begin"/>
      </w:r>
      <w:r>
        <w:instrText xml:space="preserve"> TITLE   \* MERGEFORMAT </w:instrText>
      </w:r>
      <w:r>
        <w:fldChar w:fldCharType="separate"/>
      </w:r>
      <w:r>
        <w:t>MEM50010 Respond to boating emergencies and incidents</w:t>
      </w:r>
      <w:r>
        <w:fldChar w:fldCharType="end"/>
      </w:r>
    </w:p>
    <w:p w:rsidR="0038405D" w:rsidP="0038405D">
      <w:pPr>
        <w:pStyle w:val="Version"/>
        <w:sectPr w:rsidSect="001D3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37A" w:rsidP="001D337A">
      <w:pPr>
        <w:pStyle w:val="SuperHeading"/>
      </w:pPr>
      <w:r w:rsidRPr="001D337A">
        <w:t>MEM50010 Respond to boating emergencies and incidents</w:t>
      </w:r>
    </w:p>
    <w:p w:rsidR="00000000" w:rsidRPr="001D337A" w:rsidP="001D337A">
      <w:pPr>
        <w:pStyle w:val="Heading1"/>
      </w:pPr>
      <w:bookmarkStart w:id="1" w:name="O_952555"/>
      <w:bookmarkEnd w:id="1"/>
      <w:r w:rsidRPr="001D337A">
        <w:t>Modification History</w:t>
      </w:r>
    </w:p>
    <w:p w:rsidR="00000000" w:rsidRPr="001D337A" w:rsidP="0038405D">
      <w:pPr>
        <w:pStyle w:val="BodyText"/>
      </w:pPr>
      <w:r w:rsidRPr="001D337A">
        <w:t>Release 1. Supersedes and is equivalent to MEM50010B Respond to boating emergencies and incidents</w:t>
      </w:r>
    </w:p>
    <w:p w:rsidR="00000000" w:rsidRPr="001D337A" w:rsidP="001D337A">
      <w:pPr>
        <w:pStyle w:val="Heading1"/>
      </w:pPr>
      <w:bookmarkStart w:id="2" w:name="O_952563"/>
      <w:bookmarkEnd w:id="2"/>
      <w:r w:rsidRPr="001D337A">
        <w:t>Application</w:t>
      </w:r>
    </w:p>
    <w:p w:rsidR="00000000" w:rsidRPr="001D337A" w:rsidP="0038405D">
      <w:pPr>
        <w:pStyle w:val="BodyText"/>
      </w:pPr>
      <w:r w:rsidRPr="001D337A">
        <w:t>This unit of competency was developed by the National Marine Safety Committee (NMSC) and def</w:t>
      </w:r>
      <w:r w:rsidRPr="001D337A">
        <w:t xml:space="preserve">ines the skills and knowledge required to deal with boating emergencies and incidents, including the use of safety equipment and the provision of assistance to others in distress and includes raising alarms and dealing with on-board emergencies. </w:t>
      </w:r>
    </w:p>
    <w:p w:rsidR="00000000" w:rsidRPr="001D337A" w:rsidP="0038405D">
      <w:pPr>
        <w:pStyle w:val="BodyText"/>
      </w:pPr>
      <w:r w:rsidRPr="001D337A">
        <w:t>This uni</w:t>
      </w:r>
      <w:r w:rsidRPr="001D337A">
        <w:t>t is one of three core competencies that have been adopted by all government marine safety authorities to contribute to and promote the safe use of waterways and awareness of boating safety and applies to all recreational boats including personal watercraf</w:t>
      </w:r>
      <w:r w:rsidRPr="001D337A">
        <w:t>t.</w:t>
      </w:r>
    </w:p>
    <w:p w:rsidR="00000000" w:rsidRPr="001D337A" w:rsidP="0038405D">
      <w:pPr>
        <w:pStyle w:val="BodyText"/>
      </w:pPr>
      <w:r w:rsidRPr="001D337A">
        <w:t>Unit MEM50008 Carry out trip preparation and planning and unit MEM50009 Safely operate a mechanically powered recreational boat are the other two NMSC core units.</w:t>
      </w:r>
    </w:p>
    <w:p w:rsidR="00000000" w:rsidRPr="001D337A" w:rsidP="0038405D">
      <w:pPr>
        <w:pStyle w:val="BodyText"/>
      </w:pPr>
      <w:r w:rsidRPr="001D337A">
        <w:t>No licensing, legislative or certification requirements apply to this unit at the time o</w:t>
      </w:r>
      <w:r w:rsidRPr="001D337A">
        <w:t>f publication.</w:t>
      </w:r>
    </w:p>
    <w:p w:rsidR="00000000" w:rsidRPr="001D337A" w:rsidP="001D337A">
      <w:pPr>
        <w:pStyle w:val="BodyText"/>
      </w:pPr>
      <w:r w:rsidRPr="001D337A">
        <w:rPr>
          <w:rStyle w:val="SpecialBold"/>
        </w:rPr>
        <w:t>Band</w:t>
      </w:r>
      <w:r w:rsidRPr="001D337A">
        <w:t>:</w:t>
      </w:r>
      <w:r w:rsidRPr="001D337A">
        <w:tab/>
      </w:r>
      <w:r w:rsidRPr="001D337A">
        <w:rPr>
          <w:rStyle w:val="SpecialBold"/>
        </w:rPr>
        <w:t>E</w:t>
      </w:r>
    </w:p>
    <w:p w:rsidR="00000000" w:rsidRPr="001D337A" w:rsidP="001D337A">
      <w:pPr>
        <w:pStyle w:val="BodyText"/>
      </w:pPr>
      <w:r w:rsidRPr="001D337A">
        <w:rPr>
          <w:rStyle w:val="SpecialBold"/>
        </w:rPr>
        <w:t>Unit Weight</w:t>
      </w:r>
      <w:r w:rsidRPr="001D337A">
        <w:t>:</w:t>
      </w:r>
      <w:r w:rsidRPr="001D337A">
        <w:tab/>
      </w:r>
      <w:r w:rsidRPr="001D337A">
        <w:rPr>
          <w:rStyle w:val="SpecialBold"/>
        </w:rPr>
        <w:t>0</w:t>
      </w:r>
    </w:p>
    <w:p w:rsidR="00000000" w:rsidRPr="001D337A" w:rsidP="001D337A">
      <w:pPr>
        <w:pStyle w:val="AllowPageBreak"/>
      </w:pPr>
    </w:p>
    <w:p w:rsidR="00000000" w:rsidRPr="001D337A" w:rsidP="001D337A">
      <w:pPr>
        <w:pStyle w:val="Heading1"/>
      </w:pPr>
      <w:bookmarkStart w:id="3" w:name="O_952562"/>
      <w:bookmarkEnd w:id="3"/>
      <w:r w:rsidRPr="001D337A">
        <w:t>Pre-requisite Unit</w:t>
      </w:r>
    </w:p>
    <w:tbl>
      <w:tblPr>
        <w:tblW w:w="0" w:type="auto"/>
        <w:tblLayout w:type="fixed"/>
        <w:tblCellMar>
          <w:left w:w="62" w:type="dxa"/>
          <w:right w:w="62" w:type="dxa"/>
        </w:tblCellMar>
        <w:tblLook w:val="0000"/>
      </w:tblPr>
      <w:tblGrid>
        <w:gridCol w:w="2186"/>
        <w:gridCol w:w="6886"/>
      </w:tblGrid>
      <w:tr w:rsidTr="001D337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MEM13015</w:t>
            </w:r>
          </w:p>
        </w:tc>
        <w:tc>
          <w:tcPr>
            <w:tcW w:w="6886"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Work safely and effectively in manufacturing and engineering</w:t>
            </w:r>
          </w:p>
        </w:tc>
      </w:tr>
      <w:tr w:rsidTr="001D337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MEM16006</w:t>
            </w:r>
          </w:p>
        </w:tc>
        <w:tc>
          <w:tcPr>
            <w:tcW w:w="6886"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Organise and communicate information</w:t>
            </w:r>
          </w:p>
        </w:tc>
      </w:tr>
    </w:tbl>
    <w:p w:rsidR="00000000" w:rsidRPr="001D337A" w:rsidP="001D337A">
      <w:pPr>
        <w:pStyle w:val="BodyText"/>
      </w:pPr>
    </w:p>
    <w:p w:rsidR="00000000" w:rsidRPr="001D337A" w:rsidP="001D337A">
      <w:pPr>
        <w:pStyle w:val="AllowPageBreak"/>
      </w:pPr>
    </w:p>
    <w:p w:rsidR="00000000" w:rsidRPr="001D337A" w:rsidP="001D337A">
      <w:pPr>
        <w:pStyle w:val="Heading1"/>
      </w:pPr>
      <w:bookmarkStart w:id="4" w:name="O_952561"/>
      <w:bookmarkEnd w:id="4"/>
      <w:r w:rsidRPr="001D337A">
        <w:t>Competency Field</w:t>
      </w:r>
    </w:p>
    <w:p w:rsidR="00000000" w:rsidRPr="001D337A" w:rsidP="0038405D">
      <w:pPr>
        <w:pStyle w:val="BodyText"/>
      </w:pPr>
      <w:r w:rsidRPr="001D337A">
        <w:t>Boating services</w:t>
      </w:r>
    </w:p>
    <w:p w:rsidR="00000000" w:rsidRPr="001D337A" w:rsidP="001D337A">
      <w:pPr>
        <w:pStyle w:val="Heading1"/>
      </w:pPr>
      <w:bookmarkStart w:id="5" w:name="O_952559"/>
      <w:bookmarkEnd w:id="5"/>
      <w:r w:rsidRPr="001D337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D337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Performance criteria describe the performance needed to demonstrate achievement of the element.</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1</w:t>
            </w:r>
          </w:p>
        </w:tc>
        <w:tc>
          <w:tcPr>
            <w:tcW w:w="1986" w:type="dxa"/>
            <w:vMerge w:val="restart"/>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Use safety equipment</w:t>
            </w: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1.1</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Follow standard operating procedures (SOPs)</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1.2</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 xml:space="preserve">Comply with work health and safety (WHS) requirements at all times </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1.3</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Ensure nature, type, location, accessibility and serviceability of safety equipment is known and understood by all personnel on board</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1.4</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Conduct briefing of</w:t>
            </w:r>
            <w:r w:rsidRPr="001D337A">
              <w:t xml:space="preserve"> personnel before departure</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1.5</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Use safety equipment in a manner and purpose for which it was designed and appropriate to the emergency or incident</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2</w:t>
            </w:r>
          </w:p>
        </w:tc>
        <w:tc>
          <w:tcPr>
            <w:tcW w:w="1986" w:type="dxa"/>
            <w:vMerge w:val="restart"/>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Raise alarms</w:t>
            </w: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2.1</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Identify nature of emergency</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2.2</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Communicate alarm to on-board personnel</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2.3</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Use recognised distress signals to indicate need of assistance</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3</w:t>
            </w:r>
          </w:p>
        </w:tc>
        <w:tc>
          <w:tcPr>
            <w:tcW w:w="1986" w:type="dxa"/>
            <w:vMerge w:val="restart"/>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Deal with on-board emergency</w:t>
            </w: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3.1</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Inform on-board personnel of actions required to deal with the emergency</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3.2</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Implement procedures to combat emergency and protect persons on board</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3.3</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Identify position, record and communicate</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3.4</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Provide injured persons with assistance</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3.5</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Maintain communication with rescuers</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3.6</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Undertake preparation for abandoning the boat, as required</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3.7</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Communicate cessation of emergency to appropriate personnel</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4</w:t>
            </w:r>
          </w:p>
        </w:tc>
        <w:tc>
          <w:tcPr>
            <w:tcW w:w="1986" w:type="dxa"/>
            <w:vMerge w:val="restart"/>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Assist others in distress</w:t>
            </w: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4.1</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Recognise distress signals from others</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4.2</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Identify nature of assistance required</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4.3</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 xml:space="preserve">Determine capability to safely assist or relay emergency taking into account own safety and physical proximity to </w:t>
            </w:r>
            <w:r w:rsidRPr="001D337A">
              <w:t>the emergency incident</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4.4</w:t>
            </w:r>
          </w:p>
        </w:tc>
        <w:tc>
          <w:tcPr>
            <w:tcW w:w="5678"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Prepare for appropriate response to the emergency and implement</w:t>
            </w:r>
          </w:p>
        </w:tc>
      </w:tr>
      <w:tr w:rsidTr="001D337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4.5</w:t>
            </w:r>
          </w:p>
        </w:tc>
        <w:tc>
          <w:tcPr>
            <w:tcW w:w="5678" w:type="dxa"/>
            <w:tcBorders>
              <w:top w:val="nil"/>
              <w:left w:val="nil"/>
              <w:bottom w:val="nil"/>
              <w:right w:val="nil"/>
            </w:tcBorders>
            <w:tcMar>
              <w:top w:w="0" w:type="dxa"/>
              <w:left w:w="62" w:type="dxa"/>
              <w:bottom w:w="0" w:type="dxa"/>
              <w:right w:w="62" w:type="dxa"/>
            </w:tcMar>
          </w:tcPr>
          <w:p w:rsidR="00000000" w:rsidRPr="001D337A" w:rsidP="001D337A">
            <w:pPr>
              <w:pStyle w:val="BodyText"/>
            </w:pPr>
            <w:r w:rsidRPr="001D337A">
              <w:t>Communicate cessation of emergency incide</w:t>
            </w:r>
            <w:r w:rsidRPr="001D337A">
              <w:t>nt to appropriate personnel</w:t>
            </w:r>
          </w:p>
        </w:tc>
      </w:tr>
    </w:tbl>
    <w:p w:rsidR="00000000" w:rsidRPr="001D337A" w:rsidP="001D337A">
      <w:pPr>
        <w:pStyle w:val="BodyText"/>
      </w:pPr>
    </w:p>
    <w:p w:rsidR="00000000" w:rsidRPr="001D337A" w:rsidP="001D337A">
      <w:pPr>
        <w:pStyle w:val="AllowPageBreak"/>
      </w:pPr>
    </w:p>
    <w:p w:rsidR="00000000" w:rsidRPr="001D337A" w:rsidP="001D337A">
      <w:pPr>
        <w:pStyle w:val="Heading1"/>
      </w:pPr>
      <w:bookmarkStart w:id="6" w:name="O_952558"/>
      <w:bookmarkEnd w:id="6"/>
      <w:r w:rsidRPr="001D337A">
        <w:t>Foundation Skills</w:t>
      </w:r>
    </w:p>
    <w:p w:rsidR="00000000" w:rsidRPr="001D337A" w:rsidP="0038405D">
      <w:pPr>
        <w:pStyle w:val="BodyText"/>
      </w:pPr>
      <w:r w:rsidRPr="001D337A">
        <w:t xml:space="preserve">This section describes those required skills (reading, writing, oral communication and numeracy) that are essential to workplace performance in this unit of competency.  </w:t>
      </w:r>
    </w:p>
    <w:p w:rsidR="00000000" w:rsidRPr="001D337A" w:rsidP="0038405D">
      <w:pPr>
        <w:pStyle w:val="BodyText"/>
      </w:pPr>
      <w:r w:rsidRPr="001D337A">
        <w:t>Foundation skills e</w:t>
      </w:r>
      <w:r w:rsidRPr="001D337A">
        <w:t>ssential to performance are explicit in the performance criteria of this unit of competency.</w:t>
      </w:r>
    </w:p>
    <w:p w:rsidR="00000000" w:rsidRPr="001D337A" w:rsidP="001D337A">
      <w:pPr>
        <w:pStyle w:val="Heading1"/>
      </w:pPr>
      <w:bookmarkStart w:id="7" w:name="O_952557"/>
      <w:bookmarkEnd w:id="7"/>
      <w:r w:rsidRPr="001D337A">
        <w:t>Range of Conditions</w:t>
      </w:r>
    </w:p>
    <w:tbl>
      <w:tblPr>
        <w:tblW w:w="0" w:type="auto"/>
        <w:tblLayout w:type="fixed"/>
        <w:tblCellMar>
          <w:left w:w="62" w:type="dxa"/>
          <w:right w:w="62" w:type="dxa"/>
        </w:tblCellMar>
        <w:tblLook w:val="0000"/>
      </w:tblPr>
      <w:tblGrid>
        <w:gridCol w:w="2782"/>
        <w:gridCol w:w="6308"/>
      </w:tblGrid>
      <w:tr w:rsidTr="001D337A">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t>This field allows for different work environments and conditions that may affect performance. Essential operating conditions t</w:t>
            </w:r>
            <w:r w:rsidRPr="001D337A">
              <w:t>hat may be present (depending on the work situation, needs of the candidate, accessibility of the item, and local industry and regional contexts) are included.</w:t>
            </w:r>
          </w:p>
        </w:tc>
      </w:tr>
      <w:tr w:rsidTr="001D337A">
        <w:tblPrEx>
          <w:tblW w:w="0" w:type="auto"/>
          <w:tblLayout w:type="fixed"/>
          <w:tblCellMar>
            <w:left w:w="62" w:type="dxa"/>
            <w:right w:w="62" w:type="dxa"/>
          </w:tblCellMar>
          <w:tblLook w:val="0000"/>
        </w:tblPrEx>
        <w:trPr>
          <w:trHeight w:val="2233"/>
        </w:trPr>
        <w:tc>
          <w:tcPr>
            <w:tcW w:w="2782"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Briefing information includes the following:</w:t>
            </w:r>
          </w:p>
        </w:tc>
        <w:tc>
          <w:tcPr>
            <w:tcW w:w="6308" w:type="dxa"/>
            <w:tcBorders>
              <w:top w:val="nil"/>
              <w:left w:val="nil"/>
              <w:bottom w:val="nil"/>
              <w:right w:val="nil"/>
            </w:tcBorders>
            <w:tcMar>
              <w:top w:w="0" w:type="dxa"/>
              <w:left w:w="62" w:type="dxa"/>
              <w:bottom w:w="0" w:type="dxa"/>
              <w:right w:w="62" w:type="dxa"/>
            </w:tcMar>
          </w:tcPr>
          <w:p w:rsidR="00000000" w:rsidRPr="001D337A" w:rsidP="001D337A">
            <w:pPr>
              <w:pStyle w:val="ListBullet"/>
            </w:pPr>
            <w:r w:rsidRPr="001D337A">
              <w:t>vessel operation</w:t>
            </w:r>
          </w:p>
          <w:p w:rsidR="00000000" w:rsidRPr="001D337A" w:rsidP="001D337A">
            <w:pPr>
              <w:pStyle w:val="ListBullet"/>
            </w:pPr>
            <w:r w:rsidRPr="001D337A">
              <w:t>personnel assessment, including swimming skills, boating knowledge, medication and dietary requirements</w:t>
            </w:r>
          </w:p>
          <w:p w:rsidR="00000000" w:rsidRPr="001D337A" w:rsidP="001D337A">
            <w:pPr>
              <w:pStyle w:val="ListBullet"/>
            </w:pPr>
            <w:r w:rsidRPr="001D337A">
              <w:t>location and use of safety equipment</w:t>
            </w:r>
          </w:p>
          <w:p w:rsidR="00000000" w:rsidRPr="001D337A" w:rsidP="001D337A">
            <w:pPr>
              <w:pStyle w:val="ListBullet"/>
            </w:pPr>
            <w:r w:rsidRPr="001D337A">
              <w:t>emergency procedures</w:t>
            </w:r>
          </w:p>
          <w:p w:rsidR="00000000" w:rsidP="001D337A">
            <w:pPr>
              <w:pStyle w:val="ListBullet"/>
              <w:rPr>
                <w:lang w:val="en-NZ"/>
              </w:rPr>
            </w:pPr>
            <w:r w:rsidRPr="001D337A">
              <w:t>abandoning procedures</w:t>
            </w:r>
          </w:p>
        </w:tc>
      </w:tr>
      <w:tr w:rsidTr="001D337A">
        <w:tblPrEx>
          <w:tblW w:w="0" w:type="auto"/>
          <w:tblLayout w:type="fixed"/>
          <w:tblCellMar>
            <w:left w:w="62" w:type="dxa"/>
            <w:right w:w="62" w:type="dxa"/>
          </w:tblCellMar>
          <w:tblLook w:val="0000"/>
        </w:tblPrEx>
        <w:trPr>
          <w:trHeight w:val="5448"/>
        </w:trPr>
        <w:tc>
          <w:tcPr>
            <w:tcW w:w="2782"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Emergencies include one (1) or more of the following:</w:t>
            </w:r>
          </w:p>
        </w:tc>
        <w:tc>
          <w:tcPr>
            <w:tcW w:w="6308" w:type="dxa"/>
            <w:tcBorders>
              <w:top w:val="nil"/>
              <w:left w:val="nil"/>
              <w:bottom w:val="nil"/>
              <w:right w:val="nil"/>
            </w:tcBorders>
            <w:tcMar>
              <w:top w:w="0" w:type="dxa"/>
              <w:left w:w="62" w:type="dxa"/>
              <w:bottom w:w="0" w:type="dxa"/>
              <w:right w:w="62" w:type="dxa"/>
            </w:tcMar>
          </w:tcPr>
          <w:p w:rsidR="00000000" w:rsidRPr="001D337A" w:rsidP="001D337A">
            <w:pPr>
              <w:pStyle w:val="ListBullet"/>
            </w:pPr>
            <w:r w:rsidRPr="001D337A">
              <w:t>fire (smoke or heat)</w:t>
            </w:r>
          </w:p>
          <w:p w:rsidR="00000000" w:rsidRPr="001D337A" w:rsidP="001D337A">
            <w:pPr>
              <w:pStyle w:val="ListBullet"/>
            </w:pPr>
            <w:r w:rsidRPr="001D337A">
              <w:t>grounding</w:t>
            </w:r>
          </w:p>
          <w:p w:rsidR="00000000" w:rsidRPr="001D337A" w:rsidP="001D337A">
            <w:pPr>
              <w:pStyle w:val="ListBullet"/>
            </w:pPr>
            <w:r w:rsidRPr="001D337A">
              <w:t>person overboard</w:t>
            </w:r>
          </w:p>
          <w:p w:rsidR="00000000" w:rsidRPr="001D337A" w:rsidP="001D337A">
            <w:pPr>
              <w:pStyle w:val="ListBullet"/>
            </w:pPr>
            <w:r w:rsidRPr="001D337A">
              <w:t>person retrieval from water</w:t>
            </w:r>
          </w:p>
          <w:p w:rsidR="00000000" w:rsidRPr="001D337A" w:rsidP="001D337A">
            <w:pPr>
              <w:pStyle w:val="ListBullet"/>
            </w:pPr>
            <w:r w:rsidRPr="001D337A">
              <w:t>capsize</w:t>
            </w:r>
          </w:p>
          <w:p w:rsidR="00000000" w:rsidRPr="001D337A" w:rsidP="001D337A">
            <w:pPr>
              <w:pStyle w:val="ListBullet"/>
            </w:pPr>
            <w:r w:rsidRPr="001D337A">
              <w:t>swamping</w:t>
            </w:r>
          </w:p>
          <w:p w:rsidR="00000000" w:rsidRPr="001D337A" w:rsidP="001D337A">
            <w:pPr>
              <w:pStyle w:val="ListBullet"/>
            </w:pPr>
            <w:r w:rsidRPr="001D337A">
              <w:t>sinking</w:t>
            </w:r>
          </w:p>
          <w:p w:rsidR="00000000" w:rsidRPr="001D337A" w:rsidP="001D337A">
            <w:pPr>
              <w:pStyle w:val="ListBullet"/>
            </w:pPr>
            <w:r w:rsidRPr="001D337A">
              <w:t>engine/motor breakdown or malfunction</w:t>
            </w:r>
          </w:p>
          <w:p w:rsidR="00000000" w:rsidRPr="001D337A" w:rsidP="001D337A">
            <w:pPr>
              <w:pStyle w:val="ListBullet"/>
            </w:pPr>
            <w:r w:rsidRPr="001D337A">
              <w:t>fouled propeller</w:t>
            </w:r>
          </w:p>
          <w:p w:rsidR="00000000" w:rsidRPr="001D337A" w:rsidP="001D337A">
            <w:pPr>
              <w:pStyle w:val="ListBullet"/>
            </w:pPr>
            <w:r w:rsidRPr="001D337A">
              <w:t>anchoring</w:t>
            </w:r>
          </w:p>
          <w:p w:rsidR="00000000" w:rsidRPr="001D337A" w:rsidP="001D337A">
            <w:pPr>
              <w:pStyle w:val="ListBullet"/>
            </w:pPr>
            <w:r w:rsidRPr="001D337A">
              <w:t>flooding</w:t>
            </w:r>
          </w:p>
          <w:p w:rsidR="00000000" w:rsidRPr="001D337A" w:rsidP="001D337A">
            <w:pPr>
              <w:pStyle w:val="ListBullet"/>
            </w:pPr>
            <w:r w:rsidRPr="001D337A">
              <w:t>lost</w:t>
            </w:r>
          </w:p>
          <w:p w:rsidR="00000000" w:rsidRPr="001D337A" w:rsidP="001D337A">
            <w:pPr>
              <w:pStyle w:val="ListBullet"/>
            </w:pPr>
            <w:r w:rsidRPr="001D337A">
              <w:t>injuries/illness</w:t>
            </w:r>
          </w:p>
          <w:p w:rsidR="00000000" w:rsidRPr="001D337A" w:rsidP="001D337A">
            <w:pPr>
              <w:pStyle w:val="ListBullet"/>
            </w:pPr>
            <w:r w:rsidRPr="001D337A">
              <w:t>hypothermia</w:t>
            </w:r>
          </w:p>
          <w:p w:rsidR="00000000" w:rsidRPr="001D337A" w:rsidP="001D337A">
            <w:pPr>
              <w:pStyle w:val="ListBullet"/>
            </w:pPr>
            <w:r w:rsidRPr="001D337A">
              <w:t>lack of fuel</w:t>
            </w:r>
          </w:p>
          <w:p w:rsidR="00000000" w:rsidP="001D337A">
            <w:pPr>
              <w:pStyle w:val="ListBullet"/>
              <w:rPr>
                <w:lang w:val="en-NZ"/>
              </w:rPr>
            </w:pPr>
            <w:r w:rsidRPr="001D337A">
              <w:t>contaminated fuel</w:t>
            </w:r>
          </w:p>
        </w:tc>
      </w:tr>
      <w:tr w:rsidTr="001D337A">
        <w:tblPrEx>
          <w:tblW w:w="0" w:type="auto"/>
          <w:tblLayout w:type="fixed"/>
          <w:tblCellMar>
            <w:left w:w="62" w:type="dxa"/>
            <w:right w:w="62" w:type="dxa"/>
          </w:tblCellMar>
          <w:tblLook w:val="0000"/>
        </w:tblPrEx>
        <w:trPr>
          <w:trHeight w:val="4088"/>
        </w:trPr>
        <w:tc>
          <w:tcPr>
            <w:tcW w:w="2782"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Distress signals include one (1) or more of the following:</w:t>
            </w:r>
          </w:p>
        </w:tc>
        <w:tc>
          <w:tcPr>
            <w:tcW w:w="6308" w:type="dxa"/>
            <w:tcBorders>
              <w:top w:val="nil"/>
              <w:left w:val="nil"/>
              <w:bottom w:val="nil"/>
              <w:right w:val="nil"/>
            </w:tcBorders>
            <w:tcMar>
              <w:top w:w="0" w:type="dxa"/>
              <w:left w:w="62" w:type="dxa"/>
              <w:bottom w:w="0" w:type="dxa"/>
              <w:right w:w="62" w:type="dxa"/>
            </w:tcMar>
          </w:tcPr>
          <w:p w:rsidR="00000000" w:rsidRPr="001D337A" w:rsidP="001D337A">
            <w:pPr>
              <w:pStyle w:val="ListBullet"/>
            </w:pPr>
            <w:r w:rsidRPr="001D337A">
              <w:t>pyrotechnic distress flares</w:t>
            </w:r>
          </w:p>
          <w:p w:rsidR="00000000" w:rsidRPr="001D337A" w:rsidP="001D337A">
            <w:pPr>
              <w:pStyle w:val="ListBullet"/>
            </w:pPr>
            <w:r w:rsidRPr="001D337A">
              <w:t>flags</w:t>
            </w:r>
          </w:p>
          <w:p w:rsidR="00000000" w:rsidRPr="001D337A" w:rsidP="001D337A">
            <w:pPr>
              <w:pStyle w:val="ListBullet"/>
            </w:pPr>
            <w:r w:rsidRPr="001D337A">
              <w:t>radio</w:t>
            </w:r>
          </w:p>
          <w:p w:rsidR="00000000" w:rsidRPr="001D337A" w:rsidP="001D337A">
            <w:pPr>
              <w:pStyle w:val="ListBullet"/>
            </w:pPr>
            <w:r w:rsidRPr="001D337A">
              <w:t>hand signals</w:t>
            </w:r>
          </w:p>
          <w:p w:rsidR="00000000" w:rsidRPr="001D337A" w:rsidP="001D337A">
            <w:pPr>
              <w:pStyle w:val="ListBullet"/>
            </w:pPr>
            <w:r w:rsidRPr="001D337A">
              <w:t>dye markers</w:t>
            </w:r>
          </w:p>
          <w:p w:rsidR="00000000" w:rsidRPr="001D337A" w:rsidP="001D337A">
            <w:pPr>
              <w:pStyle w:val="ListBullet"/>
            </w:pPr>
            <w:r w:rsidRPr="001D337A">
              <w:t>International Code Signal of Distress</w:t>
            </w:r>
          </w:p>
          <w:p w:rsidR="00000000" w:rsidRPr="001D337A" w:rsidP="001D337A">
            <w:pPr>
              <w:pStyle w:val="ListBullet"/>
            </w:pPr>
            <w:r w:rsidRPr="001D337A">
              <w:t>sound signal including voice</w:t>
            </w:r>
          </w:p>
          <w:p w:rsidR="00000000" w:rsidRPr="001D337A" w:rsidP="001D337A">
            <w:pPr>
              <w:pStyle w:val="ListBullet"/>
            </w:pPr>
            <w:r w:rsidRPr="001D337A">
              <w:t>emergency position-indicating radio beacon (EPIRB)</w:t>
            </w:r>
          </w:p>
          <w:p w:rsidR="00000000" w:rsidRPr="001D337A" w:rsidP="001D337A">
            <w:pPr>
              <w:pStyle w:val="ListBullet"/>
            </w:pPr>
            <w:r w:rsidRPr="001D337A">
              <w:t>V-sheet</w:t>
            </w:r>
          </w:p>
          <w:p w:rsidR="00000000" w:rsidRPr="001D337A" w:rsidP="001D337A">
            <w:pPr>
              <w:pStyle w:val="ListBullet"/>
            </w:pPr>
            <w:r w:rsidRPr="001D337A">
              <w:t>refle</w:t>
            </w:r>
            <w:r w:rsidRPr="001D337A">
              <w:t>ctive mirror</w:t>
            </w:r>
          </w:p>
          <w:p w:rsidR="00000000" w:rsidRPr="001D337A" w:rsidP="001D337A">
            <w:pPr>
              <w:pStyle w:val="ListBullet"/>
            </w:pPr>
            <w:r w:rsidRPr="001D337A">
              <w:t>light signals</w:t>
            </w:r>
          </w:p>
          <w:p w:rsidR="00000000" w:rsidP="001D337A">
            <w:pPr>
              <w:pStyle w:val="ListBullet"/>
              <w:rPr>
                <w:lang w:val="en-NZ"/>
              </w:rPr>
            </w:pPr>
            <w:r w:rsidRPr="001D337A">
              <w:t>mobile phone</w:t>
            </w:r>
          </w:p>
        </w:tc>
      </w:tr>
      <w:tr w:rsidTr="001D337A">
        <w:tblPrEx>
          <w:tblW w:w="0" w:type="auto"/>
          <w:tblLayout w:type="fixed"/>
          <w:tblCellMar>
            <w:left w:w="62" w:type="dxa"/>
            <w:right w:w="62" w:type="dxa"/>
          </w:tblCellMar>
          <w:tblLook w:val="0000"/>
        </w:tblPrEx>
        <w:trPr>
          <w:trHeight w:val="4088"/>
        </w:trPr>
        <w:tc>
          <w:tcPr>
            <w:tcW w:w="2782" w:type="dxa"/>
            <w:tcBorders>
              <w:top w:val="nil"/>
              <w:left w:val="nil"/>
              <w:bottom w:val="nil"/>
              <w:right w:val="nil"/>
            </w:tcBorders>
            <w:tcMar>
              <w:top w:w="0" w:type="dxa"/>
              <w:left w:w="62" w:type="dxa"/>
              <w:bottom w:w="0" w:type="dxa"/>
              <w:right w:w="62" w:type="dxa"/>
            </w:tcMar>
          </w:tcPr>
          <w:p w:rsidR="00000000" w:rsidP="001D337A">
            <w:pPr>
              <w:pStyle w:val="BodyText"/>
              <w:rPr>
                <w:lang w:val="en-NZ"/>
              </w:rPr>
            </w:pPr>
            <w:r w:rsidRPr="001D337A">
              <w:rPr>
                <w:rStyle w:val="SpecialBold"/>
              </w:rPr>
              <w:t>Preparation for abandoning includes the following:</w:t>
            </w:r>
          </w:p>
        </w:tc>
        <w:tc>
          <w:tcPr>
            <w:tcW w:w="6308" w:type="dxa"/>
            <w:tcBorders>
              <w:top w:val="nil"/>
              <w:left w:val="nil"/>
              <w:bottom w:val="nil"/>
              <w:right w:val="nil"/>
            </w:tcBorders>
            <w:tcMar>
              <w:top w:w="0" w:type="dxa"/>
              <w:left w:w="62" w:type="dxa"/>
              <w:bottom w:w="0" w:type="dxa"/>
              <w:right w:w="62" w:type="dxa"/>
            </w:tcMar>
          </w:tcPr>
          <w:p w:rsidR="00000000" w:rsidRPr="001D337A" w:rsidP="001D337A">
            <w:pPr>
              <w:pStyle w:val="ListBullet"/>
            </w:pPr>
            <w:r w:rsidRPr="001D337A">
              <w:t>brief on-board personnel</w:t>
            </w:r>
          </w:p>
          <w:p w:rsidR="00000000" w:rsidRPr="001D337A" w:rsidP="001D337A">
            <w:pPr>
              <w:pStyle w:val="ListBullet"/>
            </w:pPr>
            <w:r w:rsidRPr="001D337A">
              <w:t>take drinking water</w:t>
            </w:r>
          </w:p>
          <w:p w:rsidR="00000000" w:rsidRPr="001D337A" w:rsidP="001D337A">
            <w:pPr>
              <w:pStyle w:val="ListBullet"/>
            </w:pPr>
            <w:r w:rsidRPr="001D337A">
              <w:t>don of life jackets</w:t>
            </w:r>
          </w:p>
          <w:p w:rsidR="00000000" w:rsidRPr="001D337A" w:rsidP="001D337A">
            <w:pPr>
              <w:pStyle w:val="ListBullet"/>
            </w:pPr>
            <w:r w:rsidRPr="001D337A">
              <w:t>identify location of vessel</w:t>
            </w:r>
          </w:p>
          <w:p w:rsidR="00000000" w:rsidRPr="001D337A" w:rsidP="001D337A">
            <w:pPr>
              <w:pStyle w:val="ListBullet"/>
            </w:pPr>
            <w:r w:rsidRPr="001D337A">
              <w:t>communicate to rescuers actions taken or to be taken</w:t>
            </w:r>
          </w:p>
          <w:p w:rsidR="00000000" w:rsidRPr="001D337A" w:rsidP="001D337A">
            <w:pPr>
              <w:pStyle w:val="ListBullet"/>
            </w:pPr>
            <w:r w:rsidRPr="001D337A">
              <w:t>assess and ensure readiness of life rafts/life rings</w:t>
            </w:r>
          </w:p>
          <w:p w:rsidR="00000000" w:rsidRPr="001D337A" w:rsidP="001D337A">
            <w:pPr>
              <w:pStyle w:val="ListBullet"/>
            </w:pPr>
            <w:r w:rsidRPr="001D337A">
              <w:t>activate emergency position indicating radio beacon (EPIRB)</w:t>
            </w:r>
          </w:p>
          <w:p w:rsidR="00000000" w:rsidRPr="001D337A" w:rsidP="001D337A">
            <w:pPr>
              <w:pStyle w:val="ListBullet"/>
            </w:pPr>
            <w:r w:rsidRPr="001D337A">
              <w:t>identify and collect emergency equipment, provisions and clothing</w:t>
            </w:r>
          </w:p>
          <w:p w:rsidR="00000000" w:rsidRPr="001D337A" w:rsidP="001D337A">
            <w:pPr>
              <w:pStyle w:val="ListBullet"/>
            </w:pPr>
            <w:r w:rsidRPr="001D337A">
              <w:t xml:space="preserve">deploy anchor or sea anchor </w:t>
            </w:r>
          </w:p>
        </w:tc>
      </w:tr>
    </w:tbl>
    <w:p w:rsidR="00000000" w:rsidRPr="001D337A" w:rsidP="001D337A">
      <w:pPr>
        <w:pStyle w:val="BodyText"/>
      </w:pPr>
    </w:p>
    <w:p w:rsidR="00000000" w:rsidRPr="001D337A" w:rsidP="001D337A">
      <w:pPr>
        <w:pStyle w:val="AllowPageBreak"/>
      </w:pPr>
    </w:p>
    <w:p w:rsidR="00000000" w:rsidRPr="001D337A" w:rsidP="001D337A">
      <w:pPr>
        <w:pStyle w:val="Heading1"/>
      </w:pPr>
      <w:bookmarkStart w:id="8" w:name="O_952556"/>
      <w:bookmarkEnd w:id="8"/>
      <w:r w:rsidRPr="001D337A">
        <w:t>Unit Mapping Information</w:t>
      </w:r>
    </w:p>
    <w:p w:rsidR="00000000" w:rsidRPr="001D337A" w:rsidP="0038405D">
      <w:pPr>
        <w:pStyle w:val="BodyText"/>
      </w:pPr>
      <w:r w:rsidRPr="001D337A">
        <w:t>Release 1. Supersedes and is equivalent to MEM50010B Respond to boating emergencies and incidents</w:t>
      </w:r>
    </w:p>
    <w:p w:rsidR="00000000" w:rsidRPr="001D337A" w:rsidP="001D337A">
      <w:pPr>
        <w:pStyle w:val="Heading1"/>
      </w:pPr>
      <w:bookmarkStart w:id="9" w:name="O_952549"/>
      <w:bookmarkEnd w:id="9"/>
      <w:r w:rsidRPr="001D337A">
        <w:t>Links</w:t>
      </w:r>
    </w:p>
    <w:p w:rsidR="00000000" w:rsidRPr="001D337A" w:rsidP="0038405D">
      <w:pPr>
        <w:pStyle w:val="BodyText"/>
      </w:pPr>
      <w:r w:rsidRPr="001D337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7F1A">
        <w:rPr>
          <w:rStyle w:val="Hyperlink"/>
        </w:rPr>
        <w:t>https://vetnet.gov.au/Pages/TrainingDocs.aspx?q=b7050d37-5fd0-4740-8f7d-3b7a49c10bb2</w:t>
      </w:r>
      <w:r>
        <w:fldChar w:fldCharType="end"/>
      </w:r>
    </w:p>
    <w:p w:rsidR="00000000" w:rsidRPr="001D337A" w:rsidP="001D337A"/>
    <w:sectPr w:rsidSect="001D33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7A" w:rsidRPr="0038405D" w:rsidP="00384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5D" w:rsidP="001D3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05D" w:rsidP="001D33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405D" w:rsidP="001D3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37A" w:rsidRPr="0038405D" w:rsidP="00384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5D" w:rsidRPr="002D2AF8" w:rsidP="001D337A">
    <w:pPr>
      <w:pStyle w:val="Header"/>
      <w:framePr w:wrap="around"/>
    </w:pPr>
    <w:r>
      <w:fldChar w:fldCharType="begin"/>
    </w:r>
    <w:r>
      <w:instrText xml:space="preserve"> TITLE   \* MERGEFORMAT </w:instrText>
    </w:r>
    <w:r>
      <w:fldChar w:fldCharType="separate"/>
    </w:r>
    <w:r>
      <w:t>MEM50010 Respond to boating emergencies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8405D" w:rsidP="001D3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5CF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7CD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37A"/>
    <w:pPr>
      <w:spacing w:before="360" w:after="60"/>
      <w:outlineLvl w:val="0"/>
    </w:pPr>
    <w:rPr>
      <w:sz w:val="32"/>
    </w:rPr>
  </w:style>
  <w:style w:type="paragraph" w:styleId="Heading2">
    <w:name w:val="heading 2"/>
    <w:basedOn w:val="HeadingBase"/>
    <w:next w:val="BodyText"/>
    <w:link w:val="Heading2Char"/>
    <w:qFormat/>
    <w:rsid w:val="001D337A"/>
    <w:pPr>
      <w:keepLines/>
      <w:spacing w:before="240" w:after="120"/>
      <w:outlineLvl w:val="1"/>
    </w:pPr>
    <w:rPr>
      <w:sz w:val="28"/>
      <w:szCs w:val="40"/>
    </w:rPr>
  </w:style>
  <w:style w:type="paragraph" w:styleId="Heading3">
    <w:name w:val="heading 3"/>
    <w:basedOn w:val="HeadingBase"/>
    <w:next w:val="BodyText"/>
    <w:link w:val="Heading3Char"/>
    <w:qFormat/>
    <w:rsid w:val="001D337A"/>
    <w:pPr>
      <w:spacing w:before="180" w:after="120"/>
      <w:outlineLvl w:val="2"/>
    </w:pPr>
    <w:rPr>
      <w:spacing w:val="-10"/>
      <w:kern w:val="32"/>
    </w:rPr>
  </w:style>
  <w:style w:type="paragraph" w:styleId="Heading4">
    <w:name w:val="heading 4"/>
    <w:basedOn w:val="HeadingBase"/>
    <w:next w:val="BodyText"/>
    <w:link w:val="Heading4Char"/>
    <w:qFormat/>
    <w:rsid w:val="001D337A"/>
    <w:pPr>
      <w:spacing w:before="160" w:after="120"/>
      <w:outlineLvl w:val="3"/>
    </w:pPr>
    <w:rPr>
      <w:sz w:val="22"/>
    </w:rPr>
  </w:style>
  <w:style w:type="paragraph" w:styleId="Heading5">
    <w:name w:val="heading 5"/>
    <w:basedOn w:val="HeadingBase"/>
    <w:next w:val="Normal"/>
    <w:link w:val="Heading5Char"/>
    <w:qFormat/>
    <w:rsid w:val="001D337A"/>
    <w:pPr>
      <w:spacing w:before="80"/>
      <w:outlineLvl w:val="4"/>
    </w:pPr>
    <w:rPr>
      <w:color w:val="918585"/>
      <w:sz w:val="20"/>
    </w:rPr>
  </w:style>
  <w:style w:type="paragraph" w:styleId="Heading6">
    <w:name w:val="heading 6"/>
    <w:basedOn w:val="HeadingBase"/>
    <w:next w:val="Normal"/>
    <w:link w:val="Heading6Char"/>
    <w:qFormat/>
    <w:rsid w:val="001D337A"/>
    <w:pPr>
      <w:spacing w:before="60"/>
      <w:outlineLvl w:val="5"/>
    </w:pPr>
    <w:rPr>
      <w:color w:val="918585"/>
      <w:sz w:val="20"/>
    </w:rPr>
  </w:style>
  <w:style w:type="paragraph" w:styleId="Heading7">
    <w:name w:val="heading 7"/>
    <w:basedOn w:val="Normal"/>
    <w:next w:val="Normal"/>
    <w:link w:val="Heading7Char"/>
    <w:qFormat/>
    <w:rsid w:val="001D337A"/>
    <w:pPr>
      <w:ind w:left="720"/>
      <w:outlineLvl w:val="6"/>
    </w:pPr>
    <w:rPr>
      <w:i/>
    </w:rPr>
  </w:style>
  <w:style w:type="paragraph" w:styleId="Heading8">
    <w:name w:val="heading 8"/>
    <w:basedOn w:val="Normal"/>
    <w:next w:val="Normal"/>
    <w:link w:val="Heading8Char"/>
    <w:qFormat/>
    <w:rsid w:val="001D337A"/>
    <w:pPr>
      <w:ind w:left="720"/>
      <w:outlineLvl w:val="7"/>
    </w:pPr>
    <w:rPr>
      <w:i/>
    </w:rPr>
  </w:style>
  <w:style w:type="paragraph" w:styleId="Heading9">
    <w:name w:val="heading 9"/>
    <w:basedOn w:val="Normal"/>
    <w:next w:val="Normal"/>
    <w:link w:val="Heading9Char"/>
    <w:qFormat/>
    <w:rsid w:val="001D337A"/>
    <w:pPr>
      <w:ind w:left="720"/>
      <w:outlineLvl w:val="8"/>
    </w:pPr>
    <w:rPr>
      <w:i/>
    </w:rPr>
  </w:style>
  <w:style w:type="character" w:default="1" w:styleId="DefaultParagraphFont">
    <w:name w:val="Default Paragraph Font"/>
    <w:uiPriority w:val="1"/>
    <w:unhideWhenUsed/>
    <w:rsid w:val="001D3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37A"/>
  </w:style>
  <w:style w:type="character" w:customStyle="1" w:styleId="Heading1Char">
    <w:name w:val="Heading 1 Char"/>
    <w:basedOn w:val="DefaultParagraphFont"/>
    <w:link w:val="Heading1"/>
    <w:rsid w:val="001D337A"/>
    <w:rPr>
      <w:rFonts w:ascii="Times New Roman" w:eastAsia="Times New Roman" w:hAnsi="Times New Roman" w:cs="Times New Roman"/>
      <w:b/>
      <w:sz w:val="32"/>
      <w:szCs w:val="20"/>
      <w:lang w:eastAsia="en-US"/>
    </w:rPr>
  </w:style>
  <w:style w:type="paragraph" w:styleId="BodyText">
    <w:name w:val="Body Text"/>
    <w:basedOn w:val="Normal"/>
    <w:link w:val="BodyTextChar"/>
    <w:rsid w:val="001D3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37A"/>
    <w:rPr>
      <w:rFonts w:ascii="Times New Roman" w:eastAsia="Times New Roman" w:hAnsi="Times New Roman" w:cs="Times New Roman"/>
      <w:sz w:val="24"/>
      <w:lang w:eastAsia="en-US"/>
    </w:rPr>
  </w:style>
  <w:style w:type="paragraph" w:styleId="ListBullet">
    <w:name w:val="List Bullet"/>
    <w:basedOn w:val="List"/>
    <w:rsid w:val="001D337A"/>
    <w:pPr>
      <w:numPr>
        <w:numId w:val="11"/>
      </w:numPr>
      <w:tabs>
        <w:tab w:val="clear" w:pos="340"/>
      </w:tabs>
      <w:spacing w:before="40" w:after="40"/>
    </w:pPr>
  </w:style>
  <w:style w:type="character" w:customStyle="1" w:styleId="SpecialBold">
    <w:name w:val="Special Bold"/>
    <w:basedOn w:val="DefaultParagraphFont"/>
    <w:rsid w:val="001D337A"/>
    <w:rPr>
      <w:b/>
      <w:spacing w:val="0"/>
    </w:rPr>
  </w:style>
  <w:style w:type="paragraph" w:customStyle="1" w:styleId="SuperHeading">
    <w:name w:val="SuperHeading"/>
    <w:basedOn w:val="Normal"/>
    <w:rsid w:val="001D337A"/>
    <w:pPr>
      <w:spacing w:before="240" w:after="120"/>
      <w:outlineLvl w:val="0"/>
    </w:pPr>
    <w:rPr>
      <w:rFonts w:ascii="Times New Roman" w:hAnsi="Times New Roman"/>
      <w:b/>
      <w:sz w:val="32"/>
    </w:rPr>
  </w:style>
  <w:style w:type="paragraph" w:customStyle="1" w:styleId="AllowPageBreak">
    <w:name w:val="AllowPageBreak"/>
    <w:rsid w:val="001D3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37A"/>
    <w:rPr>
      <w:rFonts w:ascii="Courier New" w:eastAsia="Times New Roman" w:hAnsi="Courier New" w:cs="Times New Roman"/>
      <w:i/>
      <w:szCs w:val="20"/>
      <w:lang w:eastAsia="en-US"/>
    </w:rPr>
  </w:style>
  <w:style w:type="paragraph" w:customStyle="1" w:styleId="HeadingBase">
    <w:name w:val="Heading Base"/>
    <w:rsid w:val="001D3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37A"/>
    <w:pPr>
      <w:tabs>
        <w:tab w:val="right" w:leader="dot" w:pos="9072"/>
      </w:tabs>
      <w:ind w:left="567"/>
    </w:pPr>
    <w:rPr>
      <w:szCs w:val="22"/>
    </w:rPr>
  </w:style>
  <w:style w:type="paragraph" w:customStyle="1" w:styleId="TOCBase">
    <w:name w:val="TOC Base"/>
    <w:rsid w:val="001D3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37A"/>
    <w:pPr>
      <w:tabs>
        <w:tab w:val="right" w:leader="dot" w:pos="9072"/>
      </w:tabs>
      <w:spacing w:before="40" w:after="40"/>
      <w:ind w:left="284"/>
    </w:pPr>
    <w:rPr>
      <w:rFonts w:ascii="Times New Roman" w:hAnsi="Times New Roman"/>
    </w:rPr>
  </w:style>
  <w:style w:type="paragraph" w:styleId="TOC1">
    <w:name w:val="toc 1"/>
    <w:basedOn w:val="TOCBase"/>
    <w:next w:val="Normal"/>
    <w:rsid w:val="001D3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37A"/>
    <w:rPr>
      <w:rFonts w:ascii="Times New Roman" w:eastAsia="Times New Roman" w:hAnsi="Times New Roman" w:cs="Times New Roman"/>
      <w:sz w:val="16"/>
      <w:lang w:eastAsia="en-US"/>
    </w:rPr>
  </w:style>
  <w:style w:type="paragraph" w:styleId="Title">
    <w:name w:val="Title"/>
    <w:basedOn w:val="HeadingBase"/>
    <w:link w:val="TitleChar"/>
    <w:qFormat/>
    <w:rsid w:val="001D337A"/>
    <w:pPr>
      <w:spacing w:before="5040"/>
      <w:jc w:val="center"/>
    </w:pPr>
    <w:rPr>
      <w:sz w:val="48"/>
      <w:szCs w:val="72"/>
      <w:lang w:val="en-US"/>
    </w:rPr>
  </w:style>
  <w:style w:type="character" w:customStyle="1" w:styleId="TitleChar">
    <w:name w:val="Title Char"/>
    <w:basedOn w:val="DefaultParagraphFont"/>
    <w:link w:val="Title"/>
    <w:rsid w:val="001D3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37A"/>
    <w:pPr>
      <w:tabs>
        <w:tab w:val="left" w:pos="3600"/>
        <w:tab w:val="left" w:pos="3958"/>
      </w:tabs>
    </w:pPr>
  </w:style>
  <w:style w:type="paragraph" w:styleId="List">
    <w:name w:val="List"/>
    <w:basedOn w:val="BodyText"/>
    <w:next w:val="BodyText"/>
    <w:rsid w:val="001D337A"/>
    <w:pPr>
      <w:tabs>
        <w:tab w:val="left" w:pos="340"/>
      </w:tabs>
      <w:spacing w:before="60" w:after="60"/>
      <w:ind w:left="340" w:hanging="340"/>
    </w:pPr>
  </w:style>
  <w:style w:type="paragraph" w:customStyle="1" w:styleId="Note">
    <w:name w:val="Note"/>
    <w:basedOn w:val="BodyText"/>
    <w:rsid w:val="001D3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37A"/>
    <w:pPr>
      <w:framePr w:wrap="auto" w:hAnchor="text" w:y="6049"/>
    </w:pPr>
    <w:rPr>
      <w:color w:val="000000"/>
      <w:sz w:val="40"/>
    </w:rPr>
  </w:style>
  <w:style w:type="paragraph" w:customStyle="1" w:styleId="TOCTitle">
    <w:name w:val="TOCTitle"/>
    <w:basedOn w:val="Heading1"/>
    <w:rsid w:val="001D337A"/>
    <w:pPr>
      <w:spacing w:after="240"/>
      <w:jc w:val="center"/>
      <w:outlineLvl w:val="9"/>
    </w:pPr>
    <w:rPr>
      <w:caps/>
    </w:rPr>
  </w:style>
  <w:style w:type="paragraph" w:customStyle="1" w:styleId="Version">
    <w:name w:val="Version"/>
    <w:rsid w:val="001D33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37A"/>
    <w:pPr>
      <w:numPr>
        <w:numId w:val="12"/>
      </w:numPr>
      <w:tabs>
        <w:tab w:val="clear" w:pos="680"/>
      </w:tabs>
    </w:pPr>
  </w:style>
  <w:style w:type="paragraph" w:styleId="Index1">
    <w:name w:val="index 1"/>
    <w:basedOn w:val="Normal"/>
    <w:next w:val="Normal"/>
    <w:semiHidden/>
    <w:rsid w:val="001D337A"/>
    <w:pPr>
      <w:keepNext w:val="0"/>
      <w:tabs>
        <w:tab w:val="right" w:pos="4176"/>
      </w:tabs>
      <w:ind w:left="198" w:hanging="198"/>
    </w:pPr>
    <w:rPr>
      <w:rFonts w:ascii="Garamond" w:hAnsi="Garamond"/>
    </w:rPr>
  </w:style>
  <w:style w:type="paragraph" w:styleId="IndexHeading">
    <w:name w:val="index heading"/>
    <w:basedOn w:val="Normal"/>
    <w:next w:val="Index1"/>
    <w:semiHidden/>
    <w:rsid w:val="001D337A"/>
    <w:pPr>
      <w:spacing w:before="120" w:after="120"/>
    </w:pPr>
    <w:rPr>
      <w:rFonts w:ascii="Arial" w:hAnsi="Arial"/>
      <w:b/>
      <w:color w:val="918585"/>
      <w:sz w:val="24"/>
    </w:rPr>
  </w:style>
  <w:style w:type="paragraph" w:styleId="Header">
    <w:name w:val="header"/>
    <w:basedOn w:val="Normal"/>
    <w:link w:val="HeaderChar"/>
    <w:rsid w:val="001D3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37A"/>
    <w:rPr>
      <w:rFonts w:ascii="Times New Roman" w:eastAsia="Times New Roman" w:hAnsi="Times New Roman" w:cs="Times New Roman"/>
      <w:sz w:val="16"/>
      <w:szCs w:val="20"/>
      <w:lang w:val="en-GB" w:eastAsia="en-US"/>
    </w:rPr>
  </w:style>
  <w:style w:type="paragraph" w:customStyle="1" w:styleId="Chapter">
    <w:name w:val="Chapter"/>
    <w:basedOn w:val="Normal"/>
    <w:rsid w:val="001D337A"/>
    <w:pPr>
      <w:spacing w:before="240"/>
    </w:pPr>
    <w:rPr>
      <w:rFonts w:ascii="Times New Roman" w:hAnsi="Times New Roman"/>
      <w:smallCaps/>
      <w:spacing w:val="80"/>
      <w:sz w:val="28"/>
    </w:rPr>
  </w:style>
  <w:style w:type="paragraph" w:customStyle="1" w:styleId="InChapter">
    <w:name w:val="InChapter"/>
    <w:basedOn w:val="Heading3"/>
    <w:rsid w:val="001D337A"/>
    <w:pPr>
      <w:spacing w:after="240"/>
      <w:outlineLvl w:val="9"/>
    </w:pPr>
    <w:rPr>
      <w:noProof/>
    </w:rPr>
  </w:style>
  <w:style w:type="paragraph" w:styleId="Index2">
    <w:name w:val="index 2"/>
    <w:basedOn w:val="Normal"/>
    <w:next w:val="Normal"/>
    <w:semiHidden/>
    <w:rsid w:val="001D337A"/>
    <w:pPr>
      <w:tabs>
        <w:tab w:val="right" w:pos="4176"/>
      </w:tabs>
      <w:ind w:left="568" w:hanging="284"/>
    </w:pPr>
    <w:rPr>
      <w:rFonts w:ascii="Garamond" w:hAnsi="Garamond"/>
    </w:rPr>
  </w:style>
  <w:style w:type="paragraph" w:customStyle="1" w:styleId="Byline">
    <w:name w:val="Byline"/>
    <w:rsid w:val="001D3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37A"/>
    <w:pPr>
      <w:tabs>
        <w:tab w:val="clear" w:pos="3600"/>
        <w:tab w:val="clear" w:pos="3958"/>
      </w:tabs>
      <w:jc w:val="right"/>
    </w:pPr>
  </w:style>
  <w:style w:type="character" w:styleId="Emphasis">
    <w:name w:val="Emphasis"/>
    <w:basedOn w:val="DefaultParagraphFont"/>
    <w:qFormat/>
    <w:rsid w:val="001D337A"/>
    <w:rPr>
      <w:i/>
    </w:rPr>
  </w:style>
  <w:style w:type="paragraph" w:styleId="Caption">
    <w:name w:val="caption"/>
    <w:basedOn w:val="BodyText"/>
    <w:next w:val="Normal"/>
    <w:qFormat/>
    <w:rsid w:val="001D337A"/>
    <w:pPr>
      <w:framePr w:w="2268" w:hSpace="181" w:vSpace="181" w:wrap="around" w:vAnchor="text" w:hAnchor="page" w:x="1135" w:y="285" w:anchorLock="1"/>
    </w:pPr>
    <w:rPr>
      <w:i/>
    </w:rPr>
  </w:style>
  <w:style w:type="paragraph" w:customStyle="1" w:styleId="MiniTOCTitle">
    <w:name w:val="MiniTOCTitle"/>
    <w:basedOn w:val="Heading4"/>
    <w:rsid w:val="001D337A"/>
    <w:pPr>
      <w:spacing w:before="240"/>
      <w:outlineLvl w:val="9"/>
    </w:pPr>
    <w:rPr>
      <w:noProof/>
      <w:sz w:val="24"/>
    </w:rPr>
  </w:style>
  <w:style w:type="paragraph" w:customStyle="1" w:styleId="MiniTOCItem">
    <w:name w:val="MiniTOCItem"/>
    <w:basedOn w:val="ListBullet"/>
    <w:rsid w:val="001D337A"/>
    <w:pPr>
      <w:numPr>
        <w:numId w:val="0"/>
      </w:numPr>
      <w:tabs>
        <w:tab w:val="right" w:leader="dot" w:pos="6521"/>
      </w:tabs>
      <w:spacing w:before="0" w:after="0"/>
    </w:pPr>
  </w:style>
  <w:style w:type="paragraph" w:customStyle="1" w:styleId="TOFTitle">
    <w:name w:val="TOFTitle"/>
    <w:basedOn w:val="TOCTitle"/>
    <w:rsid w:val="001D337A"/>
  </w:style>
  <w:style w:type="paragraph" w:styleId="TableofFigures">
    <w:name w:val="table of figures"/>
    <w:basedOn w:val="Normal"/>
    <w:next w:val="Normal"/>
    <w:semiHidden/>
    <w:rsid w:val="001D337A"/>
    <w:pPr>
      <w:tabs>
        <w:tab w:val="right" w:leader="dot" w:pos="9072"/>
      </w:tabs>
      <w:ind w:left="970" w:hanging="403"/>
    </w:pPr>
    <w:rPr>
      <w:rFonts w:ascii="Times New Roman" w:hAnsi="Times New Roman"/>
      <w:b/>
    </w:rPr>
  </w:style>
  <w:style w:type="paragraph" w:styleId="ListNumber">
    <w:name w:val="List Number"/>
    <w:basedOn w:val="List"/>
    <w:rsid w:val="001D337A"/>
    <w:pPr>
      <w:numPr>
        <w:numId w:val="14"/>
      </w:numPr>
      <w:tabs>
        <w:tab w:val="clear" w:pos="340"/>
      </w:tabs>
    </w:pPr>
  </w:style>
  <w:style w:type="character" w:customStyle="1" w:styleId="WingdingSymbols">
    <w:name w:val="Wingding Symbols"/>
    <w:rsid w:val="001D337A"/>
    <w:rPr>
      <w:rFonts w:ascii="Wingdings" w:hAnsi="Wingdings"/>
    </w:rPr>
  </w:style>
  <w:style w:type="paragraph" w:customStyle="1" w:styleId="TableHeading">
    <w:name w:val="Table Heading"/>
    <w:basedOn w:val="HeadingBase"/>
    <w:rsid w:val="001D337A"/>
    <w:pPr>
      <w:keepLines/>
      <w:pBdr>
        <w:bottom w:val="single" w:sz="6" w:space="1" w:color="918585"/>
      </w:pBdr>
      <w:spacing w:before="240"/>
    </w:pPr>
  </w:style>
  <w:style w:type="character" w:customStyle="1" w:styleId="HotSpot">
    <w:name w:val="HotSpot"/>
    <w:rsid w:val="001D337A"/>
    <w:rPr>
      <w:color w:val="0033CC"/>
      <w:u w:val="none"/>
    </w:rPr>
  </w:style>
  <w:style w:type="paragraph" w:customStyle="1" w:styleId="BodyTextRight">
    <w:name w:val="Body Text Right"/>
    <w:basedOn w:val="BodyText"/>
    <w:rsid w:val="001D337A"/>
    <w:pPr>
      <w:spacing w:before="0" w:after="0"/>
      <w:jc w:val="right"/>
    </w:pPr>
  </w:style>
  <w:style w:type="paragraph" w:styleId="Index3">
    <w:name w:val="index 3"/>
    <w:basedOn w:val="ListNumber2"/>
    <w:next w:val="Normal"/>
    <w:semiHidden/>
    <w:rsid w:val="001D337A"/>
    <w:pPr>
      <w:numPr>
        <w:numId w:val="0"/>
      </w:numPr>
      <w:tabs>
        <w:tab w:val="right" w:leader="dot" w:pos="4176"/>
      </w:tabs>
    </w:pPr>
  </w:style>
  <w:style w:type="paragraph" w:styleId="ListNumber2">
    <w:name w:val="List Number 2"/>
    <w:basedOn w:val="List2"/>
    <w:rsid w:val="001D337A"/>
    <w:pPr>
      <w:numPr>
        <w:numId w:val="9"/>
      </w:numPr>
      <w:tabs>
        <w:tab w:val="clear" w:pos="1060"/>
      </w:tabs>
    </w:pPr>
  </w:style>
  <w:style w:type="paragraph" w:customStyle="1" w:styleId="MarginNote">
    <w:name w:val="Margin Note"/>
    <w:basedOn w:val="BodyText"/>
    <w:rsid w:val="001D3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37A"/>
    <w:rPr>
      <w:sz w:val="32"/>
    </w:rPr>
  </w:style>
  <w:style w:type="paragraph" w:customStyle="1" w:styleId="HeadingProcedure">
    <w:name w:val="Heading Procedure"/>
    <w:basedOn w:val="HeadingBase"/>
    <w:next w:val="Normal"/>
    <w:rsid w:val="001D337A"/>
    <w:pPr>
      <w:tabs>
        <w:tab w:val="left" w:pos="0"/>
      </w:tabs>
      <w:spacing w:before="120" w:after="60"/>
    </w:pPr>
    <w:rPr>
      <w:i/>
      <w:color w:val="918585"/>
      <w:sz w:val="22"/>
    </w:rPr>
  </w:style>
  <w:style w:type="paragraph" w:customStyle="1" w:styleId="TableBodyText">
    <w:name w:val="Table Body Text"/>
    <w:basedOn w:val="BodyText"/>
    <w:rsid w:val="001D337A"/>
    <w:pPr>
      <w:spacing w:before="60" w:after="60"/>
    </w:pPr>
  </w:style>
  <w:style w:type="paragraph" w:styleId="ListContinue">
    <w:name w:val="List Continue"/>
    <w:basedOn w:val="List"/>
    <w:rsid w:val="001D337A"/>
    <w:pPr>
      <w:ind w:firstLine="0"/>
    </w:pPr>
  </w:style>
  <w:style w:type="paragraph" w:customStyle="1" w:styleId="ListNote">
    <w:name w:val="List Note"/>
    <w:basedOn w:val="List"/>
    <w:rsid w:val="001D337A"/>
    <w:pPr>
      <w:pBdr>
        <w:top w:val="single" w:sz="6" w:space="2" w:color="918585"/>
        <w:bottom w:val="single" w:sz="6" w:space="2" w:color="918585"/>
      </w:pBdr>
      <w:tabs>
        <w:tab w:val="left" w:pos="1021"/>
      </w:tabs>
      <w:ind w:firstLine="0"/>
    </w:pPr>
  </w:style>
  <w:style w:type="paragraph" w:customStyle="1" w:styleId="Warning">
    <w:name w:val="Warning"/>
    <w:basedOn w:val="BodyText"/>
    <w:rsid w:val="001D337A"/>
    <w:pPr>
      <w:shd w:val="clear" w:color="auto" w:fill="D9D9D9"/>
      <w:tabs>
        <w:tab w:val="left" w:pos="992"/>
      </w:tabs>
      <w:ind w:left="119" w:right="119"/>
    </w:pPr>
    <w:rPr>
      <w:sz w:val="20"/>
    </w:rPr>
  </w:style>
  <w:style w:type="paragraph" w:customStyle="1" w:styleId="MarginIcons">
    <w:name w:val="Margin Icons"/>
    <w:basedOn w:val="BodyText"/>
    <w:rsid w:val="001D3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37A"/>
    <w:rPr>
      <w:rFonts w:ascii="Courier New" w:hAnsi="Courier New"/>
    </w:rPr>
  </w:style>
  <w:style w:type="paragraph" w:customStyle="1" w:styleId="NoteBullet">
    <w:name w:val="Note Bullet"/>
    <w:basedOn w:val="Note"/>
    <w:rsid w:val="001D337A"/>
    <w:pPr>
      <w:tabs>
        <w:tab w:val="clear" w:pos="680"/>
      </w:tabs>
      <w:spacing w:before="60" w:after="60"/>
    </w:pPr>
  </w:style>
  <w:style w:type="paragraph" w:customStyle="1" w:styleId="SubHeading2">
    <w:name w:val="SubHeading2"/>
    <w:basedOn w:val="HeadingBase"/>
    <w:rsid w:val="001D337A"/>
    <w:pPr>
      <w:spacing w:before="240" w:after="60"/>
    </w:pPr>
    <w:rPr>
      <w:sz w:val="20"/>
    </w:rPr>
  </w:style>
  <w:style w:type="paragraph" w:customStyle="1" w:styleId="SubHeading1">
    <w:name w:val="SubHeading1"/>
    <w:basedOn w:val="HeadingBase"/>
    <w:rsid w:val="001D337A"/>
    <w:pPr>
      <w:spacing w:before="240" w:after="60"/>
    </w:pPr>
    <w:rPr>
      <w:color w:val="918585"/>
      <w:sz w:val="22"/>
    </w:rPr>
  </w:style>
  <w:style w:type="paragraph" w:customStyle="1" w:styleId="SideHeading">
    <w:name w:val="Side Heading"/>
    <w:basedOn w:val="HeadingBase"/>
    <w:rsid w:val="001D3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37A"/>
    <w:pPr>
      <w:numPr>
        <w:numId w:val="10"/>
      </w:numPr>
    </w:pPr>
  </w:style>
  <w:style w:type="paragraph" w:styleId="PlainText">
    <w:name w:val="Plain Text"/>
    <w:basedOn w:val="Normal"/>
    <w:link w:val="PlainTextChar"/>
    <w:rsid w:val="001D337A"/>
    <w:rPr>
      <w:sz w:val="20"/>
    </w:rPr>
  </w:style>
  <w:style w:type="character" w:customStyle="1" w:styleId="PlainTextChar">
    <w:name w:val="Plain Text Char"/>
    <w:basedOn w:val="DefaultParagraphFont"/>
    <w:link w:val="PlainText"/>
    <w:rsid w:val="001D337A"/>
    <w:rPr>
      <w:rFonts w:ascii="Courier New" w:eastAsia="Times New Roman" w:hAnsi="Courier New" w:cs="Times New Roman"/>
      <w:sz w:val="20"/>
      <w:szCs w:val="20"/>
      <w:lang w:eastAsia="en-US"/>
    </w:rPr>
  </w:style>
  <w:style w:type="character" w:customStyle="1" w:styleId="MenuOption">
    <w:name w:val="Menu Option"/>
    <w:basedOn w:val="DefaultParagraphFont"/>
    <w:rsid w:val="001D337A"/>
    <w:rPr>
      <w:b/>
      <w:smallCaps/>
    </w:rPr>
  </w:style>
  <w:style w:type="paragraph" w:customStyle="1" w:styleId="TableListNumber">
    <w:name w:val="Table List Number"/>
    <w:basedOn w:val="ListNumber"/>
    <w:rsid w:val="001D337A"/>
    <w:pPr>
      <w:numPr>
        <w:numId w:val="0"/>
      </w:numPr>
    </w:pPr>
  </w:style>
  <w:style w:type="paragraph" w:styleId="TOC4">
    <w:name w:val="toc 4"/>
    <w:basedOn w:val="TOCBase"/>
    <w:next w:val="Normal"/>
    <w:semiHidden/>
    <w:rsid w:val="001D337A"/>
    <w:pPr>
      <w:tabs>
        <w:tab w:val="right" w:leader="dot" w:pos="9071"/>
      </w:tabs>
      <w:ind w:left="1701"/>
    </w:pPr>
  </w:style>
  <w:style w:type="paragraph" w:customStyle="1" w:styleId="ListAlpha">
    <w:name w:val="List Alpha"/>
    <w:basedOn w:val="List"/>
    <w:rsid w:val="001D337A"/>
    <w:pPr>
      <w:numPr>
        <w:numId w:val="8"/>
      </w:numPr>
    </w:pPr>
  </w:style>
  <w:style w:type="paragraph" w:customStyle="1" w:styleId="ListAlpha2">
    <w:name w:val="List Alpha 2"/>
    <w:basedOn w:val="List2"/>
    <w:rsid w:val="001D337A"/>
    <w:pPr>
      <w:numPr>
        <w:numId w:val="7"/>
      </w:numPr>
    </w:pPr>
  </w:style>
  <w:style w:type="paragraph" w:styleId="List2">
    <w:name w:val="List 2"/>
    <w:basedOn w:val="BodyText"/>
    <w:rsid w:val="001D337A"/>
    <w:pPr>
      <w:tabs>
        <w:tab w:val="left" w:pos="680"/>
      </w:tabs>
      <w:spacing w:before="60" w:after="60"/>
      <w:ind w:left="680" w:hanging="340"/>
    </w:pPr>
  </w:style>
  <w:style w:type="paragraph" w:styleId="List3">
    <w:name w:val="List 3"/>
    <w:basedOn w:val="BodyText"/>
    <w:rsid w:val="001D337A"/>
    <w:pPr>
      <w:tabs>
        <w:tab w:val="left" w:pos="1021"/>
      </w:tabs>
      <w:spacing w:before="60" w:after="60"/>
      <w:ind w:left="1020" w:hanging="340"/>
    </w:pPr>
  </w:style>
  <w:style w:type="paragraph" w:styleId="List4">
    <w:name w:val="List 4"/>
    <w:basedOn w:val="BodyText"/>
    <w:rsid w:val="001D337A"/>
    <w:pPr>
      <w:tabs>
        <w:tab w:val="left" w:pos="1361"/>
      </w:tabs>
      <w:spacing w:before="60" w:after="60"/>
      <w:ind w:left="1361" w:hanging="340"/>
    </w:pPr>
  </w:style>
  <w:style w:type="paragraph" w:styleId="List5">
    <w:name w:val="List 5"/>
    <w:basedOn w:val="BodyText"/>
    <w:rsid w:val="001D337A"/>
    <w:pPr>
      <w:tabs>
        <w:tab w:val="left" w:pos="1701"/>
      </w:tabs>
      <w:spacing w:before="60" w:after="60"/>
      <w:ind w:left="1701" w:hanging="340"/>
    </w:pPr>
  </w:style>
  <w:style w:type="paragraph" w:styleId="ListBullet3">
    <w:name w:val="List Bullet 3"/>
    <w:basedOn w:val="List3"/>
    <w:rsid w:val="001D337A"/>
    <w:pPr>
      <w:numPr>
        <w:numId w:val="13"/>
      </w:numPr>
      <w:tabs>
        <w:tab w:val="clear" w:pos="1021"/>
      </w:tabs>
      <w:ind w:left="1037" w:hanging="357"/>
    </w:pPr>
  </w:style>
  <w:style w:type="paragraph" w:styleId="ListBullet4">
    <w:name w:val="List Bullet 4"/>
    <w:basedOn w:val="List4"/>
    <w:rsid w:val="001D337A"/>
    <w:pPr>
      <w:numPr>
        <w:numId w:val="2"/>
      </w:numPr>
      <w:tabs>
        <w:tab w:val="clear" w:pos="1361"/>
      </w:tabs>
    </w:pPr>
  </w:style>
  <w:style w:type="paragraph" w:styleId="ListBullet5">
    <w:name w:val="List Bullet 5"/>
    <w:basedOn w:val="List5"/>
    <w:rsid w:val="001D337A"/>
    <w:pPr>
      <w:numPr>
        <w:numId w:val="3"/>
      </w:numPr>
    </w:pPr>
  </w:style>
  <w:style w:type="paragraph" w:styleId="ListContinue2">
    <w:name w:val="List Continue 2"/>
    <w:basedOn w:val="List2"/>
    <w:rsid w:val="001D337A"/>
    <w:pPr>
      <w:ind w:firstLine="0"/>
    </w:pPr>
  </w:style>
  <w:style w:type="paragraph" w:styleId="ListContinue3">
    <w:name w:val="List Continue 3"/>
    <w:basedOn w:val="List3"/>
    <w:rsid w:val="001D337A"/>
    <w:pPr>
      <w:ind w:left="1021" w:firstLine="0"/>
    </w:pPr>
  </w:style>
  <w:style w:type="paragraph" w:styleId="ListContinue4">
    <w:name w:val="List Continue 4"/>
    <w:basedOn w:val="List4"/>
    <w:rsid w:val="001D337A"/>
    <w:pPr>
      <w:ind w:firstLine="0"/>
    </w:pPr>
  </w:style>
  <w:style w:type="paragraph" w:styleId="ListContinue5">
    <w:name w:val="List Continue 5"/>
    <w:basedOn w:val="List5"/>
    <w:rsid w:val="001D337A"/>
    <w:pPr>
      <w:ind w:firstLine="0"/>
    </w:pPr>
  </w:style>
  <w:style w:type="paragraph" w:styleId="ListNumber3">
    <w:name w:val="List Number 3"/>
    <w:basedOn w:val="List3"/>
    <w:rsid w:val="001D337A"/>
    <w:pPr>
      <w:numPr>
        <w:numId w:val="4"/>
      </w:numPr>
    </w:pPr>
  </w:style>
  <w:style w:type="paragraph" w:styleId="ListNumber4">
    <w:name w:val="List Number 4"/>
    <w:basedOn w:val="List4"/>
    <w:rsid w:val="001D337A"/>
    <w:pPr>
      <w:numPr>
        <w:numId w:val="5"/>
      </w:numPr>
    </w:pPr>
  </w:style>
  <w:style w:type="paragraph" w:styleId="ListNumber5">
    <w:name w:val="List Number 5"/>
    <w:basedOn w:val="List5"/>
    <w:rsid w:val="001D337A"/>
    <w:pPr>
      <w:numPr>
        <w:numId w:val="6"/>
      </w:numPr>
    </w:pPr>
  </w:style>
  <w:style w:type="paragraph" w:styleId="BlockText">
    <w:name w:val="Block Text"/>
    <w:basedOn w:val="Normal"/>
    <w:rsid w:val="001D337A"/>
    <w:pPr>
      <w:spacing w:after="120"/>
      <w:ind w:left="1440" w:right="1440"/>
    </w:pPr>
  </w:style>
  <w:style w:type="character" w:customStyle="1" w:styleId="Subscript">
    <w:name w:val="Subscript"/>
    <w:basedOn w:val="DefaultParagraphFont"/>
    <w:rsid w:val="001D337A"/>
    <w:rPr>
      <w:sz w:val="16"/>
      <w:vertAlign w:val="subscript"/>
    </w:rPr>
  </w:style>
  <w:style w:type="character" w:customStyle="1" w:styleId="Superscript">
    <w:name w:val="Superscript"/>
    <w:basedOn w:val="DefaultParagraphFont"/>
    <w:rsid w:val="001D337A"/>
    <w:rPr>
      <w:sz w:val="16"/>
      <w:vertAlign w:val="superscript"/>
    </w:rPr>
  </w:style>
  <w:style w:type="character" w:customStyle="1" w:styleId="Symbols">
    <w:name w:val="Symbols"/>
    <w:basedOn w:val="DefaultParagraphFont"/>
    <w:rsid w:val="001D337A"/>
    <w:rPr>
      <w:rFonts w:ascii="Symbol" w:hAnsi="Symbol"/>
    </w:rPr>
  </w:style>
  <w:style w:type="character" w:customStyle="1" w:styleId="MenuOptions">
    <w:name w:val="Menu Options"/>
    <w:basedOn w:val="DefaultParagraphFont"/>
    <w:rsid w:val="001D337A"/>
    <w:rPr>
      <w:rFonts w:ascii="Arial Narrow" w:hAnsi="Arial Narrow"/>
      <w:smallCaps/>
    </w:rPr>
  </w:style>
  <w:style w:type="character" w:customStyle="1" w:styleId="Buttons">
    <w:name w:val="Buttons"/>
    <w:basedOn w:val="DefaultParagraphFont"/>
    <w:rsid w:val="001D337A"/>
    <w:rPr>
      <w:b/>
    </w:rPr>
  </w:style>
  <w:style w:type="character" w:customStyle="1" w:styleId="Underlined">
    <w:name w:val="Underlined"/>
    <w:basedOn w:val="DefaultParagraphFont"/>
    <w:rsid w:val="001D337A"/>
    <w:rPr>
      <w:u w:val="single"/>
    </w:rPr>
  </w:style>
  <w:style w:type="paragraph" w:customStyle="1" w:styleId="TableBodyTextRight">
    <w:name w:val="Table Body Text Right"/>
    <w:basedOn w:val="TableBodyText"/>
    <w:rsid w:val="001D337A"/>
    <w:pPr>
      <w:widowControl w:val="0"/>
      <w:autoSpaceDE w:val="0"/>
      <w:autoSpaceDN w:val="0"/>
      <w:adjustRightInd w:val="0"/>
      <w:jc w:val="right"/>
    </w:pPr>
    <w:rPr>
      <w:rFonts w:cs="Arial"/>
      <w:szCs w:val="18"/>
    </w:rPr>
  </w:style>
  <w:style w:type="paragraph" w:customStyle="1" w:styleId="CopyrightText">
    <w:name w:val="Copyright Text"/>
    <w:basedOn w:val="BodyText"/>
    <w:rsid w:val="001D337A"/>
    <w:rPr>
      <w:sz w:val="18"/>
    </w:rPr>
  </w:style>
  <w:style w:type="paragraph" w:customStyle="1" w:styleId="BodySmallRight">
    <w:name w:val="Body Small Right"/>
    <w:basedOn w:val="BodyTextRight"/>
    <w:rsid w:val="001D337A"/>
    <w:rPr>
      <w:sz w:val="18"/>
      <w:szCs w:val="18"/>
    </w:rPr>
  </w:style>
  <w:style w:type="paragraph" w:customStyle="1" w:styleId="MarginEdition">
    <w:name w:val="Margin Edition"/>
    <w:basedOn w:val="MarginNote"/>
    <w:rsid w:val="001D337A"/>
    <w:pPr>
      <w:spacing w:before="0" w:after="0"/>
    </w:pPr>
    <w:rPr>
      <w:rFonts w:ascii="Times New Roman" w:hAnsi="Times New Roman"/>
      <w:color w:val="999999"/>
    </w:rPr>
  </w:style>
  <w:style w:type="paragraph" w:customStyle="1" w:styleId="Spacer">
    <w:name w:val="Spacer"/>
    <w:basedOn w:val="Normal"/>
    <w:rsid w:val="001D337A"/>
    <w:rPr>
      <w:sz w:val="2"/>
      <w:szCs w:val="2"/>
    </w:rPr>
  </w:style>
  <w:style w:type="character" w:customStyle="1" w:styleId="Small">
    <w:name w:val="Small"/>
    <w:basedOn w:val="DefaultParagraphFont"/>
    <w:rsid w:val="001D337A"/>
    <w:rPr>
      <w:sz w:val="16"/>
    </w:rPr>
  </w:style>
  <w:style w:type="paragraph" w:customStyle="1" w:styleId="WideTable">
    <w:name w:val="Wide Table"/>
    <w:basedOn w:val="Normal"/>
    <w:rsid w:val="001D337A"/>
    <w:pPr>
      <w:ind w:left="-1418"/>
    </w:pPr>
    <w:rPr>
      <w:sz w:val="2"/>
      <w:szCs w:val="2"/>
    </w:rPr>
  </w:style>
  <w:style w:type="character" w:styleId="PageNumber">
    <w:name w:val="page number"/>
    <w:basedOn w:val="DefaultParagraphFont"/>
    <w:rsid w:val="001D337A"/>
  </w:style>
  <w:style w:type="paragraph" w:styleId="Quote">
    <w:name w:val="Quote"/>
    <w:basedOn w:val="Heading1"/>
    <w:link w:val="QuoteChar"/>
    <w:qFormat/>
    <w:rsid w:val="001D337A"/>
    <w:rPr>
      <w:b w:val="0"/>
      <w:sz w:val="72"/>
      <w:szCs w:val="72"/>
      <w:lang w:val="en-NZ"/>
    </w:rPr>
  </w:style>
  <w:style w:type="character" w:customStyle="1" w:styleId="QuoteChar">
    <w:name w:val="Quote Char"/>
    <w:basedOn w:val="DefaultParagraphFont"/>
    <w:link w:val="Quote"/>
    <w:rsid w:val="001D3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37A"/>
    <w:pPr>
      <w:pageBreakBefore/>
    </w:pPr>
  </w:style>
  <w:style w:type="paragraph" w:customStyle="1" w:styleId="Border">
    <w:name w:val="Border"/>
    <w:basedOn w:val="Normal"/>
    <w:qFormat/>
    <w:rsid w:val="001D3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37A"/>
    <w:rPr>
      <w:b/>
      <w:bCs/>
      <w:i/>
      <w:iCs/>
      <w:color w:val="auto"/>
    </w:rPr>
  </w:style>
  <w:style w:type="paragraph" w:styleId="IntenseQuote">
    <w:name w:val="Intense Quote"/>
    <w:basedOn w:val="Normal"/>
    <w:next w:val="Normal"/>
    <w:link w:val="IntenseQuoteChar"/>
    <w:uiPriority w:val="30"/>
    <w:qFormat/>
    <w:rsid w:val="001D3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37A"/>
    <w:rPr>
      <w:smallCaps/>
      <w:color w:val="auto"/>
      <w:u w:val="single"/>
    </w:rPr>
  </w:style>
  <w:style w:type="character" w:styleId="IntenseReference">
    <w:name w:val="Intense Reference"/>
    <w:basedOn w:val="DefaultParagraphFont"/>
    <w:uiPriority w:val="32"/>
    <w:qFormat/>
    <w:rsid w:val="001D337A"/>
    <w:rPr>
      <w:b/>
      <w:bCs/>
      <w:smallCaps/>
      <w:color w:val="auto"/>
      <w:spacing w:val="5"/>
      <w:u w:val="single"/>
    </w:rPr>
  </w:style>
  <w:style w:type="paragraph" w:customStyle="1" w:styleId="2ColumnHeading">
    <w:name w:val="2Column Heading"/>
    <w:basedOn w:val="BodyText"/>
    <w:qFormat/>
    <w:rsid w:val="001D337A"/>
    <w:pPr>
      <w:spacing w:after="60"/>
      <w:ind w:left="-2268"/>
    </w:pPr>
    <w:rPr>
      <w:b/>
    </w:rPr>
  </w:style>
  <w:style w:type="paragraph" w:customStyle="1" w:styleId="Heading1TOC">
    <w:name w:val="Heading1 TOC"/>
    <w:basedOn w:val="Normal"/>
    <w:qFormat/>
    <w:rsid w:val="001D337A"/>
    <w:pPr>
      <w:spacing w:before="240" w:after="120"/>
    </w:pPr>
    <w:rPr>
      <w:rFonts w:ascii="Times New Roman" w:hAnsi="Times New Roman"/>
      <w:b/>
      <w:sz w:val="32"/>
    </w:rPr>
  </w:style>
  <w:style w:type="paragraph" w:customStyle="1" w:styleId="Heading2TOC">
    <w:name w:val="Heading2 TOC"/>
    <w:basedOn w:val="Normal"/>
    <w:qFormat/>
    <w:rsid w:val="001D337A"/>
    <w:pPr>
      <w:spacing w:before="240" w:after="60"/>
    </w:pPr>
    <w:rPr>
      <w:rFonts w:ascii="Times New Roman" w:hAnsi="Times New Roman"/>
      <w:b/>
      <w:sz w:val="28"/>
    </w:rPr>
  </w:style>
  <w:style w:type="character" w:customStyle="1" w:styleId="Underline">
    <w:name w:val="Underline"/>
    <w:basedOn w:val="DefaultParagraphFont"/>
    <w:qFormat/>
    <w:rsid w:val="001D337A"/>
    <w:rPr>
      <w:u w:val="single"/>
    </w:rPr>
  </w:style>
  <w:style w:type="character" w:customStyle="1" w:styleId="BoldandItalics">
    <w:name w:val="Bold and Italics"/>
    <w:qFormat/>
    <w:rsid w:val="001D337A"/>
    <w:rPr>
      <w:b/>
      <w:i/>
      <w:u w:val="none"/>
    </w:rPr>
  </w:style>
  <w:style w:type="paragraph" w:styleId="BalloonText">
    <w:name w:val="Balloon Text"/>
    <w:basedOn w:val="Normal"/>
    <w:link w:val="BalloonTextChar"/>
    <w:rsid w:val="001D337A"/>
    <w:rPr>
      <w:rFonts w:ascii="Tahoma" w:hAnsi="Tahoma" w:cs="Tahoma"/>
      <w:sz w:val="16"/>
      <w:szCs w:val="16"/>
    </w:rPr>
  </w:style>
  <w:style w:type="character" w:customStyle="1" w:styleId="BalloonTextChar">
    <w:name w:val="Balloon Text Char"/>
    <w:basedOn w:val="DefaultParagraphFont"/>
    <w:link w:val="BalloonText"/>
    <w:rsid w:val="001D3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37A"/>
    <w:rPr>
      <w:b/>
      <w:color w:val="660033"/>
      <w:spacing w:val="0"/>
    </w:rPr>
  </w:style>
  <w:style w:type="paragraph" w:customStyle="1" w:styleId="Nameditemlist">
    <w:name w:val="Named item list"/>
    <w:basedOn w:val="BodyText"/>
    <w:qFormat/>
    <w:rsid w:val="001D337A"/>
    <w:pPr>
      <w:tabs>
        <w:tab w:val="left" w:pos="2835"/>
      </w:tabs>
      <w:ind w:left="2835" w:hanging="2835"/>
    </w:pPr>
  </w:style>
  <w:style w:type="paragraph" w:customStyle="1" w:styleId="BodyTextnopadding">
    <w:name w:val="Body Text no padding"/>
    <w:basedOn w:val="BodyText"/>
    <w:qFormat/>
    <w:rsid w:val="001D337A"/>
    <w:pPr>
      <w:spacing w:before="0" w:after="0"/>
    </w:pPr>
  </w:style>
  <w:style w:type="paragraph" w:customStyle="1" w:styleId="BodyTextBold">
    <w:name w:val="Body Text Bold"/>
    <w:basedOn w:val="BodyText"/>
    <w:qFormat/>
    <w:rsid w:val="001D337A"/>
    <w:rPr>
      <w:b/>
    </w:rPr>
  </w:style>
  <w:style w:type="character" w:styleId="Hyperlink">
    <w:name w:val="Hyperlink"/>
    <w:basedOn w:val="DefaultParagraphFont"/>
    <w:uiPriority w:val="99"/>
    <w:unhideWhenUsed/>
    <w:rsid w:val="00384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4563</Characters>
  <Application>Microsoft Office Word</Application>
  <DocSecurity>0</DocSecurity>
  <Lines>240</Lines>
  <Paragraphs>147</Paragraphs>
  <ScaleCrop>false</ScaleCrop>
  <Company>Author-it Software Corporation Ltd.</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MEM50010 Respond to boating emergencies and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