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3CE" w:rsidP="00C523CE">
      <w:pPr>
        <w:pStyle w:val="Title"/>
      </w:pPr>
      <w:r>
        <w:fldChar w:fldCharType="begin"/>
      </w:r>
      <w:r>
        <w:instrText xml:space="preserve"> TITLE   \* MERGEFORMAT </w:instrText>
      </w:r>
      <w:r>
        <w:fldChar w:fldCharType="separate"/>
      </w:r>
      <w:r>
        <w:t>MEM50009 Safely operate a mechanically powered recreational boat</w:t>
      </w:r>
      <w:r>
        <w:fldChar w:fldCharType="end"/>
      </w:r>
    </w:p>
    <w:p w:rsidR="00C523CE" w:rsidP="00C523CE">
      <w:pPr>
        <w:pStyle w:val="Version"/>
        <w:sectPr w:rsidSect="00DC74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7447" w:rsidP="00DC7447">
      <w:pPr>
        <w:pStyle w:val="SuperHeading"/>
      </w:pPr>
      <w:r w:rsidRPr="00DC7447">
        <w:t>MEM50009 Safely operate a mechanically powered recreational boat</w:t>
      </w:r>
    </w:p>
    <w:p w:rsidR="00000000" w:rsidRPr="00DC7447" w:rsidP="00DC7447">
      <w:pPr>
        <w:pStyle w:val="Heading1"/>
      </w:pPr>
      <w:bookmarkStart w:id="1" w:name="O_952528"/>
      <w:bookmarkEnd w:id="1"/>
      <w:r w:rsidRPr="00DC7447">
        <w:t>Modification History</w:t>
      </w:r>
    </w:p>
    <w:p w:rsidR="00000000" w:rsidRPr="00DC7447" w:rsidP="00C523CE">
      <w:pPr>
        <w:pStyle w:val="BodyText"/>
      </w:pPr>
      <w:r w:rsidRPr="00DC7447">
        <w:t>Release 1. Supersedes and is equivalent to MEM50009B Safely operate a mechanical powered recreational boat</w:t>
      </w:r>
    </w:p>
    <w:p w:rsidR="00000000" w:rsidRPr="00DC7447" w:rsidP="00DC7447">
      <w:pPr>
        <w:pStyle w:val="Heading1"/>
      </w:pPr>
      <w:bookmarkStart w:id="2" w:name="O_952536"/>
      <w:bookmarkEnd w:id="2"/>
      <w:r w:rsidRPr="00DC7447">
        <w:t>Application</w:t>
      </w:r>
    </w:p>
    <w:p w:rsidR="00000000" w:rsidRPr="00DC7447" w:rsidP="00C523CE">
      <w:pPr>
        <w:pStyle w:val="BodyText"/>
      </w:pPr>
      <w:r w:rsidRPr="00DC7447">
        <w:t xml:space="preserve">This unit </w:t>
      </w:r>
      <w:r w:rsidRPr="00DC7447">
        <w:t>of competency was developed by the National Marine Safety Committee (NMSC) and defines the skills and knowledge required to safely handle/operate a powered recreational boat on coastal and inland waters and includes manoeuvring and handling the boat as wel</w:t>
      </w:r>
      <w:r w:rsidRPr="00DC7447">
        <w:t>l as safe navigation and anchoring.</w:t>
      </w:r>
    </w:p>
    <w:p w:rsidR="00000000" w:rsidRPr="00DC7447" w:rsidP="00C523CE">
      <w:pPr>
        <w:pStyle w:val="BodyText"/>
      </w:pPr>
      <w:r w:rsidRPr="00DC7447">
        <w:t>This unit is one of three core competencies that have been adopted by all government marine safety authorities to contribute to and promote the safe use of waterways and awareness of boating safety and applies specifica</w:t>
      </w:r>
      <w:r w:rsidRPr="00DC7447">
        <w:t>lly to mechanical powered recreational boats, including personal watercraft. However, it is recognised that some aspects of this competency apply to any recreational vessel.</w:t>
      </w:r>
    </w:p>
    <w:p w:rsidR="00000000" w:rsidRPr="00DC7447" w:rsidP="00C523CE">
      <w:pPr>
        <w:pStyle w:val="BodyText"/>
      </w:pPr>
      <w:r w:rsidRPr="00DC7447">
        <w:t>Unit MEM50008 Carry out trip preparation and planning and unit MEM50010 Respond t</w:t>
      </w:r>
      <w:r w:rsidRPr="00DC7447">
        <w:t>o boating emergencies and incidents are the other two NMSC core units.</w:t>
      </w:r>
    </w:p>
    <w:p w:rsidR="00000000" w:rsidRPr="00DC7447" w:rsidP="00C523CE">
      <w:pPr>
        <w:pStyle w:val="BodyText"/>
      </w:pPr>
      <w:r w:rsidRPr="00DC7447">
        <w:t>Some jurisdictions may require the holder of this unit to be licensed or certified and users should check with the relevant authorities.</w:t>
      </w:r>
    </w:p>
    <w:p w:rsidR="00000000" w:rsidRPr="00DC7447" w:rsidP="00DC7447">
      <w:pPr>
        <w:pStyle w:val="BodyText"/>
      </w:pPr>
      <w:r w:rsidRPr="00DC7447">
        <w:rPr>
          <w:rStyle w:val="SpecialBold"/>
        </w:rPr>
        <w:t>Band</w:t>
      </w:r>
      <w:r w:rsidRPr="00DC7447">
        <w:t>:</w:t>
      </w:r>
      <w:r w:rsidRPr="00DC7447">
        <w:tab/>
      </w:r>
      <w:r w:rsidRPr="00DC7447">
        <w:rPr>
          <w:rStyle w:val="SpecialBold"/>
        </w:rPr>
        <w:t>A</w:t>
      </w:r>
    </w:p>
    <w:p w:rsidR="00000000" w:rsidRPr="00DC7447" w:rsidP="00DC7447">
      <w:pPr>
        <w:pStyle w:val="BodyText"/>
      </w:pPr>
      <w:r w:rsidRPr="00DC7447">
        <w:rPr>
          <w:rStyle w:val="SpecialBold"/>
        </w:rPr>
        <w:t>Unit Weight</w:t>
      </w:r>
      <w:r w:rsidRPr="00DC7447">
        <w:t>:</w:t>
      </w:r>
      <w:r w:rsidRPr="00DC7447">
        <w:tab/>
      </w:r>
      <w:r w:rsidRPr="00DC7447">
        <w:rPr>
          <w:rStyle w:val="SpecialBold"/>
        </w:rPr>
        <w:t>2</w:t>
      </w:r>
    </w:p>
    <w:p w:rsidR="00000000" w:rsidRPr="00DC7447" w:rsidP="00DC7447">
      <w:pPr>
        <w:pStyle w:val="AllowPageBreak"/>
      </w:pPr>
    </w:p>
    <w:p w:rsidR="00000000" w:rsidRPr="00DC7447" w:rsidP="00DC7447">
      <w:pPr>
        <w:pStyle w:val="Heading1"/>
      </w:pPr>
      <w:bookmarkStart w:id="3" w:name="O_952535"/>
      <w:bookmarkEnd w:id="3"/>
      <w:r w:rsidRPr="00DC7447">
        <w:t>Pre-re</w:t>
      </w:r>
      <w:r w:rsidRPr="00DC7447">
        <w:t>quisite Unit</w:t>
      </w:r>
    </w:p>
    <w:tbl>
      <w:tblPr>
        <w:tblW w:w="0" w:type="auto"/>
        <w:tblLayout w:type="fixed"/>
        <w:tblCellMar>
          <w:left w:w="62" w:type="dxa"/>
          <w:right w:w="62" w:type="dxa"/>
        </w:tblCellMar>
        <w:tblLook w:val="0000"/>
      </w:tblPr>
      <w:tblGrid>
        <w:gridCol w:w="2186"/>
        <w:gridCol w:w="6886"/>
      </w:tblGrid>
      <w:tr w:rsidTr="00DC744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MEM13015</w:t>
            </w:r>
          </w:p>
        </w:tc>
        <w:tc>
          <w:tcPr>
            <w:tcW w:w="6886"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Work safely and effectively in manufacturing and engineering</w:t>
            </w:r>
          </w:p>
        </w:tc>
      </w:tr>
      <w:tr w:rsidTr="00DC744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MEM16006</w:t>
            </w:r>
          </w:p>
        </w:tc>
        <w:tc>
          <w:tcPr>
            <w:tcW w:w="6886" w:type="dxa"/>
            <w:tcBorders>
              <w:top w:val="nil"/>
              <w:left w:val="nil"/>
              <w:bottom w:val="nil"/>
              <w:right w:val="nil"/>
            </w:tcBorders>
            <w:tcMar>
              <w:top w:w="0" w:type="dxa"/>
              <w:left w:w="62" w:type="dxa"/>
              <w:bottom w:w="0" w:type="dxa"/>
              <w:right w:w="62" w:type="dxa"/>
            </w:tcMar>
          </w:tcPr>
          <w:p w:rsidR="00000000" w:rsidRPr="00DC7447" w:rsidP="00DC7447">
            <w:pPr>
              <w:pStyle w:val="BodyText"/>
            </w:pPr>
            <w:r w:rsidRPr="00DC7447">
              <w:t>Organise and communicate information</w:t>
            </w:r>
          </w:p>
        </w:tc>
      </w:tr>
    </w:tbl>
    <w:p w:rsidR="00000000" w:rsidRPr="00DC7447" w:rsidP="00DC7447">
      <w:pPr>
        <w:pStyle w:val="BodyText"/>
      </w:pPr>
    </w:p>
    <w:p w:rsidR="00000000" w:rsidRPr="00DC7447" w:rsidP="00DC7447">
      <w:pPr>
        <w:pStyle w:val="AllowPageBreak"/>
      </w:pPr>
    </w:p>
    <w:p w:rsidR="00000000" w:rsidRPr="00DC7447" w:rsidP="00DC7447">
      <w:pPr>
        <w:pStyle w:val="Heading1"/>
      </w:pPr>
      <w:bookmarkStart w:id="4" w:name="O_952534"/>
      <w:bookmarkEnd w:id="4"/>
      <w:r w:rsidRPr="00DC7447">
        <w:t>Competency Field</w:t>
      </w:r>
    </w:p>
    <w:p w:rsidR="00000000" w:rsidRPr="00DC7447" w:rsidP="00C523CE">
      <w:pPr>
        <w:pStyle w:val="BodyText"/>
      </w:pPr>
      <w:r w:rsidRPr="00DC7447">
        <w:t>Boating services</w:t>
      </w:r>
    </w:p>
    <w:p w:rsidR="00000000" w:rsidRPr="00DC7447" w:rsidP="00DC7447">
      <w:pPr>
        <w:pStyle w:val="Heading1"/>
      </w:pPr>
      <w:bookmarkStart w:id="5" w:name="O_952532"/>
      <w:bookmarkEnd w:id="5"/>
      <w:r w:rsidRPr="00DC7447">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DC7447">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Performance criteria describe the performance needed to demonstrate achievement of the element.</w:t>
            </w:r>
          </w:p>
        </w:tc>
      </w:tr>
      <w:tr w:rsidTr="00DC74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C7447" w:rsidP="00DC7447">
            <w:pPr>
              <w:pStyle w:val="BodyText"/>
            </w:pPr>
            <w:r w:rsidRPr="00DC7447">
              <w:t>1</w:t>
            </w:r>
          </w:p>
        </w:tc>
        <w:tc>
          <w:tcPr>
            <w:tcW w:w="1986" w:type="dxa"/>
            <w:vMerge w:val="restart"/>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rPr>
                <w:rStyle w:val="SpecialBold"/>
              </w:rPr>
              <w:t>Manoeuvre and handle the boat</w:t>
            </w:r>
          </w:p>
        </w:tc>
        <w:tc>
          <w:tcPr>
            <w:tcW w:w="779"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1.1</w:t>
            </w:r>
          </w:p>
        </w:tc>
        <w:tc>
          <w:tcPr>
            <w:tcW w:w="5678"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Follow standard operating procedures (SOPs)</w:t>
            </w:r>
          </w:p>
        </w:tc>
      </w:tr>
      <w:tr w:rsidTr="00DC74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1.2</w:t>
            </w:r>
          </w:p>
        </w:tc>
        <w:tc>
          <w:tcPr>
            <w:tcW w:w="5678"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 xml:space="preserve">Comply with work health and safety (WHS) requirements at all times </w:t>
            </w:r>
          </w:p>
        </w:tc>
      </w:tr>
      <w:tr w:rsidTr="00DC74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1.3</w:t>
            </w:r>
          </w:p>
        </w:tc>
        <w:tc>
          <w:tcPr>
            <w:tcW w:w="5678"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Undertake a pre-start checks and start motor</w:t>
            </w:r>
          </w:p>
        </w:tc>
      </w:tr>
      <w:tr w:rsidTr="00DC74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1.4</w:t>
            </w:r>
          </w:p>
        </w:tc>
        <w:tc>
          <w:tcPr>
            <w:tcW w:w="5678"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Manoeuvre boat safely according to conditions and in accordance with water traffic regulations</w:t>
            </w:r>
          </w:p>
        </w:tc>
      </w:tr>
      <w:tr w:rsidTr="00DC74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1.5</w:t>
            </w:r>
          </w:p>
        </w:tc>
        <w:tc>
          <w:tcPr>
            <w:tcW w:w="5678"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Monitor performance of the boat and personnel at all times</w:t>
            </w:r>
          </w:p>
        </w:tc>
      </w:tr>
      <w:tr w:rsidTr="00DC74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1.6</w:t>
            </w:r>
          </w:p>
        </w:tc>
        <w:tc>
          <w:tcPr>
            <w:tcW w:w="5678"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Consider impact of boat use on others and the environment</w:t>
            </w:r>
          </w:p>
        </w:tc>
      </w:tr>
      <w:tr w:rsidTr="00DC74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1.7</w:t>
            </w:r>
          </w:p>
        </w:tc>
        <w:tc>
          <w:tcPr>
            <w:tcW w:w="5678"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Use safety equipment, stow and, as required, wear in accordance with legislation and recognised regulations and rules</w:t>
            </w:r>
          </w:p>
        </w:tc>
      </w:tr>
      <w:tr w:rsidTr="00DC74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C7447" w:rsidP="00DC7447">
            <w:pPr>
              <w:pStyle w:val="BodyText"/>
            </w:pPr>
            <w:r w:rsidRPr="00DC7447">
              <w:t>2</w:t>
            </w:r>
          </w:p>
        </w:tc>
        <w:tc>
          <w:tcPr>
            <w:tcW w:w="1986" w:type="dxa"/>
            <w:vMerge w:val="restart"/>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rPr>
                <w:rStyle w:val="SpecialBold"/>
              </w:rPr>
              <w:t>Navi</w:t>
            </w:r>
            <w:r w:rsidRPr="00DC7447">
              <w:rPr>
                <w:rStyle w:val="SpecialBold"/>
              </w:rPr>
              <w:t>gate safely</w:t>
            </w:r>
          </w:p>
        </w:tc>
        <w:tc>
          <w:tcPr>
            <w:tcW w:w="779"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2.1</w:t>
            </w:r>
          </w:p>
        </w:tc>
        <w:tc>
          <w:tcPr>
            <w:tcW w:w="5678"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Identify aids to small craft navigation</w:t>
            </w:r>
          </w:p>
        </w:tc>
      </w:tr>
      <w:tr w:rsidTr="00DC74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2.2</w:t>
            </w:r>
          </w:p>
        </w:tc>
        <w:tc>
          <w:tcPr>
            <w:tcW w:w="5678"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Apply collision avoidance techniques when required in accordance with relevant legislation, recognised regulations and rules</w:t>
            </w:r>
          </w:p>
        </w:tc>
      </w:tr>
      <w:tr w:rsidTr="00DC74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2.3</w:t>
            </w:r>
          </w:p>
        </w:tc>
        <w:tc>
          <w:tcPr>
            <w:tcW w:w="5678"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Carry out operation of the boat at all times in accordance with relevant legislation, recognised regulations and rules</w:t>
            </w:r>
          </w:p>
        </w:tc>
      </w:tr>
      <w:tr w:rsidTr="00DC74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2.4</w:t>
            </w:r>
          </w:p>
        </w:tc>
        <w:tc>
          <w:tcPr>
            <w:tcW w:w="5678"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Use navigational aids and landmarks to determine and monitor boat position</w:t>
            </w:r>
          </w:p>
        </w:tc>
      </w:tr>
      <w:tr w:rsidTr="00DC74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2.5</w:t>
            </w:r>
          </w:p>
        </w:tc>
        <w:tc>
          <w:tcPr>
            <w:tcW w:w="5678"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Take into account hazards and conditions in navigating the boat</w:t>
            </w:r>
          </w:p>
        </w:tc>
      </w:tr>
      <w:tr w:rsidTr="00DC74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C7447" w:rsidP="00DC7447">
            <w:pPr>
              <w:pStyle w:val="BodyText"/>
            </w:pPr>
            <w:r w:rsidRPr="00DC7447">
              <w:t>3</w:t>
            </w:r>
          </w:p>
        </w:tc>
        <w:tc>
          <w:tcPr>
            <w:tcW w:w="1986" w:type="dxa"/>
            <w:vMerge w:val="restart"/>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rPr>
                <w:rStyle w:val="SpecialBold"/>
              </w:rPr>
              <w:t>Anchor the boat</w:t>
            </w:r>
          </w:p>
        </w:tc>
        <w:tc>
          <w:tcPr>
            <w:tcW w:w="779"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3.1</w:t>
            </w:r>
          </w:p>
        </w:tc>
        <w:tc>
          <w:tcPr>
            <w:tcW w:w="5678"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Select anchorage site in accordance with prevailing and forecast conditions and in accordance with legislation</w:t>
            </w:r>
          </w:p>
        </w:tc>
      </w:tr>
      <w:tr w:rsidTr="00DC74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3.2</w:t>
            </w:r>
          </w:p>
        </w:tc>
        <w:tc>
          <w:tcPr>
            <w:tcW w:w="5678"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Use type of anchor and anchoring system suitable fo</w:t>
            </w:r>
            <w:r w:rsidRPr="00DC7447">
              <w:t>r location</w:t>
            </w:r>
          </w:p>
        </w:tc>
      </w:tr>
      <w:tr w:rsidTr="00DC74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3.3</w:t>
            </w:r>
          </w:p>
        </w:tc>
        <w:tc>
          <w:tcPr>
            <w:tcW w:w="5678"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Lower, set and monitor anchor according to prevailing conditions</w:t>
            </w:r>
          </w:p>
        </w:tc>
      </w:tr>
      <w:tr w:rsidTr="00DC74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3.4</w:t>
            </w:r>
          </w:p>
        </w:tc>
        <w:tc>
          <w:tcPr>
            <w:tcW w:w="5678" w:type="dxa"/>
            <w:tcBorders>
              <w:top w:val="nil"/>
              <w:left w:val="nil"/>
              <w:bottom w:val="nil"/>
              <w:right w:val="nil"/>
            </w:tcBorders>
            <w:tcMar>
              <w:top w:w="0" w:type="dxa"/>
              <w:left w:w="62" w:type="dxa"/>
              <w:bottom w:w="0" w:type="dxa"/>
              <w:right w:w="62" w:type="dxa"/>
            </w:tcMar>
          </w:tcPr>
          <w:p w:rsidR="00000000" w:rsidRPr="00DC7447" w:rsidP="00DC7447">
            <w:pPr>
              <w:pStyle w:val="BodyText"/>
            </w:pPr>
            <w:r w:rsidRPr="00DC7447">
              <w:t>Retrieve and securely stow anchor</w:t>
            </w:r>
          </w:p>
        </w:tc>
      </w:tr>
    </w:tbl>
    <w:p w:rsidR="00000000" w:rsidRPr="00DC7447" w:rsidP="00DC7447">
      <w:pPr>
        <w:pStyle w:val="BodyText"/>
      </w:pPr>
    </w:p>
    <w:p w:rsidR="00000000" w:rsidRPr="00DC7447" w:rsidP="00DC7447">
      <w:pPr>
        <w:pStyle w:val="AllowPageBreak"/>
      </w:pPr>
    </w:p>
    <w:p w:rsidR="00000000" w:rsidRPr="00DC7447" w:rsidP="00DC7447">
      <w:pPr>
        <w:pStyle w:val="Heading1"/>
      </w:pPr>
      <w:bookmarkStart w:id="6" w:name="O_952531"/>
      <w:bookmarkEnd w:id="6"/>
      <w:r w:rsidRPr="00DC7447">
        <w:t>Foundation Skills</w:t>
      </w:r>
    </w:p>
    <w:p w:rsidR="00000000" w:rsidRPr="00DC7447" w:rsidP="00C523CE">
      <w:pPr>
        <w:pStyle w:val="BodyText"/>
      </w:pPr>
      <w:r w:rsidRPr="00DC7447">
        <w:t xml:space="preserve">This section describes those required skills (reading, writing, oral communication and numeracy) that are essential to workplace performance in this unit of competency.  </w:t>
      </w:r>
    </w:p>
    <w:p w:rsidR="00000000" w:rsidRPr="00DC7447" w:rsidP="00C523CE">
      <w:pPr>
        <w:pStyle w:val="BodyText"/>
      </w:pPr>
      <w:r w:rsidRPr="00DC7447">
        <w:t xml:space="preserve">Foundation skills essential to performance are explicit in the performance criteria </w:t>
      </w:r>
      <w:r w:rsidRPr="00DC7447">
        <w:t>of this unit of competency.</w:t>
      </w:r>
    </w:p>
    <w:p w:rsidR="00000000" w:rsidRPr="00DC7447" w:rsidP="00DC7447">
      <w:pPr>
        <w:pStyle w:val="Heading1"/>
      </w:pPr>
      <w:bookmarkStart w:id="7" w:name="O_952530"/>
      <w:bookmarkEnd w:id="7"/>
      <w:r w:rsidRPr="00DC7447">
        <w:t>Range of Conditions</w:t>
      </w:r>
    </w:p>
    <w:tbl>
      <w:tblPr>
        <w:tblW w:w="0" w:type="auto"/>
        <w:tblLayout w:type="fixed"/>
        <w:tblCellMar>
          <w:left w:w="62" w:type="dxa"/>
          <w:right w:w="62" w:type="dxa"/>
        </w:tblCellMar>
        <w:tblLook w:val="0000"/>
      </w:tblPr>
      <w:tblGrid>
        <w:gridCol w:w="2760"/>
        <w:gridCol w:w="6381"/>
      </w:tblGrid>
      <w:tr w:rsidTr="00DC7447">
        <w:tblPrEx>
          <w:tblW w:w="0" w:type="auto"/>
          <w:tblLayout w:type="fixed"/>
          <w:tblCellMar>
            <w:left w:w="62" w:type="dxa"/>
            <w:right w:w="62" w:type="dxa"/>
          </w:tblCellMar>
          <w:tblLook w:val="0000"/>
        </w:tblPrEx>
        <w:trPr>
          <w:tblHeader/>
        </w:trPr>
        <w:tc>
          <w:tcPr>
            <w:tcW w:w="9141" w:type="dxa"/>
            <w:gridSpan w:val="2"/>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t>This field allows for different work environments and conditions that may affect performance. Essential operating conditions that may be present (depending on the work situation, needs of the</w:t>
            </w:r>
            <w:r w:rsidRPr="00DC7447">
              <w:t xml:space="preserve"> candidate, accessibility of the item, and local industry and regional contexts) are included.</w:t>
            </w:r>
          </w:p>
        </w:tc>
      </w:tr>
      <w:tr w:rsidTr="00DC7447">
        <w:tblPrEx>
          <w:tblW w:w="0" w:type="auto"/>
          <w:tblLayout w:type="fixed"/>
          <w:tblCellMar>
            <w:left w:w="62" w:type="dxa"/>
            <w:right w:w="62" w:type="dxa"/>
          </w:tblCellMar>
          <w:tblLook w:val="0000"/>
        </w:tblPrEx>
        <w:trPr>
          <w:trHeight w:val="4153"/>
        </w:trPr>
        <w:tc>
          <w:tcPr>
            <w:tcW w:w="2760"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rPr>
                <w:rStyle w:val="SpecialBold"/>
              </w:rPr>
              <w:t>Pre-start checks include the following:</w:t>
            </w:r>
          </w:p>
        </w:tc>
        <w:tc>
          <w:tcPr>
            <w:tcW w:w="6381" w:type="dxa"/>
            <w:tcBorders>
              <w:top w:val="nil"/>
              <w:left w:val="nil"/>
              <w:bottom w:val="nil"/>
              <w:right w:val="nil"/>
            </w:tcBorders>
            <w:tcMar>
              <w:top w:w="0" w:type="dxa"/>
              <w:left w:w="62" w:type="dxa"/>
              <w:bottom w:w="0" w:type="dxa"/>
              <w:right w:w="62" w:type="dxa"/>
            </w:tcMar>
          </w:tcPr>
          <w:p w:rsidR="00000000" w:rsidRPr="00DC7447" w:rsidP="00DC7447">
            <w:pPr>
              <w:pStyle w:val="ListBullet"/>
            </w:pPr>
            <w:r w:rsidRPr="00DC7447">
              <w:t>fuel is connected</w:t>
            </w:r>
          </w:p>
          <w:p w:rsidR="00000000" w:rsidRPr="00DC7447" w:rsidP="00DC7447">
            <w:pPr>
              <w:pStyle w:val="ListBullet"/>
            </w:pPr>
            <w:r w:rsidRPr="00DC7447">
              <w:t>battery is charged and connected</w:t>
            </w:r>
          </w:p>
          <w:p w:rsidR="00000000" w:rsidRPr="00DC7447" w:rsidP="00DC7447">
            <w:pPr>
              <w:pStyle w:val="ListBullet"/>
            </w:pPr>
            <w:r w:rsidRPr="00DC7447">
              <w:t>kill switch</w:t>
            </w:r>
          </w:p>
          <w:p w:rsidR="00000000" w:rsidRPr="00DC7447" w:rsidP="00DC7447">
            <w:pPr>
              <w:pStyle w:val="ListBullet"/>
            </w:pPr>
            <w:r w:rsidRPr="00DC7447">
              <w:t>fumes and petrol</w:t>
            </w:r>
          </w:p>
          <w:p w:rsidR="00000000" w:rsidRPr="00DC7447" w:rsidP="00DC7447">
            <w:pPr>
              <w:pStyle w:val="ListBullet"/>
            </w:pPr>
            <w:r w:rsidRPr="00DC7447">
              <w:t>fuel and water leaks</w:t>
            </w:r>
          </w:p>
          <w:p w:rsidR="00000000" w:rsidRPr="00DC7447" w:rsidP="00DC7447">
            <w:pPr>
              <w:pStyle w:val="ListBullet"/>
            </w:pPr>
            <w:r w:rsidRPr="00DC7447">
              <w:t>hatches/windows/doors are open</w:t>
            </w:r>
          </w:p>
          <w:p w:rsidR="00000000" w:rsidRPr="00DC7447" w:rsidP="00DC7447">
            <w:pPr>
              <w:pStyle w:val="ListBullet"/>
            </w:pPr>
            <w:r w:rsidRPr="00DC7447">
              <w:t>ventilation</w:t>
            </w:r>
          </w:p>
          <w:p w:rsidR="00000000" w:rsidRPr="00DC7447" w:rsidP="00DC7447">
            <w:pPr>
              <w:pStyle w:val="ListBullet"/>
            </w:pPr>
            <w:r w:rsidRPr="00DC7447">
              <w:t>sea-cock opening</w:t>
            </w:r>
          </w:p>
          <w:p w:rsidR="00000000" w:rsidRPr="00DC7447" w:rsidP="00DC7447">
            <w:pPr>
              <w:pStyle w:val="ListBullet"/>
            </w:pPr>
            <w:r w:rsidRPr="00DC7447">
              <w:t>loose gear is secured</w:t>
            </w:r>
          </w:p>
          <w:p w:rsidR="00000000" w:rsidRPr="00DC7447" w:rsidP="00DC7447">
            <w:pPr>
              <w:pStyle w:val="ListBullet"/>
            </w:pPr>
            <w:r w:rsidRPr="00DC7447">
              <w:t>marine radio is turned on and radio aerials raised</w:t>
            </w:r>
          </w:p>
          <w:p w:rsidR="00000000" w:rsidRPr="00DC7447" w:rsidP="00DC7447">
            <w:pPr>
              <w:pStyle w:val="ListBullet"/>
            </w:pPr>
            <w:r w:rsidRPr="00DC7447">
              <w:t>bilge water levels checked</w:t>
            </w:r>
          </w:p>
          <w:p w:rsidR="00000000" w:rsidP="00DC7447">
            <w:pPr>
              <w:pStyle w:val="ListBullet"/>
              <w:rPr>
                <w:lang w:val="en-NZ"/>
              </w:rPr>
            </w:pPr>
            <w:r w:rsidRPr="00DC7447">
              <w:t>navigation lights</w:t>
            </w:r>
          </w:p>
        </w:tc>
      </w:tr>
      <w:tr w:rsidTr="00DC7447">
        <w:tblPrEx>
          <w:tblW w:w="0" w:type="auto"/>
          <w:tblLayout w:type="fixed"/>
          <w:tblCellMar>
            <w:left w:w="62" w:type="dxa"/>
            <w:right w:w="62" w:type="dxa"/>
          </w:tblCellMar>
          <w:tblLook w:val="0000"/>
        </w:tblPrEx>
        <w:trPr>
          <w:trHeight w:val="2655"/>
        </w:trPr>
        <w:tc>
          <w:tcPr>
            <w:tcW w:w="2760"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rPr>
                <w:rStyle w:val="SpecialBold"/>
              </w:rPr>
              <w:t>Manoeuvring conditions include the following:</w:t>
            </w:r>
          </w:p>
        </w:tc>
        <w:tc>
          <w:tcPr>
            <w:tcW w:w="6381" w:type="dxa"/>
            <w:tcBorders>
              <w:top w:val="nil"/>
              <w:left w:val="nil"/>
              <w:bottom w:val="nil"/>
              <w:right w:val="nil"/>
            </w:tcBorders>
            <w:tcMar>
              <w:top w:w="0" w:type="dxa"/>
              <w:left w:w="62" w:type="dxa"/>
              <w:bottom w:w="0" w:type="dxa"/>
              <w:right w:w="62" w:type="dxa"/>
            </w:tcMar>
          </w:tcPr>
          <w:p w:rsidR="00000000" w:rsidRPr="00DC7447" w:rsidP="00DC7447">
            <w:pPr>
              <w:pStyle w:val="ListBullet"/>
            </w:pPr>
            <w:r w:rsidRPr="00DC7447">
              <w:t>from or to a ramp, pontoon, wharf, mooring, anchor, confined areas, such as narrow channels, marinas, moorings and obstructions</w:t>
            </w:r>
          </w:p>
          <w:p w:rsidR="00000000" w:rsidRPr="00DC7447" w:rsidP="00DC7447">
            <w:pPr>
              <w:pStyle w:val="ListBullet"/>
            </w:pPr>
            <w:r w:rsidRPr="00DC7447">
              <w:t>sea-states, including bars, waves, rips, high seas, tidal surges, choppy conditions and wakes</w:t>
            </w:r>
          </w:p>
          <w:p w:rsidR="00000000" w:rsidRPr="00DC7447" w:rsidP="00DC7447">
            <w:pPr>
              <w:pStyle w:val="ListBullet"/>
            </w:pPr>
            <w:r w:rsidRPr="00DC7447">
              <w:t>low speed/high speed</w:t>
            </w:r>
          </w:p>
          <w:p w:rsidR="00000000" w:rsidRPr="00DC7447" w:rsidP="00DC7447">
            <w:pPr>
              <w:pStyle w:val="ListBullet"/>
            </w:pPr>
            <w:r w:rsidRPr="00DC7447">
              <w:t>poor visibili</w:t>
            </w:r>
            <w:r w:rsidRPr="00DC7447">
              <w:t>ty</w:t>
            </w:r>
          </w:p>
          <w:p w:rsidR="00000000" w:rsidRPr="00DC7447" w:rsidP="00DC7447">
            <w:pPr>
              <w:pStyle w:val="ListBullet"/>
            </w:pPr>
            <w:r w:rsidRPr="00DC7447">
              <w:t>effect of wind</w:t>
            </w:r>
          </w:p>
          <w:p w:rsidR="00000000" w:rsidP="00DC7447">
            <w:pPr>
              <w:pStyle w:val="ListBullet"/>
              <w:rPr>
                <w:lang w:val="en-NZ"/>
              </w:rPr>
            </w:pPr>
            <w:r w:rsidRPr="00DC7447">
              <w:t>large vessels</w:t>
            </w:r>
          </w:p>
        </w:tc>
      </w:tr>
      <w:tr w:rsidTr="00DC7447">
        <w:tblPrEx>
          <w:tblW w:w="0" w:type="auto"/>
          <w:tblLayout w:type="fixed"/>
          <w:tblCellMar>
            <w:left w:w="62" w:type="dxa"/>
            <w:right w:w="62" w:type="dxa"/>
          </w:tblCellMar>
          <w:tblLook w:val="0000"/>
        </w:tblPrEx>
        <w:trPr>
          <w:trHeight w:val="4142"/>
        </w:trPr>
        <w:tc>
          <w:tcPr>
            <w:tcW w:w="2760"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rPr>
                <w:rStyle w:val="SpecialBold"/>
              </w:rPr>
              <w:t>Safe manoeuvring includes the following:</w:t>
            </w:r>
          </w:p>
        </w:tc>
        <w:tc>
          <w:tcPr>
            <w:tcW w:w="6381" w:type="dxa"/>
            <w:tcBorders>
              <w:top w:val="nil"/>
              <w:left w:val="nil"/>
              <w:bottom w:val="nil"/>
              <w:right w:val="nil"/>
            </w:tcBorders>
            <w:tcMar>
              <w:top w:w="0" w:type="dxa"/>
              <w:left w:w="62" w:type="dxa"/>
              <w:bottom w:w="0" w:type="dxa"/>
              <w:right w:w="62" w:type="dxa"/>
            </w:tcMar>
          </w:tcPr>
          <w:p w:rsidR="00000000" w:rsidRPr="00DC7447" w:rsidP="00DC7447">
            <w:pPr>
              <w:pStyle w:val="ListBullet"/>
            </w:pPr>
            <w:r w:rsidRPr="00DC7447">
              <w:t>steer straight line</w:t>
            </w:r>
          </w:p>
          <w:p w:rsidR="00000000" w:rsidRPr="00DC7447" w:rsidP="00DC7447">
            <w:pPr>
              <w:pStyle w:val="ListBullet"/>
            </w:pPr>
            <w:r w:rsidRPr="00DC7447">
              <w:t>astern</w:t>
            </w:r>
          </w:p>
          <w:p w:rsidR="00000000" w:rsidRPr="00DC7447" w:rsidP="00DC7447">
            <w:pPr>
              <w:pStyle w:val="ListBullet"/>
            </w:pPr>
            <w:r w:rsidRPr="00DC7447">
              <w:t>figure-eight</w:t>
            </w:r>
          </w:p>
          <w:p w:rsidR="00000000" w:rsidRPr="00DC7447" w:rsidP="00DC7447">
            <w:pPr>
              <w:pStyle w:val="ListBullet"/>
            </w:pPr>
            <w:r w:rsidRPr="00DC7447">
              <w:t>right of way</w:t>
            </w:r>
          </w:p>
          <w:p w:rsidR="00000000" w:rsidRPr="00DC7447" w:rsidP="00DC7447">
            <w:pPr>
              <w:pStyle w:val="ListBullet"/>
            </w:pPr>
            <w:r w:rsidRPr="00DC7447">
              <w:t>port-starboard</w:t>
            </w:r>
          </w:p>
          <w:p w:rsidR="00000000" w:rsidRPr="00DC7447" w:rsidP="00DC7447">
            <w:pPr>
              <w:pStyle w:val="ListBullet"/>
            </w:pPr>
            <w:r w:rsidRPr="00DC7447">
              <w:t>throttle control</w:t>
            </w:r>
          </w:p>
          <w:p w:rsidR="00000000" w:rsidRPr="00DC7447" w:rsidP="00DC7447">
            <w:pPr>
              <w:pStyle w:val="ListBullet"/>
            </w:pPr>
            <w:r w:rsidRPr="00DC7447">
              <w:t>emergency stop</w:t>
            </w:r>
          </w:p>
          <w:p w:rsidR="00000000" w:rsidRPr="00DC7447" w:rsidP="00DC7447">
            <w:pPr>
              <w:pStyle w:val="ListBullet"/>
            </w:pPr>
            <w:r w:rsidRPr="00DC7447">
              <w:t>trim and stability of vessel</w:t>
            </w:r>
          </w:p>
          <w:p w:rsidR="00000000" w:rsidRPr="00DC7447" w:rsidP="00DC7447">
            <w:pPr>
              <w:pStyle w:val="ListBullet"/>
            </w:pPr>
            <w:r w:rsidRPr="00DC7447">
              <w:t>towing or being towed</w:t>
            </w:r>
          </w:p>
          <w:p w:rsidR="00000000" w:rsidRPr="00DC7447" w:rsidP="00DC7447">
            <w:pPr>
              <w:pStyle w:val="ListBullet"/>
            </w:pPr>
            <w:r w:rsidRPr="00DC7447">
              <w:t>berthing</w:t>
            </w:r>
          </w:p>
          <w:p w:rsidR="00000000" w:rsidRPr="00DC7447" w:rsidP="00DC7447">
            <w:pPr>
              <w:pStyle w:val="ListBullet"/>
            </w:pPr>
            <w:r w:rsidRPr="00DC7447">
              <w:t>standing-on/stemming the tide</w:t>
            </w:r>
          </w:p>
          <w:p w:rsidR="00000000" w:rsidP="00DC7447">
            <w:pPr>
              <w:pStyle w:val="ListBullet"/>
              <w:rPr>
                <w:lang w:val="en-NZ"/>
              </w:rPr>
            </w:pPr>
            <w:r w:rsidRPr="00DC7447">
              <w:t>retrieval of person overboard</w:t>
            </w:r>
          </w:p>
        </w:tc>
      </w:tr>
      <w:tr w:rsidTr="00DC7447">
        <w:tblPrEx>
          <w:tblW w:w="0" w:type="auto"/>
          <w:tblLayout w:type="fixed"/>
          <w:tblCellMar>
            <w:left w:w="62" w:type="dxa"/>
            <w:right w:w="62" w:type="dxa"/>
          </w:tblCellMar>
          <w:tblLook w:val="0000"/>
        </w:tblPrEx>
        <w:trPr>
          <w:trHeight w:val="3211"/>
        </w:trPr>
        <w:tc>
          <w:tcPr>
            <w:tcW w:w="2760"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rPr>
                <w:rStyle w:val="SpecialBold"/>
              </w:rPr>
              <w:t>Monitoring includes the following:</w:t>
            </w:r>
          </w:p>
        </w:tc>
        <w:tc>
          <w:tcPr>
            <w:tcW w:w="6381" w:type="dxa"/>
            <w:tcBorders>
              <w:top w:val="nil"/>
              <w:left w:val="nil"/>
              <w:bottom w:val="nil"/>
              <w:right w:val="nil"/>
            </w:tcBorders>
            <w:tcMar>
              <w:top w:w="0" w:type="dxa"/>
              <w:left w:w="62" w:type="dxa"/>
              <w:bottom w:w="0" w:type="dxa"/>
              <w:right w:w="62" w:type="dxa"/>
            </w:tcMar>
          </w:tcPr>
          <w:p w:rsidR="00000000" w:rsidRPr="00DC7447" w:rsidP="00DC7447">
            <w:pPr>
              <w:pStyle w:val="ListBullet"/>
            </w:pPr>
            <w:r w:rsidRPr="00DC7447">
              <w:t>cooling system</w:t>
            </w:r>
          </w:p>
          <w:p w:rsidR="00000000" w:rsidRPr="00DC7447" w:rsidP="00DC7447">
            <w:pPr>
              <w:pStyle w:val="ListBullet"/>
            </w:pPr>
            <w:r w:rsidRPr="00DC7447">
              <w:t>bilge</w:t>
            </w:r>
          </w:p>
          <w:p w:rsidR="00000000" w:rsidRPr="00DC7447" w:rsidP="00DC7447">
            <w:pPr>
              <w:pStyle w:val="ListBullet"/>
            </w:pPr>
            <w:r w:rsidRPr="00DC7447">
              <w:t>portholes and hatches</w:t>
            </w:r>
          </w:p>
          <w:p w:rsidR="00000000" w:rsidRPr="00DC7447" w:rsidP="00DC7447">
            <w:pPr>
              <w:pStyle w:val="ListBullet"/>
            </w:pPr>
            <w:r w:rsidRPr="00DC7447">
              <w:t>location and welfare of persons on board</w:t>
            </w:r>
          </w:p>
          <w:p w:rsidR="00000000" w:rsidRPr="00DC7447" w:rsidP="00DC7447">
            <w:pPr>
              <w:pStyle w:val="ListBullet"/>
            </w:pPr>
            <w:r w:rsidRPr="00DC7447">
              <w:t>oil, fuel and water</w:t>
            </w:r>
          </w:p>
          <w:p w:rsidR="00000000" w:rsidRPr="00DC7447" w:rsidP="00DC7447">
            <w:pPr>
              <w:pStyle w:val="ListBullet"/>
            </w:pPr>
            <w:r w:rsidRPr="00DC7447">
              <w:t>radio</w:t>
            </w:r>
          </w:p>
          <w:p w:rsidR="00000000" w:rsidRPr="00DC7447" w:rsidP="00DC7447">
            <w:pPr>
              <w:pStyle w:val="ListBullet"/>
            </w:pPr>
            <w:r w:rsidRPr="00DC7447">
              <w:t>position of boat</w:t>
            </w:r>
          </w:p>
          <w:p w:rsidR="00000000" w:rsidRPr="00DC7447" w:rsidP="00DC7447">
            <w:pPr>
              <w:pStyle w:val="ListBullet"/>
            </w:pPr>
            <w:r w:rsidRPr="00DC7447">
              <w:t>other water users</w:t>
            </w:r>
          </w:p>
          <w:p w:rsidR="00000000" w:rsidP="00DC7447">
            <w:pPr>
              <w:pStyle w:val="ListBullet"/>
              <w:rPr>
                <w:lang w:val="en-NZ"/>
              </w:rPr>
            </w:pPr>
            <w:r w:rsidRPr="00DC7447">
              <w:t>battery and electrical systems</w:t>
            </w:r>
          </w:p>
        </w:tc>
      </w:tr>
      <w:tr w:rsidTr="00DC7447">
        <w:tblPrEx>
          <w:tblW w:w="0" w:type="auto"/>
          <w:tblLayout w:type="fixed"/>
          <w:tblCellMar>
            <w:left w:w="62" w:type="dxa"/>
            <w:right w:w="62" w:type="dxa"/>
          </w:tblCellMar>
          <w:tblLook w:val="0000"/>
        </w:tblPrEx>
        <w:trPr>
          <w:trHeight w:val="2483"/>
        </w:trPr>
        <w:tc>
          <w:tcPr>
            <w:tcW w:w="2760"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rPr>
                <w:rStyle w:val="SpecialBold"/>
              </w:rPr>
              <w:t>Others and environment include the following:</w:t>
            </w:r>
          </w:p>
        </w:tc>
        <w:tc>
          <w:tcPr>
            <w:tcW w:w="6381" w:type="dxa"/>
            <w:tcBorders>
              <w:top w:val="nil"/>
              <w:left w:val="nil"/>
              <w:bottom w:val="nil"/>
              <w:right w:val="nil"/>
            </w:tcBorders>
            <w:tcMar>
              <w:top w:w="0" w:type="dxa"/>
              <w:left w:w="62" w:type="dxa"/>
              <w:bottom w:w="0" w:type="dxa"/>
              <w:right w:w="62" w:type="dxa"/>
            </w:tcMar>
          </w:tcPr>
          <w:p w:rsidR="00000000" w:rsidRPr="00DC7447" w:rsidP="00DC7447">
            <w:pPr>
              <w:pStyle w:val="ListBullet"/>
            </w:pPr>
            <w:r w:rsidRPr="00DC7447">
              <w:t>noise</w:t>
            </w:r>
          </w:p>
          <w:p w:rsidR="00000000" w:rsidRPr="00DC7447" w:rsidP="00DC7447">
            <w:pPr>
              <w:pStyle w:val="ListBullet"/>
            </w:pPr>
            <w:r w:rsidRPr="00DC7447">
              <w:t>wake</w:t>
            </w:r>
          </w:p>
          <w:p w:rsidR="00000000" w:rsidRPr="00DC7447" w:rsidP="00DC7447">
            <w:pPr>
              <w:pStyle w:val="ListBullet"/>
            </w:pPr>
            <w:r w:rsidRPr="00DC7447">
              <w:t>safety of others</w:t>
            </w:r>
          </w:p>
          <w:p w:rsidR="00000000" w:rsidRPr="00DC7447" w:rsidP="00DC7447">
            <w:pPr>
              <w:pStyle w:val="ListBullet"/>
            </w:pPr>
            <w:r w:rsidRPr="00DC7447">
              <w:t>disturbance or injury to wildlife</w:t>
            </w:r>
          </w:p>
          <w:p w:rsidR="00000000" w:rsidRPr="00DC7447" w:rsidP="00DC7447">
            <w:pPr>
              <w:pStyle w:val="ListBullet"/>
            </w:pPr>
            <w:r w:rsidRPr="00DC7447">
              <w:t>disposal of waste and bilge water</w:t>
            </w:r>
          </w:p>
          <w:p w:rsidR="00000000" w:rsidRPr="00DC7447" w:rsidP="00DC7447">
            <w:pPr>
              <w:pStyle w:val="ListBullet"/>
            </w:pPr>
            <w:r w:rsidRPr="00DC7447">
              <w:t>effects of detergent and anti-foul</w:t>
            </w:r>
          </w:p>
          <w:p w:rsidR="00000000" w:rsidP="00DC7447">
            <w:pPr>
              <w:pStyle w:val="ListBullet"/>
              <w:rPr>
                <w:lang w:val="en-NZ"/>
              </w:rPr>
            </w:pPr>
            <w:r w:rsidRPr="00DC7447">
              <w:t>fuelling arrangements</w:t>
            </w:r>
          </w:p>
        </w:tc>
      </w:tr>
      <w:tr w:rsidTr="00DC7447">
        <w:tblPrEx>
          <w:tblW w:w="0" w:type="auto"/>
          <w:tblLayout w:type="fixed"/>
          <w:tblCellMar>
            <w:left w:w="62" w:type="dxa"/>
            <w:right w:w="62" w:type="dxa"/>
          </w:tblCellMar>
          <w:tblLook w:val="0000"/>
        </w:tblPrEx>
        <w:trPr>
          <w:trHeight w:val="3522"/>
        </w:trPr>
        <w:tc>
          <w:tcPr>
            <w:tcW w:w="2760"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rPr>
                <w:rStyle w:val="SpecialBold"/>
              </w:rPr>
              <w:t>Aids to small craft navigation include one (1) or more of the following:</w:t>
            </w:r>
            <w:r w:rsidRPr="00DC7447">
              <w:t xml:space="preserve"> </w:t>
            </w:r>
          </w:p>
        </w:tc>
        <w:tc>
          <w:tcPr>
            <w:tcW w:w="6381" w:type="dxa"/>
            <w:tcBorders>
              <w:top w:val="nil"/>
              <w:left w:val="nil"/>
              <w:bottom w:val="nil"/>
              <w:right w:val="nil"/>
            </w:tcBorders>
            <w:tcMar>
              <w:top w:w="0" w:type="dxa"/>
              <w:left w:w="62" w:type="dxa"/>
              <w:bottom w:w="0" w:type="dxa"/>
              <w:right w:w="62" w:type="dxa"/>
            </w:tcMar>
          </w:tcPr>
          <w:p w:rsidR="00000000" w:rsidRPr="00DC7447" w:rsidP="00DC7447">
            <w:pPr>
              <w:pStyle w:val="ListBullet"/>
            </w:pPr>
            <w:r w:rsidRPr="00DC7447">
              <w:t>IALA Buoyage System ‘A’</w:t>
            </w:r>
          </w:p>
          <w:p w:rsidR="00000000" w:rsidRPr="00DC7447" w:rsidP="00DC7447">
            <w:pPr>
              <w:pStyle w:val="ListBullet"/>
            </w:pPr>
            <w:r w:rsidRPr="00DC7447">
              <w:t>charts</w:t>
            </w:r>
          </w:p>
          <w:p w:rsidR="00000000" w:rsidRPr="00DC7447" w:rsidP="00DC7447">
            <w:pPr>
              <w:pStyle w:val="ListBullet"/>
            </w:pPr>
            <w:r w:rsidRPr="00DC7447">
              <w:t>compasses</w:t>
            </w:r>
          </w:p>
          <w:p w:rsidR="00000000" w:rsidRPr="00DC7447" w:rsidP="00DC7447">
            <w:pPr>
              <w:pStyle w:val="ListBullet"/>
            </w:pPr>
            <w:r w:rsidRPr="00DC7447">
              <w:t>global positioning system (GPS)</w:t>
            </w:r>
          </w:p>
          <w:p w:rsidR="00000000" w:rsidRPr="00DC7447" w:rsidP="00DC7447">
            <w:pPr>
              <w:pStyle w:val="ListBullet"/>
            </w:pPr>
            <w:r w:rsidRPr="00DC7447">
              <w:t>sounder</w:t>
            </w:r>
          </w:p>
          <w:p w:rsidR="00000000" w:rsidRPr="00DC7447" w:rsidP="00DC7447">
            <w:pPr>
              <w:pStyle w:val="ListBullet"/>
            </w:pPr>
            <w:r w:rsidRPr="00DC7447">
              <w:t>tide tables</w:t>
            </w:r>
          </w:p>
          <w:p w:rsidR="00000000" w:rsidRPr="00DC7447" w:rsidP="00DC7447">
            <w:pPr>
              <w:pStyle w:val="ListBullet"/>
            </w:pPr>
            <w:r w:rsidRPr="00DC7447">
              <w:t>passage plan</w:t>
            </w:r>
          </w:p>
          <w:p w:rsidR="00000000" w:rsidRPr="00DC7447" w:rsidP="00DC7447">
            <w:pPr>
              <w:pStyle w:val="ListBullet"/>
            </w:pPr>
            <w:r w:rsidRPr="00DC7447">
              <w:t>marine references</w:t>
            </w:r>
          </w:p>
          <w:p w:rsidR="00000000" w:rsidRPr="00DC7447" w:rsidP="00DC7447">
            <w:pPr>
              <w:pStyle w:val="ListBullet"/>
            </w:pPr>
            <w:r w:rsidRPr="00DC7447">
              <w:t>notices to mariners</w:t>
            </w:r>
          </w:p>
          <w:p w:rsidR="00000000" w:rsidP="00DC7447">
            <w:pPr>
              <w:pStyle w:val="ListBullet"/>
              <w:rPr>
                <w:lang w:val="en-NZ"/>
              </w:rPr>
            </w:pPr>
            <w:r w:rsidRPr="00DC7447">
              <w:t>radio navigational warnings</w:t>
            </w:r>
          </w:p>
        </w:tc>
      </w:tr>
      <w:tr w:rsidTr="00DC7447">
        <w:tblPrEx>
          <w:tblW w:w="0" w:type="auto"/>
          <w:tblLayout w:type="fixed"/>
          <w:tblCellMar>
            <w:left w:w="62" w:type="dxa"/>
            <w:right w:w="62" w:type="dxa"/>
          </w:tblCellMar>
          <w:tblLook w:val="0000"/>
        </w:tblPrEx>
        <w:trPr>
          <w:trHeight w:val="8765"/>
        </w:trPr>
        <w:tc>
          <w:tcPr>
            <w:tcW w:w="2760"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rPr>
                <w:rStyle w:val="SpecialBold"/>
              </w:rPr>
              <w:t>Relevant legislation</w:t>
            </w:r>
            <w:r w:rsidRPr="00DC7447">
              <w:t xml:space="preserve">, </w:t>
            </w:r>
            <w:r w:rsidRPr="00DC7447">
              <w:rPr>
                <w:rStyle w:val="SpecialBold"/>
              </w:rPr>
              <w:t>recognised regulations and rules include the following:</w:t>
            </w:r>
          </w:p>
        </w:tc>
        <w:tc>
          <w:tcPr>
            <w:tcW w:w="6381" w:type="dxa"/>
            <w:tcBorders>
              <w:top w:val="nil"/>
              <w:left w:val="nil"/>
              <w:bottom w:val="nil"/>
              <w:right w:val="nil"/>
            </w:tcBorders>
            <w:tcMar>
              <w:top w:w="0" w:type="dxa"/>
              <w:left w:w="62" w:type="dxa"/>
              <w:bottom w:w="0" w:type="dxa"/>
              <w:right w:w="62" w:type="dxa"/>
            </w:tcMar>
          </w:tcPr>
          <w:p w:rsidR="00000000" w:rsidRPr="00DC7447" w:rsidP="00DC7447">
            <w:pPr>
              <w:pStyle w:val="ListBullet"/>
            </w:pPr>
            <w:r w:rsidRPr="00DC7447">
              <w:t>collision regulations:</w:t>
            </w:r>
          </w:p>
          <w:p w:rsidR="00000000" w:rsidRPr="00DC7447" w:rsidP="00DC7447">
            <w:pPr>
              <w:pStyle w:val="ListBullet2"/>
            </w:pPr>
            <w:r w:rsidRPr="00DC7447">
              <w:t>navigating in narrow channels</w:t>
            </w:r>
          </w:p>
          <w:p w:rsidR="00000000" w:rsidRPr="00DC7447" w:rsidP="00DC7447">
            <w:pPr>
              <w:pStyle w:val="ListBullet2"/>
            </w:pPr>
            <w:r w:rsidRPr="00DC7447">
              <w:t>giving way to other vessels</w:t>
            </w:r>
          </w:p>
          <w:p w:rsidR="00000000" w:rsidRPr="00DC7447" w:rsidP="00DC7447">
            <w:pPr>
              <w:pStyle w:val="ListBullet2"/>
            </w:pPr>
            <w:r w:rsidRPr="00DC7447">
              <w:t>overtaking, proper lookout</w:t>
            </w:r>
          </w:p>
          <w:p w:rsidR="00000000" w:rsidRPr="00DC7447" w:rsidP="00DC7447">
            <w:pPr>
              <w:pStyle w:val="ListBullet2"/>
            </w:pPr>
            <w:r w:rsidRPr="00DC7447">
              <w:t>sound signals</w:t>
            </w:r>
          </w:p>
          <w:p w:rsidR="00000000" w:rsidRPr="00DC7447" w:rsidP="00DC7447">
            <w:pPr>
              <w:pStyle w:val="ListBullet2"/>
            </w:pPr>
            <w:r w:rsidRPr="00DC7447">
              <w:t>lights and shapes</w:t>
            </w:r>
          </w:p>
          <w:p w:rsidR="00000000" w:rsidRPr="00DC7447" w:rsidP="00DC7447">
            <w:pPr>
              <w:pStyle w:val="ListBullet2"/>
            </w:pPr>
            <w:r w:rsidRPr="00DC7447">
              <w:t>responsibilities and duty of care</w:t>
            </w:r>
          </w:p>
          <w:p w:rsidR="00000000" w:rsidRPr="00DC7447" w:rsidP="00DC7447">
            <w:pPr>
              <w:pStyle w:val="ListBullet2"/>
            </w:pPr>
            <w:r w:rsidRPr="00DC7447">
              <w:t>use of buoyage system</w:t>
            </w:r>
          </w:p>
          <w:p w:rsidR="00000000" w:rsidRPr="00DC7447" w:rsidP="00DC7447">
            <w:pPr>
              <w:pStyle w:val="ListBullet2"/>
            </w:pPr>
            <w:r w:rsidRPr="00DC7447">
              <w:t>speed</w:t>
            </w:r>
          </w:p>
          <w:p w:rsidR="00000000" w:rsidRPr="00DC7447" w:rsidP="00DC7447">
            <w:pPr>
              <w:pStyle w:val="ListBullet2"/>
            </w:pPr>
            <w:r w:rsidRPr="00DC7447">
              <w:t>recognition of lights and markers</w:t>
            </w:r>
          </w:p>
          <w:p w:rsidR="00000000" w:rsidRPr="00DC7447" w:rsidP="00DC7447">
            <w:pPr>
              <w:pStyle w:val="ListBullet2"/>
            </w:pPr>
            <w:r w:rsidRPr="00DC7447">
              <w:t>rules of road</w:t>
            </w:r>
          </w:p>
          <w:p w:rsidR="00000000" w:rsidRPr="00DC7447" w:rsidP="00DC7447">
            <w:pPr>
              <w:pStyle w:val="ListBullet2"/>
            </w:pPr>
            <w:r w:rsidRPr="00DC7447">
              <w:t>recognition of operation areas</w:t>
            </w:r>
          </w:p>
          <w:p w:rsidR="00000000" w:rsidRPr="00DC7447" w:rsidP="00DC7447">
            <w:pPr>
              <w:pStyle w:val="ListBullet2"/>
            </w:pPr>
            <w:r w:rsidRPr="00DC7447">
              <w:t>specific activity rules, e.g. personal watercraft (PWCs), water skis and equipment requirements</w:t>
            </w:r>
          </w:p>
          <w:p w:rsidR="00000000" w:rsidRPr="00DC7447" w:rsidP="00DC7447">
            <w:pPr>
              <w:pStyle w:val="ListBullet2"/>
            </w:pPr>
            <w:r w:rsidRPr="00DC7447">
              <w:t>accident/incident reporting</w:t>
            </w:r>
          </w:p>
          <w:p w:rsidR="00000000" w:rsidRPr="00DC7447" w:rsidP="00DC7447">
            <w:pPr>
              <w:pStyle w:val="ListBullet"/>
            </w:pPr>
            <w:r w:rsidRPr="00DC7447">
              <w:t>marine regulations:</w:t>
            </w:r>
          </w:p>
          <w:p w:rsidR="00000000" w:rsidRPr="00DC7447" w:rsidP="00DC7447">
            <w:pPr>
              <w:pStyle w:val="ListBullet2"/>
            </w:pPr>
            <w:r w:rsidRPr="00DC7447">
              <w:t>saf</w:t>
            </w:r>
            <w:r w:rsidRPr="00DC7447">
              <w:t>ety regulations</w:t>
            </w:r>
          </w:p>
          <w:p w:rsidR="00000000" w:rsidRPr="00DC7447" w:rsidP="00DC7447">
            <w:pPr>
              <w:pStyle w:val="ListBullet2"/>
            </w:pPr>
            <w:r w:rsidRPr="00DC7447">
              <w:t>licensing and registration</w:t>
            </w:r>
          </w:p>
          <w:p w:rsidR="00000000" w:rsidRPr="00DC7447" w:rsidP="00DC7447">
            <w:pPr>
              <w:pStyle w:val="ListBullet2"/>
            </w:pPr>
            <w:r w:rsidRPr="00DC7447">
              <w:t>speed limit restrictions</w:t>
            </w:r>
          </w:p>
          <w:p w:rsidR="00000000" w:rsidRPr="00DC7447" w:rsidP="00DC7447">
            <w:pPr>
              <w:pStyle w:val="ListBullet2"/>
            </w:pPr>
            <w:r w:rsidRPr="00DC7447">
              <w:t>distance off requirements</w:t>
            </w:r>
          </w:p>
          <w:p w:rsidR="00000000" w:rsidRPr="00DC7447" w:rsidP="00DC7447">
            <w:pPr>
              <w:pStyle w:val="ListBullet2"/>
            </w:pPr>
            <w:r w:rsidRPr="00DC7447">
              <w:t>port limits/rules</w:t>
            </w:r>
          </w:p>
          <w:p w:rsidR="00000000" w:rsidRPr="00DC7447" w:rsidP="00DC7447">
            <w:pPr>
              <w:pStyle w:val="ListBullet2"/>
            </w:pPr>
            <w:r w:rsidRPr="00DC7447">
              <w:t>marine incident reporting</w:t>
            </w:r>
          </w:p>
          <w:p w:rsidR="00000000" w:rsidRPr="00DC7447" w:rsidP="00DC7447">
            <w:pPr>
              <w:pStyle w:val="ListBullet2"/>
            </w:pPr>
            <w:r w:rsidRPr="00DC7447">
              <w:t>carrying capacity</w:t>
            </w:r>
          </w:p>
          <w:p w:rsidR="00000000" w:rsidRPr="00DC7447" w:rsidP="00DC7447">
            <w:pPr>
              <w:pStyle w:val="ListBullet2"/>
            </w:pPr>
            <w:r w:rsidRPr="00DC7447">
              <w:t>drug and alcohol limits/effects</w:t>
            </w:r>
          </w:p>
          <w:p w:rsidR="00000000" w:rsidRPr="00DC7447" w:rsidP="00DC7447">
            <w:pPr>
              <w:pStyle w:val="ListBullet2"/>
            </w:pPr>
            <w:r w:rsidRPr="00DC7447">
              <w:t>age of operators</w:t>
            </w:r>
          </w:p>
          <w:p w:rsidR="00000000" w:rsidP="00DC7447">
            <w:pPr>
              <w:pStyle w:val="ListBullet"/>
              <w:rPr>
                <w:lang w:val="en-NZ"/>
              </w:rPr>
            </w:pPr>
            <w:r w:rsidRPr="00DC7447">
              <w:t>environmental and wildlife regulations as relevant and applicable to the operation of boats</w:t>
            </w:r>
          </w:p>
        </w:tc>
      </w:tr>
      <w:tr w:rsidTr="00DC7447">
        <w:tblPrEx>
          <w:tblW w:w="0" w:type="auto"/>
          <w:tblLayout w:type="fixed"/>
          <w:tblCellMar>
            <w:left w:w="62" w:type="dxa"/>
            <w:right w:w="62" w:type="dxa"/>
          </w:tblCellMar>
          <w:tblLook w:val="0000"/>
        </w:tblPrEx>
        <w:trPr>
          <w:trHeight w:val="2408"/>
        </w:trPr>
        <w:tc>
          <w:tcPr>
            <w:tcW w:w="2760"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rPr>
                <w:rStyle w:val="SpecialBold"/>
              </w:rPr>
              <w:t>Hazards and conditions include the following:</w:t>
            </w:r>
          </w:p>
        </w:tc>
        <w:tc>
          <w:tcPr>
            <w:tcW w:w="6381" w:type="dxa"/>
            <w:tcBorders>
              <w:top w:val="nil"/>
              <w:left w:val="nil"/>
              <w:bottom w:val="nil"/>
              <w:right w:val="nil"/>
            </w:tcBorders>
            <w:tcMar>
              <w:top w:w="0" w:type="dxa"/>
              <w:left w:w="62" w:type="dxa"/>
              <w:bottom w:w="0" w:type="dxa"/>
              <w:right w:w="62" w:type="dxa"/>
            </w:tcMar>
          </w:tcPr>
          <w:p w:rsidR="00000000" w:rsidRPr="00DC7447" w:rsidP="00DC7447">
            <w:pPr>
              <w:pStyle w:val="ListBullet"/>
            </w:pPr>
            <w:r w:rsidRPr="00DC7447">
              <w:t>weather</w:t>
            </w:r>
          </w:p>
          <w:p w:rsidR="00000000" w:rsidRPr="00DC7447" w:rsidP="00DC7447">
            <w:pPr>
              <w:pStyle w:val="ListBullet"/>
            </w:pPr>
            <w:r w:rsidRPr="00DC7447">
              <w:t>set and drift</w:t>
            </w:r>
          </w:p>
          <w:p w:rsidR="00000000" w:rsidRPr="00DC7447" w:rsidP="00DC7447">
            <w:pPr>
              <w:pStyle w:val="ListBullet"/>
            </w:pPr>
            <w:r w:rsidRPr="00DC7447">
              <w:t>effect of wind, tide and currents</w:t>
            </w:r>
          </w:p>
          <w:p w:rsidR="00000000" w:rsidRPr="00DC7447" w:rsidP="00DC7447">
            <w:pPr>
              <w:pStyle w:val="ListBullet"/>
            </w:pPr>
            <w:r w:rsidRPr="00DC7447">
              <w:t>submerged objects</w:t>
            </w:r>
          </w:p>
          <w:p w:rsidR="00000000" w:rsidRPr="00DC7447" w:rsidP="00DC7447">
            <w:pPr>
              <w:pStyle w:val="ListBullet"/>
            </w:pPr>
            <w:r w:rsidRPr="00DC7447">
              <w:t>other boats and wash</w:t>
            </w:r>
          </w:p>
          <w:p w:rsidR="00000000" w:rsidRPr="00DC7447" w:rsidP="00DC7447">
            <w:pPr>
              <w:pStyle w:val="ListBullet"/>
            </w:pPr>
            <w:r w:rsidRPr="00DC7447">
              <w:t>restricted waters</w:t>
            </w:r>
          </w:p>
          <w:p w:rsidR="00000000" w:rsidP="00DC7447">
            <w:pPr>
              <w:pStyle w:val="ListBullet"/>
              <w:rPr>
                <w:lang w:val="en-NZ"/>
              </w:rPr>
            </w:pPr>
            <w:r w:rsidRPr="00DC7447">
              <w:t>crossing bars</w:t>
            </w:r>
          </w:p>
        </w:tc>
      </w:tr>
      <w:tr w:rsidTr="00DC7447">
        <w:tblPrEx>
          <w:tblW w:w="0" w:type="auto"/>
          <w:tblLayout w:type="fixed"/>
          <w:tblCellMar>
            <w:left w:w="62" w:type="dxa"/>
            <w:right w:w="62" w:type="dxa"/>
          </w:tblCellMar>
          <w:tblLook w:val="0000"/>
        </w:tblPrEx>
        <w:trPr>
          <w:trHeight w:val="2451"/>
        </w:trPr>
        <w:tc>
          <w:tcPr>
            <w:tcW w:w="2760"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rPr>
                <w:rStyle w:val="SpecialBold"/>
              </w:rPr>
              <w:t>Types of anchor include one (1) or more of the following:</w:t>
            </w:r>
          </w:p>
        </w:tc>
        <w:tc>
          <w:tcPr>
            <w:tcW w:w="6381" w:type="dxa"/>
            <w:tcBorders>
              <w:top w:val="nil"/>
              <w:left w:val="nil"/>
              <w:bottom w:val="nil"/>
              <w:right w:val="nil"/>
            </w:tcBorders>
            <w:tcMar>
              <w:top w:w="0" w:type="dxa"/>
              <w:left w:w="62" w:type="dxa"/>
              <w:bottom w:w="0" w:type="dxa"/>
              <w:right w:w="62" w:type="dxa"/>
            </w:tcMar>
          </w:tcPr>
          <w:p w:rsidR="00000000" w:rsidRPr="00DC7447" w:rsidP="00DC7447">
            <w:pPr>
              <w:pStyle w:val="ListBullet"/>
            </w:pPr>
            <w:r w:rsidRPr="00DC7447">
              <w:t>Danforth</w:t>
            </w:r>
          </w:p>
          <w:p w:rsidR="00000000" w:rsidRPr="00DC7447" w:rsidP="00DC7447">
            <w:pPr>
              <w:pStyle w:val="ListBullet"/>
            </w:pPr>
            <w:r w:rsidRPr="00DC7447">
              <w:t>Grapnel/Reef</w:t>
            </w:r>
          </w:p>
          <w:p w:rsidR="00000000" w:rsidRPr="00DC7447" w:rsidP="00DC7447">
            <w:pPr>
              <w:pStyle w:val="ListBullet"/>
            </w:pPr>
            <w:r w:rsidRPr="00DC7447">
              <w:t>Bruce</w:t>
            </w:r>
          </w:p>
          <w:p w:rsidR="00000000" w:rsidRPr="00DC7447" w:rsidP="00DC7447">
            <w:pPr>
              <w:pStyle w:val="ListBullet"/>
            </w:pPr>
            <w:r w:rsidRPr="00DC7447">
              <w:t>Plough</w:t>
            </w:r>
          </w:p>
          <w:p w:rsidR="00000000" w:rsidRPr="00DC7447" w:rsidP="00DC7447">
            <w:pPr>
              <w:pStyle w:val="ListBullet"/>
            </w:pPr>
            <w:r w:rsidRPr="00DC7447">
              <w:t>Admiralty</w:t>
            </w:r>
          </w:p>
          <w:p w:rsidR="00000000" w:rsidRPr="00DC7447" w:rsidP="00DC7447">
            <w:pPr>
              <w:pStyle w:val="ListBullet"/>
            </w:pPr>
            <w:r w:rsidRPr="00DC7447">
              <w:t>Sarca</w:t>
            </w:r>
          </w:p>
          <w:p w:rsidR="00000000" w:rsidP="00DC7447">
            <w:pPr>
              <w:pStyle w:val="ListBullet"/>
              <w:rPr>
                <w:lang w:val="en-NZ"/>
              </w:rPr>
            </w:pPr>
            <w:r w:rsidRPr="00DC7447">
              <w:t>sea anchor</w:t>
            </w:r>
          </w:p>
        </w:tc>
      </w:tr>
      <w:tr w:rsidTr="00DC7447">
        <w:tblPrEx>
          <w:tblW w:w="0" w:type="auto"/>
          <w:tblLayout w:type="fixed"/>
          <w:tblCellMar>
            <w:left w:w="62" w:type="dxa"/>
            <w:right w:w="62" w:type="dxa"/>
          </w:tblCellMar>
          <w:tblLook w:val="0000"/>
        </w:tblPrEx>
        <w:trPr>
          <w:trHeight w:val="2451"/>
        </w:trPr>
        <w:tc>
          <w:tcPr>
            <w:tcW w:w="2760" w:type="dxa"/>
            <w:tcBorders>
              <w:top w:val="nil"/>
              <w:left w:val="nil"/>
              <w:bottom w:val="nil"/>
              <w:right w:val="nil"/>
            </w:tcBorders>
            <w:tcMar>
              <w:top w:w="0" w:type="dxa"/>
              <w:left w:w="62" w:type="dxa"/>
              <w:bottom w:w="0" w:type="dxa"/>
              <w:right w:w="62" w:type="dxa"/>
            </w:tcMar>
          </w:tcPr>
          <w:p w:rsidR="00000000" w:rsidP="00DC7447">
            <w:pPr>
              <w:pStyle w:val="BodyText"/>
              <w:rPr>
                <w:lang w:val="en-NZ"/>
              </w:rPr>
            </w:pPr>
            <w:r w:rsidRPr="00DC7447">
              <w:rPr>
                <w:rStyle w:val="SpecialBold"/>
              </w:rPr>
              <w:t>Anchoring systems include one (1) or more of the following:</w:t>
            </w:r>
          </w:p>
        </w:tc>
        <w:tc>
          <w:tcPr>
            <w:tcW w:w="6381" w:type="dxa"/>
            <w:tcBorders>
              <w:top w:val="nil"/>
              <w:left w:val="nil"/>
              <w:bottom w:val="nil"/>
              <w:right w:val="nil"/>
            </w:tcBorders>
            <w:tcMar>
              <w:top w:w="0" w:type="dxa"/>
              <w:left w:w="62" w:type="dxa"/>
              <w:bottom w:w="0" w:type="dxa"/>
              <w:right w:w="62" w:type="dxa"/>
            </w:tcMar>
          </w:tcPr>
          <w:p w:rsidR="00000000" w:rsidRPr="00DC7447" w:rsidP="00DC7447">
            <w:pPr>
              <w:pStyle w:val="ListBullet"/>
            </w:pPr>
            <w:r w:rsidRPr="00DC7447">
              <w:t>multiple anchors</w:t>
            </w:r>
          </w:p>
          <w:p w:rsidR="00000000" w:rsidRPr="00DC7447" w:rsidP="00DC7447">
            <w:pPr>
              <w:pStyle w:val="ListBullet"/>
            </w:pPr>
            <w:r w:rsidRPr="00DC7447">
              <w:t>bow and stern anchors</w:t>
            </w:r>
          </w:p>
          <w:p w:rsidR="00000000" w:rsidRPr="00DC7447" w:rsidP="00DC7447">
            <w:pPr>
              <w:pStyle w:val="ListBullet"/>
            </w:pPr>
            <w:r w:rsidRPr="00DC7447">
              <w:t>mooring buoy</w:t>
            </w:r>
          </w:p>
        </w:tc>
      </w:tr>
    </w:tbl>
    <w:p w:rsidR="00000000" w:rsidRPr="00DC7447" w:rsidP="00DC7447">
      <w:pPr>
        <w:pStyle w:val="BodyText"/>
      </w:pPr>
    </w:p>
    <w:p w:rsidR="00000000" w:rsidRPr="00DC7447" w:rsidP="00DC7447">
      <w:pPr>
        <w:pStyle w:val="AllowPageBreak"/>
      </w:pPr>
    </w:p>
    <w:p w:rsidR="00000000" w:rsidRPr="00DC7447" w:rsidP="00DC7447">
      <w:pPr>
        <w:pStyle w:val="Heading1"/>
      </w:pPr>
      <w:bookmarkStart w:id="8" w:name="O_952529"/>
      <w:bookmarkEnd w:id="8"/>
      <w:r w:rsidRPr="00DC7447">
        <w:t>Unit Mapping Information</w:t>
      </w:r>
    </w:p>
    <w:p w:rsidR="00000000" w:rsidRPr="00DC7447" w:rsidP="00C523CE">
      <w:pPr>
        <w:pStyle w:val="BodyText"/>
      </w:pPr>
      <w:r w:rsidRPr="00DC7447">
        <w:t>Release 1. Supersedes and is equivalent to MEM50009B Safely operate a mechanical powered recreational boat</w:t>
      </w:r>
    </w:p>
    <w:p w:rsidR="00000000" w:rsidRPr="00DC7447" w:rsidP="00DC7447">
      <w:pPr>
        <w:pStyle w:val="Heading1"/>
      </w:pPr>
      <w:bookmarkStart w:id="9" w:name="O_952522"/>
      <w:bookmarkEnd w:id="9"/>
      <w:r w:rsidRPr="00DC7447">
        <w:t>Links</w:t>
      </w:r>
    </w:p>
    <w:p w:rsidR="00000000" w:rsidRPr="00DC7447" w:rsidP="00C523CE">
      <w:pPr>
        <w:pStyle w:val="BodyText"/>
      </w:pPr>
      <w:r w:rsidRPr="00DC744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D6890">
        <w:rPr>
          <w:rStyle w:val="Hyperlink"/>
        </w:rPr>
        <w:t>https://vetnet.gov.au/Pages/TrainingDocs.aspx?q=b7050d37-5fd0-4740-8f7d-3b7a49c10bb2</w:t>
      </w:r>
      <w:r>
        <w:fldChar w:fldCharType="end"/>
      </w:r>
    </w:p>
    <w:p w:rsidR="00000000" w:rsidRPr="00DC7447" w:rsidP="00DC7447"/>
    <w:sectPr w:rsidSect="00DC74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47" w:rsidRPr="00C523CE" w:rsidP="00C523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CE">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7447" w:rsidRPr="00C523CE" w:rsidP="00C523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CE">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5A7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8E01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4827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4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7447"/>
    <w:pPr>
      <w:spacing w:before="360" w:after="60"/>
      <w:outlineLvl w:val="0"/>
    </w:pPr>
    <w:rPr>
      <w:sz w:val="32"/>
    </w:rPr>
  </w:style>
  <w:style w:type="paragraph" w:styleId="Heading2">
    <w:name w:val="heading 2"/>
    <w:basedOn w:val="HeadingBase"/>
    <w:next w:val="BodyText"/>
    <w:link w:val="Heading2Char"/>
    <w:qFormat/>
    <w:rsid w:val="00DC7447"/>
    <w:pPr>
      <w:keepLines/>
      <w:spacing w:before="240" w:after="120"/>
      <w:outlineLvl w:val="1"/>
    </w:pPr>
    <w:rPr>
      <w:sz w:val="28"/>
      <w:szCs w:val="40"/>
    </w:rPr>
  </w:style>
  <w:style w:type="paragraph" w:styleId="Heading3">
    <w:name w:val="heading 3"/>
    <w:basedOn w:val="HeadingBase"/>
    <w:next w:val="BodyText"/>
    <w:link w:val="Heading3Char"/>
    <w:qFormat/>
    <w:rsid w:val="00DC7447"/>
    <w:pPr>
      <w:spacing w:before="180" w:after="120"/>
      <w:outlineLvl w:val="2"/>
    </w:pPr>
    <w:rPr>
      <w:spacing w:val="-10"/>
      <w:kern w:val="32"/>
    </w:rPr>
  </w:style>
  <w:style w:type="paragraph" w:styleId="Heading4">
    <w:name w:val="heading 4"/>
    <w:basedOn w:val="HeadingBase"/>
    <w:next w:val="BodyText"/>
    <w:link w:val="Heading4Char"/>
    <w:qFormat/>
    <w:rsid w:val="00DC7447"/>
    <w:pPr>
      <w:spacing w:before="160" w:after="120"/>
      <w:outlineLvl w:val="3"/>
    </w:pPr>
    <w:rPr>
      <w:sz w:val="22"/>
    </w:rPr>
  </w:style>
  <w:style w:type="paragraph" w:styleId="Heading5">
    <w:name w:val="heading 5"/>
    <w:basedOn w:val="HeadingBase"/>
    <w:next w:val="Normal"/>
    <w:link w:val="Heading5Char"/>
    <w:qFormat/>
    <w:rsid w:val="00DC7447"/>
    <w:pPr>
      <w:spacing w:before="80"/>
      <w:outlineLvl w:val="4"/>
    </w:pPr>
    <w:rPr>
      <w:color w:val="918585"/>
      <w:sz w:val="20"/>
    </w:rPr>
  </w:style>
  <w:style w:type="paragraph" w:styleId="Heading6">
    <w:name w:val="heading 6"/>
    <w:basedOn w:val="HeadingBase"/>
    <w:next w:val="Normal"/>
    <w:link w:val="Heading6Char"/>
    <w:qFormat/>
    <w:rsid w:val="00DC7447"/>
    <w:pPr>
      <w:spacing w:before="60"/>
      <w:outlineLvl w:val="5"/>
    </w:pPr>
    <w:rPr>
      <w:color w:val="918585"/>
      <w:sz w:val="20"/>
    </w:rPr>
  </w:style>
  <w:style w:type="paragraph" w:styleId="Heading7">
    <w:name w:val="heading 7"/>
    <w:basedOn w:val="Normal"/>
    <w:next w:val="Normal"/>
    <w:link w:val="Heading7Char"/>
    <w:qFormat/>
    <w:rsid w:val="00DC7447"/>
    <w:pPr>
      <w:ind w:left="720"/>
      <w:outlineLvl w:val="6"/>
    </w:pPr>
    <w:rPr>
      <w:i/>
    </w:rPr>
  </w:style>
  <w:style w:type="paragraph" w:styleId="Heading8">
    <w:name w:val="heading 8"/>
    <w:basedOn w:val="Normal"/>
    <w:next w:val="Normal"/>
    <w:link w:val="Heading8Char"/>
    <w:qFormat/>
    <w:rsid w:val="00DC7447"/>
    <w:pPr>
      <w:ind w:left="720"/>
      <w:outlineLvl w:val="7"/>
    </w:pPr>
    <w:rPr>
      <w:i/>
    </w:rPr>
  </w:style>
  <w:style w:type="paragraph" w:styleId="Heading9">
    <w:name w:val="heading 9"/>
    <w:basedOn w:val="Normal"/>
    <w:next w:val="Normal"/>
    <w:link w:val="Heading9Char"/>
    <w:qFormat/>
    <w:rsid w:val="00DC7447"/>
    <w:pPr>
      <w:ind w:left="720"/>
      <w:outlineLvl w:val="8"/>
    </w:pPr>
    <w:rPr>
      <w:i/>
    </w:rPr>
  </w:style>
  <w:style w:type="character" w:default="1" w:styleId="DefaultParagraphFont">
    <w:name w:val="Default Paragraph Font"/>
    <w:uiPriority w:val="1"/>
    <w:unhideWhenUsed/>
    <w:rsid w:val="00DC74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7447"/>
  </w:style>
  <w:style w:type="character" w:customStyle="1" w:styleId="Heading1Char">
    <w:name w:val="Heading 1 Char"/>
    <w:basedOn w:val="DefaultParagraphFont"/>
    <w:link w:val="Heading1"/>
    <w:rsid w:val="00DC7447"/>
    <w:rPr>
      <w:rFonts w:ascii="Times New Roman" w:eastAsia="Times New Roman" w:hAnsi="Times New Roman" w:cs="Times New Roman"/>
      <w:b/>
      <w:sz w:val="32"/>
      <w:szCs w:val="20"/>
      <w:lang w:eastAsia="en-US"/>
    </w:rPr>
  </w:style>
  <w:style w:type="paragraph" w:styleId="BodyText">
    <w:name w:val="Body Text"/>
    <w:basedOn w:val="Normal"/>
    <w:link w:val="BodyTextChar"/>
    <w:rsid w:val="00DC74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7447"/>
    <w:rPr>
      <w:rFonts w:ascii="Times New Roman" w:eastAsia="Times New Roman" w:hAnsi="Times New Roman" w:cs="Times New Roman"/>
      <w:sz w:val="24"/>
      <w:lang w:eastAsia="en-US"/>
    </w:rPr>
  </w:style>
  <w:style w:type="paragraph" w:styleId="ListBullet">
    <w:name w:val="List Bullet"/>
    <w:basedOn w:val="List"/>
    <w:rsid w:val="00DC7447"/>
    <w:pPr>
      <w:numPr>
        <w:numId w:val="12"/>
      </w:numPr>
      <w:tabs>
        <w:tab w:val="clear" w:pos="340"/>
      </w:tabs>
      <w:spacing w:before="40" w:after="40"/>
    </w:pPr>
  </w:style>
  <w:style w:type="character" w:customStyle="1" w:styleId="SpecialBold">
    <w:name w:val="Special Bold"/>
    <w:basedOn w:val="DefaultParagraphFont"/>
    <w:rsid w:val="00DC7447"/>
    <w:rPr>
      <w:b/>
      <w:spacing w:val="0"/>
    </w:rPr>
  </w:style>
  <w:style w:type="paragraph" w:styleId="ListBullet2">
    <w:name w:val="List Bullet 2"/>
    <w:basedOn w:val="List2"/>
    <w:rsid w:val="00DC7447"/>
    <w:pPr>
      <w:numPr>
        <w:numId w:val="13"/>
      </w:numPr>
      <w:tabs>
        <w:tab w:val="clear" w:pos="680"/>
      </w:tabs>
    </w:pPr>
  </w:style>
  <w:style w:type="paragraph" w:customStyle="1" w:styleId="SuperHeading">
    <w:name w:val="SuperHeading"/>
    <w:basedOn w:val="Normal"/>
    <w:rsid w:val="00DC7447"/>
    <w:pPr>
      <w:spacing w:before="240" w:after="120"/>
      <w:outlineLvl w:val="0"/>
    </w:pPr>
    <w:rPr>
      <w:rFonts w:ascii="Times New Roman" w:hAnsi="Times New Roman"/>
      <w:b/>
      <w:sz w:val="32"/>
    </w:rPr>
  </w:style>
  <w:style w:type="paragraph" w:customStyle="1" w:styleId="AllowPageBreak">
    <w:name w:val="AllowPageBreak"/>
    <w:rsid w:val="00DC74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74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74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74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74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74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74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74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7447"/>
    <w:rPr>
      <w:rFonts w:ascii="Courier New" w:eastAsia="Times New Roman" w:hAnsi="Courier New" w:cs="Times New Roman"/>
      <w:i/>
      <w:szCs w:val="20"/>
      <w:lang w:eastAsia="en-US"/>
    </w:rPr>
  </w:style>
  <w:style w:type="paragraph" w:customStyle="1" w:styleId="HeadingBase">
    <w:name w:val="Heading Base"/>
    <w:rsid w:val="00DC74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7447"/>
    <w:pPr>
      <w:tabs>
        <w:tab w:val="right" w:leader="dot" w:pos="9072"/>
      </w:tabs>
      <w:ind w:left="567"/>
    </w:pPr>
    <w:rPr>
      <w:szCs w:val="22"/>
    </w:rPr>
  </w:style>
  <w:style w:type="paragraph" w:customStyle="1" w:styleId="TOCBase">
    <w:name w:val="TOC Base"/>
    <w:rsid w:val="00DC74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7447"/>
    <w:pPr>
      <w:tabs>
        <w:tab w:val="right" w:leader="dot" w:pos="9072"/>
      </w:tabs>
      <w:spacing w:before="40" w:after="40"/>
      <w:ind w:left="284"/>
    </w:pPr>
    <w:rPr>
      <w:rFonts w:ascii="Times New Roman" w:hAnsi="Times New Roman"/>
    </w:rPr>
  </w:style>
  <w:style w:type="paragraph" w:styleId="TOC1">
    <w:name w:val="toc 1"/>
    <w:basedOn w:val="TOCBase"/>
    <w:next w:val="Normal"/>
    <w:rsid w:val="00DC74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74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7447"/>
    <w:rPr>
      <w:rFonts w:ascii="Times New Roman" w:eastAsia="Times New Roman" w:hAnsi="Times New Roman" w:cs="Times New Roman"/>
      <w:sz w:val="16"/>
      <w:lang w:eastAsia="en-US"/>
    </w:rPr>
  </w:style>
  <w:style w:type="paragraph" w:styleId="Title">
    <w:name w:val="Title"/>
    <w:basedOn w:val="HeadingBase"/>
    <w:link w:val="TitleChar"/>
    <w:qFormat/>
    <w:rsid w:val="00DC7447"/>
    <w:pPr>
      <w:spacing w:before="5040"/>
      <w:jc w:val="center"/>
    </w:pPr>
    <w:rPr>
      <w:sz w:val="48"/>
      <w:szCs w:val="72"/>
      <w:lang w:val="en-US"/>
    </w:rPr>
  </w:style>
  <w:style w:type="character" w:customStyle="1" w:styleId="TitleChar">
    <w:name w:val="Title Char"/>
    <w:basedOn w:val="DefaultParagraphFont"/>
    <w:link w:val="Title"/>
    <w:rsid w:val="00DC74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7447"/>
    <w:pPr>
      <w:tabs>
        <w:tab w:val="left" w:pos="3600"/>
        <w:tab w:val="left" w:pos="3958"/>
      </w:tabs>
    </w:pPr>
  </w:style>
  <w:style w:type="paragraph" w:styleId="List">
    <w:name w:val="List"/>
    <w:basedOn w:val="BodyText"/>
    <w:next w:val="BodyText"/>
    <w:rsid w:val="00DC7447"/>
    <w:pPr>
      <w:tabs>
        <w:tab w:val="left" w:pos="340"/>
      </w:tabs>
      <w:spacing w:before="60" w:after="60"/>
      <w:ind w:left="340" w:hanging="340"/>
    </w:pPr>
  </w:style>
  <w:style w:type="paragraph" w:customStyle="1" w:styleId="Note">
    <w:name w:val="Note"/>
    <w:basedOn w:val="BodyText"/>
    <w:rsid w:val="00DC74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7447"/>
    <w:pPr>
      <w:framePr w:wrap="auto" w:hAnchor="text" w:y="6049"/>
    </w:pPr>
    <w:rPr>
      <w:color w:val="000000"/>
      <w:sz w:val="40"/>
    </w:rPr>
  </w:style>
  <w:style w:type="paragraph" w:customStyle="1" w:styleId="TOCTitle">
    <w:name w:val="TOCTitle"/>
    <w:basedOn w:val="Heading1"/>
    <w:rsid w:val="00DC7447"/>
    <w:pPr>
      <w:spacing w:after="240"/>
      <w:jc w:val="center"/>
      <w:outlineLvl w:val="9"/>
    </w:pPr>
    <w:rPr>
      <w:caps/>
    </w:rPr>
  </w:style>
  <w:style w:type="paragraph" w:customStyle="1" w:styleId="Version">
    <w:name w:val="Version"/>
    <w:rsid w:val="00DC74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7447"/>
    <w:pPr>
      <w:keepNext w:val="0"/>
      <w:tabs>
        <w:tab w:val="right" w:pos="4176"/>
      </w:tabs>
      <w:ind w:left="198" w:hanging="198"/>
    </w:pPr>
    <w:rPr>
      <w:rFonts w:ascii="Garamond" w:hAnsi="Garamond"/>
    </w:rPr>
  </w:style>
  <w:style w:type="paragraph" w:styleId="IndexHeading">
    <w:name w:val="index heading"/>
    <w:basedOn w:val="Normal"/>
    <w:next w:val="Index1"/>
    <w:semiHidden/>
    <w:rsid w:val="00DC7447"/>
    <w:pPr>
      <w:spacing w:before="120" w:after="120"/>
    </w:pPr>
    <w:rPr>
      <w:rFonts w:ascii="Arial" w:hAnsi="Arial"/>
      <w:b/>
      <w:color w:val="918585"/>
      <w:sz w:val="24"/>
    </w:rPr>
  </w:style>
  <w:style w:type="paragraph" w:styleId="Header">
    <w:name w:val="header"/>
    <w:basedOn w:val="Normal"/>
    <w:link w:val="HeaderChar"/>
    <w:rsid w:val="00DC74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7447"/>
    <w:rPr>
      <w:rFonts w:ascii="Times New Roman" w:eastAsia="Times New Roman" w:hAnsi="Times New Roman" w:cs="Times New Roman"/>
      <w:sz w:val="16"/>
      <w:szCs w:val="20"/>
      <w:lang w:val="en-GB" w:eastAsia="en-US"/>
    </w:rPr>
  </w:style>
  <w:style w:type="paragraph" w:customStyle="1" w:styleId="Chapter">
    <w:name w:val="Chapter"/>
    <w:basedOn w:val="Normal"/>
    <w:rsid w:val="00DC7447"/>
    <w:pPr>
      <w:spacing w:before="240"/>
    </w:pPr>
    <w:rPr>
      <w:rFonts w:ascii="Times New Roman" w:hAnsi="Times New Roman"/>
      <w:smallCaps/>
      <w:spacing w:val="80"/>
      <w:sz w:val="28"/>
    </w:rPr>
  </w:style>
  <w:style w:type="paragraph" w:customStyle="1" w:styleId="InChapter">
    <w:name w:val="InChapter"/>
    <w:basedOn w:val="Heading3"/>
    <w:rsid w:val="00DC7447"/>
    <w:pPr>
      <w:spacing w:after="240"/>
      <w:outlineLvl w:val="9"/>
    </w:pPr>
    <w:rPr>
      <w:noProof/>
    </w:rPr>
  </w:style>
  <w:style w:type="paragraph" w:styleId="Index2">
    <w:name w:val="index 2"/>
    <w:basedOn w:val="Normal"/>
    <w:next w:val="Normal"/>
    <w:semiHidden/>
    <w:rsid w:val="00DC7447"/>
    <w:pPr>
      <w:tabs>
        <w:tab w:val="right" w:pos="4176"/>
      </w:tabs>
      <w:ind w:left="568" w:hanging="284"/>
    </w:pPr>
    <w:rPr>
      <w:rFonts w:ascii="Garamond" w:hAnsi="Garamond"/>
    </w:rPr>
  </w:style>
  <w:style w:type="paragraph" w:customStyle="1" w:styleId="Byline">
    <w:name w:val="Byline"/>
    <w:rsid w:val="00DC74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7447"/>
    <w:pPr>
      <w:tabs>
        <w:tab w:val="clear" w:pos="3600"/>
        <w:tab w:val="clear" w:pos="3958"/>
      </w:tabs>
      <w:jc w:val="right"/>
    </w:pPr>
  </w:style>
  <w:style w:type="character" w:styleId="Emphasis">
    <w:name w:val="Emphasis"/>
    <w:basedOn w:val="DefaultParagraphFont"/>
    <w:qFormat/>
    <w:rsid w:val="00DC7447"/>
    <w:rPr>
      <w:i/>
    </w:rPr>
  </w:style>
  <w:style w:type="paragraph" w:styleId="Caption">
    <w:name w:val="caption"/>
    <w:basedOn w:val="BodyText"/>
    <w:next w:val="Normal"/>
    <w:qFormat/>
    <w:rsid w:val="00DC7447"/>
    <w:pPr>
      <w:framePr w:w="2268" w:hSpace="181" w:vSpace="181" w:wrap="around" w:vAnchor="text" w:hAnchor="page" w:x="1135" w:y="285" w:anchorLock="1"/>
    </w:pPr>
    <w:rPr>
      <w:i/>
    </w:rPr>
  </w:style>
  <w:style w:type="paragraph" w:customStyle="1" w:styleId="MiniTOCTitle">
    <w:name w:val="MiniTOCTitle"/>
    <w:basedOn w:val="Heading4"/>
    <w:rsid w:val="00DC7447"/>
    <w:pPr>
      <w:spacing w:before="240"/>
      <w:outlineLvl w:val="9"/>
    </w:pPr>
    <w:rPr>
      <w:noProof/>
      <w:sz w:val="24"/>
    </w:rPr>
  </w:style>
  <w:style w:type="paragraph" w:customStyle="1" w:styleId="MiniTOCItem">
    <w:name w:val="MiniTOCItem"/>
    <w:basedOn w:val="ListBullet"/>
    <w:rsid w:val="00DC7447"/>
    <w:pPr>
      <w:numPr>
        <w:numId w:val="0"/>
      </w:numPr>
      <w:tabs>
        <w:tab w:val="right" w:leader="dot" w:pos="6521"/>
      </w:tabs>
      <w:spacing w:before="0" w:after="0"/>
    </w:pPr>
  </w:style>
  <w:style w:type="paragraph" w:customStyle="1" w:styleId="TOFTitle">
    <w:name w:val="TOFTitle"/>
    <w:basedOn w:val="TOCTitle"/>
    <w:rsid w:val="00DC7447"/>
  </w:style>
  <w:style w:type="paragraph" w:styleId="TableofFigures">
    <w:name w:val="table of figures"/>
    <w:basedOn w:val="Normal"/>
    <w:next w:val="Normal"/>
    <w:semiHidden/>
    <w:rsid w:val="00DC7447"/>
    <w:pPr>
      <w:tabs>
        <w:tab w:val="right" w:leader="dot" w:pos="9072"/>
      </w:tabs>
      <w:ind w:left="970" w:hanging="403"/>
    </w:pPr>
    <w:rPr>
      <w:rFonts w:ascii="Times New Roman" w:hAnsi="Times New Roman"/>
      <w:b/>
    </w:rPr>
  </w:style>
  <w:style w:type="paragraph" w:styleId="ListNumber">
    <w:name w:val="List Number"/>
    <w:basedOn w:val="List"/>
    <w:rsid w:val="00DC7447"/>
    <w:pPr>
      <w:numPr>
        <w:numId w:val="15"/>
      </w:numPr>
      <w:tabs>
        <w:tab w:val="clear" w:pos="340"/>
      </w:tabs>
    </w:pPr>
  </w:style>
  <w:style w:type="character" w:customStyle="1" w:styleId="WingdingSymbols">
    <w:name w:val="Wingding Symbols"/>
    <w:rsid w:val="00DC7447"/>
    <w:rPr>
      <w:rFonts w:ascii="Wingdings" w:hAnsi="Wingdings"/>
    </w:rPr>
  </w:style>
  <w:style w:type="paragraph" w:customStyle="1" w:styleId="TableHeading">
    <w:name w:val="Table Heading"/>
    <w:basedOn w:val="HeadingBase"/>
    <w:rsid w:val="00DC7447"/>
    <w:pPr>
      <w:keepLines/>
      <w:pBdr>
        <w:bottom w:val="single" w:sz="6" w:space="1" w:color="918585"/>
      </w:pBdr>
      <w:spacing w:before="240"/>
    </w:pPr>
  </w:style>
  <w:style w:type="character" w:customStyle="1" w:styleId="HotSpot">
    <w:name w:val="HotSpot"/>
    <w:rsid w:val="00DC7447"/>
    <w:rPr>
      <w:color w:val="0033CC"/>
      <w:u w:val="none"/>
    </w:rPr>
  </w:style>
  <w:style w:type="paragraph" w:customStyle="1" w:styleId="BodyTextRight">
    <w:name w:val="Body Text Right"/>
    <w:basedOn w:val="BodyText"/>
    <w:rsid w:val="00DC7447"/>
    <w:pPr>
      <w:spacing w:before="0" w:after="0"/>
      <w:jc w:val="right"/>
    </w:pPr>
  </w:style>
  <w:style w:type="paragraph" w:styleId="Index3">
    <w:name w:val="index 3"/>
    <w:basedOn w:val="ListNumber2"/>
    <w:next w:val="Normal"/>
    <w:semiHidden/>
    <w:rsid w:val="00DC7447"/>
    <w:pPr>
      <w:numPr>
        <w:numId w:val="0"/>
      </w:numPr>
      <w:tabs>
        <w:tab w:val="right" w:leader="dot" w:pos="4176"/>
      </w:tabs>
    </w:pPr>
  </w:style>
  <w:style w:type="paragraph" w:styleId="ListNumber2">
    <w:name w:val="List Number 2"/>
    <w:basedOn w:val="List2"/>
    <w:rsid w:val="00DC7447"/>
    <w:pPr>
      <w:numPr>
        <w:numId w:val="10"/>
      </w:numPr>
      <w:tabs>
        <w:tab w:val="clear" w:pos="1060"/>
      </w:tabs>
    </w:pPr>
  </w:style>
  <w:style w:type="paragraph" w:customStyle="1" w:styleId="MarginNote">
    <w:name w:val="Margin Note"/>
    <w:basedOn w:val="BodyText"/>
    <w:rsid w:val="00DC74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74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74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7447"/>
    <w:rPr>
      <w:sz w:val="32"/>
    </w:rPr>
  </w:style>
  <w:style w:type="paragraph" w:customStyle="1" w:styleId="HeadingProcedure">
    <w:name w:val="Heading Procedure"/>
    <w:basedOn w:val="HeadingBase"/>
    <w:next w:val="Normal"/>
    <w:rsid w:val="00DC7447"/>
    <w:pPr>
      <w:tabs>
        <w:tab w:val="left" w:pos="0"/>
      </w:tabs>
      <w:spacing w:before="120" w:after="60"/>
    </w:pPr>
    <w:rPr>
      <w:i/>
      <w:color w:val="918585"/>
      <w:sz w:val="22"/>
    </w:rPr>
  </w:style>
  <w:style w:type="paragraph" w:customStyle="1" w:styleId="TableBodyText">
    <w:name w:val="Table Body Text"/>
    <w:basedOn w:val="BodyText"/>
    <w:rsid w:val="00DC7447"/>
    <w:pPr>
      <w:spacing w:before="60" w:after="60"/>
    </w:pPr>
  </w:style>
  <w:style w:type="paragraph" w:styleId="ListContinue">
    <w:name w:val="List Continue"/>
    <w:basedOn w:val="List"/>
    <w:rsid w:val="00DC7447"/>
    <w:pPr>
      <w:ind w:firstLine="0"/>
    </w:pPr>
  </w:style>
  <w:style w:type="paragraph" w:customStyle="1" w:styleId="ListNote">
    <w:name w:val="List Note"/>
    <w:basedOn w:val="List"/>
    <w:rsid w:val="00DC7447"/>
    <w:pPr>
      <w:pBdr>
        <w:top w:val="single" w:sz="6" w:space="2" w:color="918585"/>
        <w:bottom w:val="single" w:sz="6" w:space="2" w:color="918585"/>
      </w:pBdr>
      <w:tabs>
        <w:tab w:val="left" w:pos="1021"/>
      </w:tabs>
      <w:ind w:firstLine="0"/>
    </w:pPr>
  </w:style>
  <w:style w:type="paragraph" w:customStyle="1" w:styleId="Warning">
    <w:name w:val="Warning"/>
    <w:basedOn w:val="BodyText"/>
    <w:rsid w:val="00DC7447"/>
    <w:pPr>
      <w:shd w:val="clear" w:color="auto" w:fill="D9D9D9"/>
      <w:tabs>
        <w:tab w:val="left" w:pos="992"/>
      </w:tabs>
      <w:ind w:left="119" w:right="119"/>
    </w:pPr>
    <w:rPr>
      <w:sz w:val="20"/>
    </w:rPr>
  </w:style>
  <w:style w:type="paragraph" w:customStyle="1" w:styleId="MarginIcons">
    <w:name w:val="Margin Icons"/>
    <w:basedOn w:val="BodyText"/>
    <w:rsid w:val="00DC74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7447"/>
    <w:rPr>
      <w:rFonts w:ascii="Courier New" w:hAnsi="Courier New"/>
    </w:rPr>
  </w:style>
  <w:style w:type="paragraph" w:customStyle="1" w:styleId="NoteBullet">
    <w:name w:val="Note Bullet"/>
    <w:basedOn w:val="Note"/>
    <w:rsid w:val="00DC7447"/>
    <w:pPr>
      <w:tabs>
        <w:tab w:val="clear" w:pos="680"/>
      </w:tabs>
      <w:spacing w:before="60" w:after="60"/>
    </w:pPr>
  </w:style>
  <w:style w:type="paragraph" w:customStyle="1" w:styleId="SubHeading2">
    <w:name w:val="SubHeading2"/>
    <w:basedOn w:val="HeadingBase"/>
    <w:rsid w:val="00DC7447"/>
    <w:pPr>
      <w:spacing w:before="240" w:after="60"/>
    </w:pPr>
    <w:rPr>
      <w:sz w:val="20"/>
    </w:rPr>
  </w:style>
  <w:style w:type="paragraph" w:customStyle="1" w:styleId="SubHeading1">
    <w:name w:val="SubHeading1"/>
    <w:basedOn w:val="HeadingBase"/>
    <w:rsid w:val="00DC7447"/>
    <w:pPr>
      <w:spacing w:before="240" w:after="60"/>
    </w:pPr>
    <w:rPr>
      <w:color w:val="918585"/>
      <w:sz w:val="22"/>
    </w:rPr>
  </w:style>
  <w:style w:type="paragraph" w:customStyle="1" w:styleId="SideHeading">
    <w:name w:val="Side Heading"/>
    <w:basedOn w:val="HeadingBase"/>
    <w:rsid w:val="00DC74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7447"/>
    <w:pPr>
      <w:tabs>
        <w:tab w:val="num" w:pos="360"/>
      </w:tabs>
    </w:pPr>
  </w:style>
  <w:style w:type="paragraph" w:styleId="PlainText">
    <w:name w:val="Plain Text"/>
    <w:basedOn w:val="Normal"/>
    <w:link w:val="PlainTextChar"/>
    <w:rsid w:val="00DC7447"/>
    <w:rPr>
      <w:sz w:val="20"/>
    </w:rPr>
  </w:style>
  <w:style w:type="character" w:customStyle="1" w:styleId="PlainTextChar">
    <w:name w:val="Plain Text Char"/>
    <w:basedOn w:val="DefaultParagraphFont"/>
    <w:link w:val="PlainText"/>
    <w:rsid w:val="00DC7447"/>
    <w:rPr>
      <w:rFonts w:ascii="Courier New" w:eastAsia="Times New Roman" w:hAnsi="Courier New" w:cs="Times New Roman"/>
      <w:sz w:val="20"/>
      <w:szCs w:val="20"/>
      <w:lang w:eastAsia="en-US"/>
    </w:rPr>
  </w:style>
  <w:style w:type="character" w:customStyle="1" w:styleId="MenuOption">
    <w:name w:val="Menu Option"/>
    <w:basedOn w:val="DefaultParagraphFont"/>
    <w:rsid w:val="00DC7447"/>
    <w:rPr>
      <w:b/>
      <w:smallCaps/>
    </w:rPr>
  </w:style>
  <w:style w:type="paragraph" w:customStyle="1" w:styleId="TableListNumber">
    <w:name w:val="Table List Number"/>
    <w:basedOn w:val="ListNumber"/>
    <w:rsid w:val="00DC7447"/>
    <w:pPr>
      <w:numPr>
        <w:numId w:val="0"/>
      </w:numPr>
    </w:pPr>
  </w:style>
  <w:style w:type="paragraph" w:styleId="TOC4">
    <w:name w:val="toc 4"/>
    <w:basedOn w:val="TOCBase"/>
    <w:next w:val="Normal"/>
    <w:semiHidden/>
    <w:rsid w:val="00DC7447"/>
    <w:pPr>
      <w:tabs>
        <w:tab w:val="right" w:leader="dot" w:pos="9071"/>
      </w:tabs>
      <w:ind w:left="1701"/>
    </w:pPr>
  </w:style>
  <w:style w:type="paragraph" w:customStyle="1" w:styleId="ListAlpha">
    <w:name w:val="List Alpha"/>
    <w:basedOn w:val="List"/>
    <w:rsid w:val="00DC7447"/>
    <w:pPr>
      <w:numPr>
        <w:numId w:val="9"/>
      </w:numPr>
    </w:pPr>
  </w:style>
  <w:style w:type="paragraph" w:customStyle="1" w:styleId="ListAlpha2">
    <w:name w:val="List Alpha 2"/>
    <w:basedOn w:val="List2"/>
    <w:rsid w:val="00DC7447"/>
    <w:pPr>
      <w:numPr>
        <w:numId w:val="8"/>
      </w:numPr>
    </w:pPr>
  </w:style>
  <w:style w:type="paragraph" w:styleId="List2">
    <w:name w:val="List 2"/>
    <w:basedOn w:val="BodyText"/>
    <w:rsid w:val="00DC7447"/>
    <w:pPr>
      <w:tabs>
        <w:tab w:val="left" w:pos="680"/>
      </w:tabs>
      <w:spacing w:before="60" w:after="60"/>
      <w:ind w:left="680" w:hanging="340"/>
    </w:pPr>
  </w:style>
  <w:style w:type="paragraph" w:styleId="List3">
    <w:name w:val="List 3"/>
    <w:basedOn w:val="BodyText"/>
    <w:rsid w:val="00DC7447"/>
    <w:pPr>
      <w:tabs>
        <w:tab w:val="left" w:pos="1021"/>
      </w:tabs>
      <w:spacing w:before="60" w:after="60"/>
      <w:ind w:left="1020" w:hanging="340"/>
    </w:pPr>
  </w:style>
  <w:style w:type="paragraph" w:styleId="List4">
    <w:name w:val="List 4"/>
    <w:basedOn w:val="BodyText"/>
    <w:rsid w:val="00DC7447"/>
    <w:pPr>
      <w:tabs>
        <w:tab w:val="left" w:pos="1361"/>
      </w:tabs>
      <w:spacing w:before="60" w:after="60"/>
      <w:ind w:left="1361" w:hanging="340"/>
    </w:pPr>
  </w:style>
  <w:style w:type="paragraph" w:styleId="List5">
    <w:name w:val="List 5"/>
    <w:basedOn w:val="BodyText"/>
    <w:rsid w:val="00DC7447"/>
    <w:pPr>
      <w:tabs>
        <w:tab w:val="left" w:pos="1701"/>
      </w:tabs>
      <w:spacing w:before="60" w:after="60"/>
      <w:ind w:left="1701" w:hanging="340"/>
    </w:pPr>
  </w:style>
  <w:style w:type="paragraph" w:styleId="ListBullet3">
    <w:name w:val="List Bullet 3"/>
    <w:basedOn w:val="List3"/>
    <w:rsid w:val="00DC7447"/>
    <w:pPr>
      <w:numPr>
        <w:numId w:val="14"/>
      </w:numPr>
      <w:tabs>
        <w:tab w:val="clear" w:pos="1021"/>
      </w:tabs>
      <w:ind w:left="1037" w:hanging="357"/>
    </w:pPr>
  </w:style>
  <w:style w:type="paragraph" w:styleId="ListBullet4">
    <w:name w:val="List Bullet 4"/>
    <w:basedOn w:val="List4"/>
    <w:rsid w:val="00DC7447"/>
    <w:pPr>
      <w:numPr>
        <w:numId w:val="3"/>
      </w:numPr>
      <w:tabs>
        <w:tab w:val="clear" w:pos="1361"/>
      </w:tabs>
    </w:pPr>
  </w:style>
  <w:style w:type="paragraph" w:styleId="ListBullet5">
    <w:name w:val="List Bullet 5"/>
    <w:basedOn w:val="List5"/>
    <w:rsid w:val="00DC7447"/>
    <w:pPr>
      <w:numPr>
        <w:numId w:val="4"/>
      </w:numPr>
    </w:pPr>
  </w:style>
  <w:style w:type="paragraph" w:styleId="ListContinue2">
    <w:name w:val="List Continue 2"/>
    <w:basedOn w:val="List2"/>
    <w:rsid w:val="00DC7447"/>
    <w:pPr>
      <w:ind w:firstLine="0"/>
    </w:pPr>
  </w:style>
  <w:style w:type="paragraph" w:styleId="ListContinue3">
    <w:name w:val="List Continue 3"/>
    <w:basedOn w:val="List3"/>
    <w:rsid w:val="00DC7447"/>
    <w:pPr>
      <w:ind w:left="1021" w:firstLine="0"/>
    </w:pPr>
  </w:style>
  <w:style w:type="paragraph" w:styleId="ListContinue4">
    <w:name w:val="List Continue 4"/>
    <w:basedOn w:val="List4"/>
    <w:rsid w:val="00DC7447"/>
    <w:pPr>
      <w:ind w:firstLine="0"/>
    </w:pPr>
  </w:style>
  <w:style w:type="paragraph" w:styleId="ListContinue5">
    <w:name w:val="List Continue 5"/>
    <w:basedOn w:val="List5"/>
    <w:rsid w:val="00DC7447"/>
    <w:pPr>
      <w:ind w:firstLine="0"/>
    </w:pPr>
  </w:style>
  <w:style w:type="paragraph" w:styleId="ListNumber3">
    <w:name w:val="List Number 3"/>
    <w:basedOn w:val="List3"/>
    <w:rsid w:val="00DC7447"/>
    <w:pPr>
      <w:numPr>
        <w:numId w:val="5"/>
      </w:numPr>
    </w:pPr>
  </w:style>
  <w:style w:type="paragraph" w:styleId="ListNumber4">
    <w:name w:val="List Number 4"/>
    <w:basedOn w:val="List4"/>
    <w:rsid w:val="00DC7447"/>
    <w:pPr>
      <w:numPr>
        <w:numId w:val="6"/>
      </w:numPr>
    </w:pPr>
  </w:style>
  <w:style w:type="paragraph" w:styleId="ListNumber5">
    <w:name w:val="List Number 5"/>
    <w:basedOn w:val="List5"/>
    <w:rsid w:val="00DC7447"/>
    <w:pPr>
      <w:numPr>
        <w:numId w:val="7"/>
      </w:numPr>
    </w:pPr>
  </w:style>
  <w:style w:type="paragraph" w:styleId="BlockText">
    <w:name w:val="Block Text"/>
    <w:basedOn w:val="Normal"/>
    <w:rsid w:val="00DC7447"/>
    <w:pPr>
      <w:spacing w:after="120"/>
      <w:ind w:left="1440" w:right="1440"/>
    </w:pPr>
  </w:style>
  <w:style w:type="character" w:customStyle="1" w:styleId="Subscript">
    <w:name w:val="Subscript"/>
    <w:basedOn w:val="DefaultParagraphFont"/>
    <w:rsid w:val="00DC7447"/>
    <w:rPr>
      <w:sz w:val="16"/>
      <w:vertAlign w:val="subscript"/>
    </w:rPr>
  </w:style>
  <w:style w:type="character" w:customStyle="1" w:styleId="Superscript">
    <w:name w:val="Superscript"/>
    <w:basedOn w:val="DefaultParagraphFont"/>
    <w:rsid w:val="00DC7447"/>
    <w:rPr>
      <w:sz w:val="16"/>
      <w:vertAlign w:val="superscript"/>
    </w:rPr>
  </w:style>
  <w:style w:type="character" w:customStyle="1" w:styleId="Symbols">
    <w:name w:val="Symbols"/>
    <w:basedOn w:val="DefaultParagraphFont"/>
    <w:rsid w:val="00DC7447"/>
    <w:rPr>
      <w:rFonts w:ascii="Symbol" w:hAnsi="Symbol"/>
    </w:rPr>
  </w:style>
  <w:style w:type="character" w:customStyle="1" w:styleId="MenuOptions">
    <w:name w:val="Menu Options"/>
    <w:basedOn w:val="DefaultParagraphFont"/>
    <w:rsid w:val="00DC7447"/>
    <w:rPr>
      <w:rFonts w:ascii="Arial Narrow" w:hAnsi="Arial Narrow"/>
      <w:smallCaps/>
    </w:rPr>
  </w:style>
  <w:style w:type="character" w:customStyle="1" w:styleId="Buttons">
    <w:name w:val="Buttons"/>
    <w:basedOn w:val="DefaultParagraphFont"/>
    <w:rsid w:val="00DC7447"/>
    <w:rPr>
      <w:b/>
    </w:rPr>
  </w:style>
  <w:style w:type="character" w:customStyle="1" w:styleId="Underlined">
    <w:name w:val="Underlined"/>
    <w:basedOn w:val="DefaultParagraphFont"/>
    <w:rsid w:val="00DC7447"/>
    <w:rPr>
      <w:u w:val="single"/>
    </w:rPr>
  </w:style>
  <w:style w:type="paragraph" w:customStyle="1" w:styleId="TableBodyTextRight">
    <w:name w:val="Table Body Text Right"/>
    <w:basedOn w:val="TableBodyText"/>
    <w:rsid w:val="00DC7447"/>
    <w:pPr>
      <w:widowControl w:val="0"/>
      <w:autoSpaceDE w:val="0"/>
      <w:autoSpaceDN w:val="0"/>
      <w:adjustRightInd w:val="0"/>
      <w:jc w:val="right"/>
    </w:pPr>
    <w:rPr>
      <w:rFonts w:cs="Arial"/>
      <w:szCs w:val="18"/>
    </w:rPr>
  </w:style>
  <w:style w:type="paragraph" w:customStyle="1" w:styleId="CopyrightText">
    <w:name w:val="Copyright Text"/>
    <w:basedOn w:val="BodyText"/>
    <w:rsid w:val="00DC7447"/>
    <w:rPr>
      <w:sz w:val="18"/>
    </w:rPr>
  </w:style>
  <w:style w:type="paragraph" w:customStyle="1" w:styleId="BodySmallRight">
    <w:name w:val="Body Small Right"/>
    <w:basedOn w:val="BodyTextRight"/>
    <w:rsid w:val="00DC7447"/>
    <w:rPr>
      <w:sz w:val="18"/>
      <w:szCs w:val="18"/>
    </w:rPr>
  </w:style>
  <w:style w:type="paragraph" w:customStyle="1" w:styleId="MarginEdition">
    <w:name w:val="Margin Edition"/>
    <w:basedOn w:val="MarginNote"/>
    <w:rsid w:val="00DC7447"/>
    <w:pPr>
      <w:spacing w:before="0" w:after="0"/>
    </w:pPr>
    <w:rPr>
      <w:rFonts w:ascii="Times New Roman" w:hAnsi="Times New Roman"/>
      <w:color w:val="999999"/>
    </w:rPr>
  </w:style>
  <w:style w:type="paragraph" w:customStyle="1" w:styleId="Spacer">
    <w:name w:val="Spacer"/>
    <w:basedOn w:val="Normal"/>
    <w:rsid w:val="00DC7447"/>
    <w:rPr>
      <w:sz w:val="2"/>
      <w:szCs w:val="2"/>
    </w:rPr>
  </w:style>
  <w:style w:type="character" w:customStyle="1" w:styleId="Small">
    <w:name w:val="Small"/>
    <w:basedOn w:val="DefaultParagraphFont"/>
    <w:rsid w:val="00DC7447"/>
    <w:rPr>
      <w:sz w:val="16"/>
    </w:rPr>
  </w:style>
  <w:style w:type="paragraph" w:customStyle="1" w:styleId="WideTable">
    <w:name w:val="Wide Table"/>
    <w:basedOn w:val="Normal"/>
    <w:rsid w:val="00DC7447"/>
    <w:pPr>
      <w:ind w:left="-1418"/>
    </w:pPr>
    <w:rPr>
      <w:sz w:val="2"/>
      <w:szCs w:val="2"/>
    </w:rPr>
  </w:style>
  <w:style w:type="character" w:styleId="PageNumber">
    <w:name w:val="page number"/>
    <w:basedOn w:val="DefaultParagraphFont"/>
    <w:rsid w:val="00DC7447"/>
  </w:style>
  <w:style w:type="paragraph" w:styleId="Quote">
    <w:name w:val="Quote"/>
    <w:basedOn w:val="Heading1"/>
    <w:link w:val="QuoteChar"/>
    <w:qFormat/>
    <w:rsid w:val="00DC7447"/>
    <w:rPr>
      <w:b w:val="0"/>
      <w:sz w:val="72"/>
      <w:szCs w:val="72"/>
      <w:lang w:val="en-NZ"/>
    </w:rPr>
  </w:style>
  <w:style w:type="character" w:customStyle="1" w:styleId="QuoteChar">
    <w:name w:val="Quote Char"/>
    <w:basedOn w:val="DefaultParagraphFont"/>
    <w:link w:val="Quote"/>
    <w:rsid w:val="00DC74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7447"/>
    <w:pPr>
      <w:pageBreakBefore/>
    </w:pPr>
  </w:style>
  <w:style w:type="paragraph" w:customStyle="1" w:styleId="Border">
    <w:name w:val="Border"/>
    <w:basedOn w:val="Normal"/>
    <w:qFormat/>
    <w:rsid w:val="00DC74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7447"/>
    <w:rPr>
      <w:b/>
      <w:bCs/>
      <w:i/>
      <w:iCs/>
      <w:color w:val="auto"/>
    </w:rPr>
  </w:style>
  <w:style w:type="paragraph" w:styleId="IntenseQuote">
    <w:name w:val="Intense Quote"/>
    <w:basedOn w:val="Normal"/>
    <w:next w:val="Normal"/>
    <w:link w:val="IntenseQuoteChar"/>
    <w:uiPriority w:val="30"/>
    <w:qFormat/>
    <w:rsid w:val="00DC74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74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7447"/>
    <w:rPr>
      <w:smallCaps/>
      <w:color w:val="auto"/>
      <w:u w:val="single"/>
    </w:rPr>
  </w:style>
  <w:style w:type="character" w:styleId="IntenseReference">
    <w:name w:val="Intense Reference"/>
    <w:basedOn w:val="DefaultParagraphFont"/>
    <w:uiPriority w:val="32"/>
    <w:qFormat/>
    <w:rsid w:val="00DC7447"/>
    <w:rPr>
      <w:b/>
      <w:bCs/>
      <w:smallCaps/>
      <w:color w:val="auto"/>
      <w:spacing w:val="5"/>
      <w:u w:val="single"/>
    </w:rPr>
  </w:style>
  <w:style w:type="paragraph" w:customStyle="1" w:styleId="2ColumnHeading">
    <w:name w:val="2Column Heading"/>
    <w:basedOn w:val="BodyText"/>
    <w:qFormat/>
    <w:rsid w:val="00DC7447"/>
    <w:pPr>
      <w:spacing w:after="60"/>
      <w:ind w:left="-2268"/>
    </w:pPr>
    <w:rPr>
      <w:b/>
    </w:rPr>
  </w:style>
  <w:style w:type="paragraph" w:customStyle="1" w:styleId="Heading1TOC">
    <w:name w:val="Heading1 TOC"/>
    <w:basedOn w:val="Normal"/>
    <w:qFormat/>
    <w:rsid w:val="00DC7447"/>
    <w:pPr>
      <w:spacing w:before="240" w:after="120"/>
    </w:pPr>
    <w:rPr>
      <w:rFonts w:ascii="Times New Roman" w:hAnsi="Times New Roman"/>
      <w:b/>
      <w:sz w:val="32"/>
    </w:rPr>
  </w:style>
  <w:style w:type="paragraph" w:customStyle="1" w:styleId="Heading2TOC">
    <w:name w:val="Heading2 TOC"/>
    <w:basedOn w:val="Normal"/>
    <w:qFormat/>
    <w:rsid w:val="00DC7447"/>
    <w:pPr>
      <w:spacing w:before="240" w:after="60"/>
    </w:pPr>
    <w:rPr>
      <w:rFonts w:ascii="Times New Roman" w:hAnsi="Times New Roman"/>
      <w:b/>
      <w:sz w:val="28"/>
    </w:rPr>
  </w:style>
  <w:style w:type="character" w:customStyle="1" w:styleId="Underline">
    <w:name w:val="Underline"/>
    <w:basedOn w:val="DefaultParagraphFont"/>
    <w:qFormat/>
    <w:rsid w:val="00DC7447"/>
    <w:rPr>
      <w:u w:val="single"/>
    </w:rPr>
  </w:style>
  <w:style w:type="character" w:customStyle="1" w:styleId="BoldandItalics">
    <w:name w:val="Bold and Italics"/>
    <w:qFormat/>
    <w:rsid w:val="00DC7447"/>
    <w:rPr>
      <w:b/>
      <w:i/>
      <w:u w:val="none"/>
    </w:rPr>
  </w:style>
  <w:style w:type="paragraph" w:styleId="BalloonText">
    <w:name w:val="Balloon Text"/>
    <w:basedOn w:val="Normal"/>
    <w:link w:val="BalloonTextChar"/>
    <w:rsid w:val="00DC7447"/>
    <w:rPr>
      <w:rFonts w:ascii="Tahoma" w:hAnsi="Tahoma" w:cs="Tahoma"/>
      <w:sz w:val="16"/>
      <w:szCs w:val="16"/>
    </w:rPr>
  </w:style>
  <w:style w:type="character" w:customStyle="1" w:styleId="BalloonTextChar">
    <w:name w:val="Balloon Text Char"/>
    <w:basedOn w:val="DefaultParagraphFont"/>
    <w:link w:val="BalloonText"/>
    <w:rsid w:val="00DC74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74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74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7447"/>
    <w:rPr>
      <w:b/>
      <w:color w:val="660033"/>
      <w:spacing w:val="0"/>
    </w:rPr>
  </w:style>
  <w:style w:type="paragraph" w:customStyle="1" w:styleId="Nameditemlist">
    <w:name w:val="Named item list"/>
    <w:basedOn w:val="BodyText"/>
    <w:qFormat/>
    <w:rsid w:val="00DC7447"/>
    <w:pPr>
      <w:tabs>
        <w:tab w:val="left" w:pos="2835"/>
      </w:tabs>
      <w:ind w:left="2835" w:hanging="2835"/>
    </w:pPr>
  </w:style>
  <w:style w:type="paragraph" w:customStyle="1" w:styleId="BodyTextnopadding">
    <w:name w:val="Body Text no padding"/>
    <w:basedOn w:val="BodyText"/>
    <w:qFormat/>
    <w:rsid w:val="00DC7447"/>
    <w:pPr>
      <w:spacing w:before="0" w:after="0"/>
    </w:pPr>
  </w:style>
  <w:style w:type="paragraph" w:customStyle="1" w:styleId="BodyTextBold">
    <w:name w:val="Body Text Bold"/>
    <w:basedOn w:val="BodyText"/>
    <w:qFormat/>
    <w:rsid w:val="00DC7447"/>
    <w:rPr>
      <w:b/>
    </w:rPr>
  </w:style>
  <w:style w:type="character" w:styleId="Hyperlink">
    <w:name w:val="Hyperlink"/>
    <w:basedOn w:val="DefaultParagraphFont"/>
    <w:uiPriority w:val="99"/>
    <w:unhideWhenUsed/>
    <w:rsid w:val="00C523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961</Words>
  <Characters>5885</Characters>
  <Application>Microsoft Office Word</Application>
  <DocSecurity>0</DocSecurity>
  <Lines>294</Lines>
  <Paragraphs>207</Paragraphs>
  <ScaleCrop>false</ScaleCrop>
  <Company>Author-it Software Corporation Ltd.</Company>
  <LinksUpToDate>false</LinksUpToDate>
  <CharactersWithSpaces>6639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MEM50009 Safely operate a mechanically powered recreational boat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2023-02-03T07:14:00Z</dcterms:created>
  <dcterms:modified xsi:type="dcterms:W3CDTF">2023-02-03T07:14:00Z</dcterms:modified>
</cp:coreProperties>
</file>