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107" w:rsidP="004761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MEM50005 Refuel vessels</w:t>
      </w:r>
      <w:r>
        <w:fldChar w:fldCharType="end"/>
      </w:r>
    </w:p>
    <w:p w:rsidR="00476107" w:rsidP="00476107">
      <w:pPr>
        <w:pStyle w:val="Version"/>
        <w:sectPr w:rsidSect="001F2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E97" w:rsidP="001F2E97">
      <w:pPr>
        <w:pStyle w:val="SuperHeading"/>
      </w:pPr>
      <w:r w:rsidRPr="001F2E97">
        <w:t>MEM50005 Refuel vessels</w:t>
      </w:r>
    </w:p>
    <w:p w:rsidR="00000000" w:rsidRPr="001F2E97" w:rsidP="001F2E97">
      <w:pPr>
        <w:pStyle w:val="Heading1"/>
      </w:pPr>
      <w:bookmarkStart w:id="1" w:name="O_952452"/>
      <w:bookmarkEnd w:id="1"/>
      <w:r w:rsidRPr="001F2E97">
        <w:t>Modification History</w:t>
      </w:r>
    </w:p>
    <w:p w:rsidR="00000000" w:rsidRPr="001F2E97" w:rsidP="00476107">
      <w:pPr>
        <w:pStyle w:val="BodyText"/>
      </w:pPr>
      <w:r w:rsidRPr="001F2E97">
        <w:t xml:space="preserve">Release 1. Supersedes and is equivalent to MEM50005B Refuel vessels </w:t>
      </w:r>
    </w:p>
    <w:p w:rsidR="00000000" w:rsidRPr="001F2E97" w:rsidP="001F2E97">
      <w:pPr>
        <w:pStyle w:val="Heading1"/>
      </w:pPr>
      <w:bookmarkStart w:id="2" w:name="O_952460"/>
      <w:bookmarkEnd w:id="2"/>
      <w:r w:rsidRPr="001F2E97">
        <w:t>Application</w:t>
      </w:r>
    </w:p>
    <w:p w:rsidR="00000000" w:rsidRPr="001F2E97" w:rsidP="00476107">
      <w:pPr>
        <w:pStyle w:val="BodyText"/>
      </w:pPr>
      <w:r w:rsidRPr="001F2E97">
        <w:t>This unit of competency defines the skills and knowledge required to refuel recreational vessels and appliances in both land and water environments and relate</w:t>
      </w:r>
      <w:r w:rsidRPr="001F2E97">
        <w:t>s to workplaces in which vessels are built, repaired, stored, sold and transported.</w:t>
      </w:r>
    </w:p>
    <w:p w:rsidR="00000000" w:rsidRPr="001F2E97" w:rsidP="00476107">
      <w:pPr>
        <w:pStyle w:val="BodyText"/>
      </w:pPr>
      <w:r w:rsidRPr="001F2E97">
        <w:t>No licensing, legislative or certification requirements apply to this unit at the time of publication.</w:t>
      </w:r>
    </w:p>
    <w:p w:rsidR="00000000" w:rsidRPr="001F2E97" w:rsidP="001F2E97">
      <w:pPr>
        <w:pStyle w:val="BodyText"/>
      </w:pPr>
      <w:r w:rsidRPr="001F2E97">
        <w:rPr>
          <w:rStyle w:val="SpecialBold"/>
        </w:rPr>
        <w:t>Band</w:t>
      </w:r>
      <w:r w:rsidRPr="001F2E97">
        <w:t>:</w:t>
      </w:r>
      <w:r w:rsidRPr="001F2E97">
        <w:tab/>
      </w:r>
      <w:r w:rsidRPr="001F2E97">
        <w:rPr>
          <w:rStyle w:val="SpecialBold"/>
        </w:rPr>
        <w:t>E</w:t>
      </w:r>
    </w:p>
    <w:p w:rsidR="00000000" w:rsidRPr="001F2E97" w:rsidP="001F2E97">
      <w:pPr>
        <w:pStyle w:val="BodyText"/>
      </w:pPr>
      <w:r w:rsidRPr="001F2E97">
        <w:rPr>
          <w:rStyle w:val="SpecialBold"/>
        </w:rPr>
        <w:t>Unit Weight</w:t>
      </w:r>
      <w:r w:rsidRPr="001F2E97">
        <w:t>:</w:t>
      </w:r>
      <w:r w:rsidRPr="001F2E97">
        <w:tab/>
      </w:r>
      <w:r w:rsidRPr="001F2E97">
        <w:rPr>
          <w:rStyle w:val="SpecialBold"/>
        </w:rPr>
        <w:t>0</w:t>
      </w:r>
    </w:p>
    <w:p w:rsidR="00000000" w:rsidRPr="001F2E97" w:rsidP="001F2E97">
      <w:pPr>
        <w:pStyle w:val="AllowPageBreak"/>
      </w:pPr>
    </w:p>
    <w:p w:rsidR="00000000" w:rsidRPr="001F2E97" w:rsidP="001F2E97">
      <w:pPr>
        <w:pStyle w:val="Heading1"/>
      </w:pPr>
      <w:bookmarkStart w:id="3" w:name="O_952459"/>
      <w:bookmarkEnd w:id="3"/>
      <w:r w:rsidRPr="001F2E9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Work safely and effectively in manufacturing and engineering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Organise and communicate information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MEM50002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Work safely on marine craft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MEM50003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E97" w:rsidP="001F2E97">
            <w:pPr>
              <w:pStyle w:val="BodyText"/>
            </w:pPr>
            <w:r w:rsidRPr="001F2E97">
              <w:t>Follow work procedures to maintain the marine environment</w:t>
            </w:r>
          </w:p>
        </w:tc>
      </w:tr>
    </w:tbl>
    <w:p w:rsidR="00000000" w:rsidRPr="001F2E97" w:rsidP="001F2E97">
      <w:pPr>
        <w:pStyle w:val="BodyText"/>
      </w:pPr>
    </w:p>
    <w:p w:rsidR="00000000" w:rsidRPr="001F2E97" w:rsidP="001F2E97">
      <w:pPr>
        <w:pStyle w:val="AllowPageBreak"/>
      </w:pPr>
    </w:p>
    <w:p w:rsidR="00000000" w:rsidRPr="001F2E97" w:rsidP="001F2E97">
      <w:pPr>
        <w:pStyle w:val="Heading1"/>
      </w:pPr>
      <w:bookmarkStart w:id="4" w:name="O_952458"/>
      <w:bookmarkEnd w:id="4"/>
      <w:r w:rsidRPr="001F2E97">
        <w:t>Competency Field</w:t>
      </w:r>
    </w:p>
    <w:p w:rsidR="00000000" w:rsidRPr="001F2E97" w:rsidP="00476107">
      <w:pPr>
        <w:pStyle w:val="BodyText"/>
      </w:pPr>
      <w:r w:rsidRPr="001F2E97">
        <w:t>Boating services</w:t>
      </w:r>
    </w:p>
    <w:p w:rsidR="00000000" w:rsidRPr="001F2E97" w:rsidP="001F2E97">
      <w:pPr>
        <w:pStyle w:val="Heading1"/>
      </w:pPr>
      <w:bookmarkStart w:id="5" w:name="O_952456"/>
      <w:bookmarkEnd w:id="5"/>
      <w:r w:rsidRPr="001F2E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Performance criteria describe the performance needed to demonstrate achievement of the element.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E97" w:rsidP="001F2E97">
            <w:pPr>
              <w:pStyle w:val="BodyText"/>
            </w:pPr>
            <w:r w:rsidRPr="001F2E9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rPr>
                <w:rStyle w:val="SpecialBold"/>
              </w:rPr>
              <w:t xml:space="preserve">Match fuels and additives to marine </w:t>
            </w:r>
            <w:r w:rsidRPr="001F2E97">
              <w:rPr>
                <w:rStyle w:val="SpecialBold"/>
              </w:rPr>
              <w:t>applications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Follow standard operating procedures (SOPs)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 xml:space="preserve">Comply with work health and safety (WHS) </w:t>
            </w:r>
            <w:r w:rsidRPr="001F2E97">
              <w:t xml:space="preserve">requirements at all times 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Select and use appropriate personal protective equipment (PPE) in accordance with SOPs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 xml:space="preserve">Select fuels to match the engine or appliance 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Consider alternative fuel applications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Select fuel additives and lubricants based on vessel/appliance</w:t>
            </w:r>
            <w:r w:rsidRPr="001F2E97">
              <w:t xml:space="preserve"> use and manufacturer requirements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E97" w:rsidP="001F2E97">
            <w:pPr>
              <w:pStyle w:val="BodyText"/>
            </w:pPr>
            <w:r w:rsidRPr="001F2E9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rPr>
                <w:rStyle w:val="SpecialBold"/>
              </w:rPr>
              <w:t>Identify fuel handling risk, precautions and regulatory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Identify dangers of volatile fuel liquids and vapours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Identify precautions for minimising risks associated with volatile liquids in workplace procedures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Identify procedures to prevent build up of volatile vapours and gases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Identify regulatory requirements for refilling portable fuel containers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E97" w:rsidP="001F2E97">
            <w:pPr>
              <w:pStyle w:val="BodyText"/>
            </w:pPr>
            <w:r w:rsidRPr="001F2E9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rPr>
                <w:rStyle w:val="SpecialBold"/>
              </w:rPr>
              <w:t>Identify safety and environmental requirements for fuel refill areas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Use correct locations for refuelling activities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Apply workplace strategies/procedures to limit danger from static electricity and other sources of ignition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Identify pr</w:t>
            </w:r>
            <w:r w:rsidRPr="001F2E97">
              <w:t>otection systems that provide physical barriers to minimise accidental collision with fuelling facilities and use to prevent spills entering drains or the water environment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Use appropriate ventilation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Identify signage for public safety needs and Hazchem requirements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Identify emergency stops and shut-off devices and describe activation methods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E97" w:rsidP="001F2E97">
            <w:pPr>
              <w:pStyle w:val="BodyText"/>
            </w:pPr>
            <w:r w:rsidRPr="001F2E9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rPr>
                <w:rStyle w:val="SpecialBold"/>
              </w:rPr>
              <w:t>Refill fuel containers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Refill portable liquid fuel tanks and appliances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Refill gas cylinders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Refill on-board fuel tanks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Check fuel levels for each method of storage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Identify emergency procedures for leaks, spills and fire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 xml:space="preserve">Replace gas cylinders if required 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E97" w:rsidP="001F2E97">
            <w:pPr>
              <w:pStyle w:val="BodyText"/>
            </w:pPr>
            <w:r w:rsidRPr="001F2E97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rPr>
                <w:rStyle w:val="SpecialBold"/>
              </w:rPr>
              <w:t>Contain and clean up spills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Identify potential for spills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Follow procedures for notification of spills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Follow workplace procedures to contain spill and minimise any environment or safety dangers</w:t>
            </w:r>
          </w:p>
        </w:tc>
      </w:tr>
      <w:tr w:rsidTr="001F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E97" w:rsidP="001F2E97">
            <w:pPr>
              <w:pStyle w:val="BodyText"/>
            </w:pPr>
            <w:r w:rsidRPr="001F2E97">
              <w:t>Identify clean up equipment and use</w:t>
            </w:r>
          </w:p>
        </w:tc>
      </w:tr>
    </w:tbl>
    <w:p w:rsidR="00000000" w:rsidRPr="001F2E97" w:rsidP="001F2E97">
      <w:pPr>
        <w:pStyle w:val="BodyText"/>
      </w:pPr>
    </w:p>
    <w:p w:rsidR="00000000" w:rsidRPr="001F2E97" w:rsidP="001F2E97">
      <w:pPr>
        <w:pStyle w:val="AllowPageBreak"/>
      </w:pPr>
    </w:p>
    <w:p w:rsidR="00000000" w:rsidRPr="001F2E97" w:rsidP="001F2E97">
      <w:pPr>
        <w:pStyle w:val="Heading1"/>
      </w:pPr>
      <w:bookmarkStart w:id="6" w:name="O_952455"/>
      <w:bookmarkEnd w:id="6"/>
      <w:r w:rsidRPr="001F2E97">
        <w:t>Foundation Skills</w:t>
      </w:r>
    </w:p>
    <w:p w:rsidR="00000000" w:rsidRPr="001F2E97" w:rsidP="00476107">
      <w:pPr>
        <w:pStyle w:val="BodyText"/>
      </w:pPr>
      <w:r w:rsidRPr="001F2E9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F2E97" w:rsidP="00476107">
      <w:pPr>
        <w:pStyle w:val="BodyText"/>
      </w:pPr>
      <w:r w:rsidRPr="001F2E97">
        <w:t>Foundation skills essential to performance are explicit in the per</w:t>
      </w:r>
      <w:r w:rsidRPr="001F2E97">
        <w:t>formance criteria of this unit of competency.</w:t>
      </w:r>
    </w:p>
    <w:p w:rsidR="00000000" w:rsidRPr="001F2E97" w:rsidP="001F2E97">
      <w:pPr>
        <w:pStyle w:val="Heading1"/>
      </w:pPr>
      <w:bookmarkStart w:id="7" w:name="O_952454"/>
      <w:bookmarkEnd w:id="7"/>
      <w:r w:rsidRPr="001F2E9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1F2E9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t xml:space="preserve">This field allows for different work environments and conditions that may affect performance. Essential operating conditions that may be present </w:t>
            </w:r>
            <w:r w:rsidRPr="001F2E97">
              <w:t>(depending on the work situation, needs of the candidate, accessibility of the item, and local industry and regional contexts) are included.</w:t>
            </w:r>
          </w:p>
        </w:tc>
      </w:tr>
      <w:tr w:rsidTr="001F2E9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rPr>
                <w:rStyle w:val="SpecialBold"/>
              </w:rPr>
              <w:t>Fuels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E97" w:rsidP="001F2E97">
            <w:pPr>
              <w:pStyle w:val="ListBullet"/>
            </w:pPr>
            <w:r w:rsidRPr="001F2E97">
              <w:t>petrol (gasoline), including premixed two stroke fuel</w:t>
            </w:r>
          </w:p>
          <w:p w:rsidR="00000000" w:rsidRPr="001F2E97" w:rsidP="001F2E97">
            <w:pPr>
              <w:pStyle w:val="ListBullet"/>
            </w:pPr>
            <w:r w:rsidRPr="001F2E97">
              <w:t>diesel (di</w:t>
            </w:r>
            <w:r w:rsidRPr="001F2E97">
              <w:t>stillate)</w:t>
            </w:r>
          </w:p>
          <w:p w:rsidR="00000000" w:rsidRPr="001F2E97" w:rsidP="001F2E97">
            <w:pPr>
              <w:pStyle w:val="ListBullet"/>
            </w:pPr>
            <w:r w:rsidRPr="001F2E97">
              <w:t>kerosene</w:t>
            </w:r>
          </w:p>
          <w:p w:rsidR="00000000" w:rsidRPr="001F2E97" w:rsidP="001F2E97">
            <w:pPr>
              <w:pStyle w:val="ListBullet"/>
            </w:pPr>
            <w:r w:rsidRPr="001F2E97">
              <w:t>methylated spirits</w:t>
            </w:r>
          </w:p>
          <w:p w:rsidR="00000000" w:rsidRPr="001F2E97" w:rsidP="001F2E97">
            <w:pPr>
              <w:pStyle w:val="ListBullet"/>
            </w:pPr>
            <w:r w:rsidRPr="001F2E97">
              <w:t>lighter fluid/white spirits</w:t>
            </w:r>
          </w:p>
          <w:p w:rsidR="00000000" w:rsidRPr="001F2E97" w:rsidP="001F2E97">
            <w:pPr>
              <w:pStyle w:val="ListBullet"/>
            </w:pPr>
            <w:r w:rsidRPr="001F2E97">
              <w:t>liquefied petroleum gas (LPG)</w:t>
            </w:r>
          </w:p>
          <w:p w:rsidR="00000000" w:rsidP="001F2E97">
            <w:pPr>
              <w:pStyle w:val="BodyText"/>
              <w:rPr>
                <w:lang w:val="en-NZ"/>
              </w:rPr>
            </w:pPr>
          </w:p>
        </w:tc>
      </w:tr>
      <w:tr w:rsidTr="001F2E9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rPr>
                <w:rStyle w:val="SpecialBold"/>
              </w:rPr>
              <w:t>Appliances include one ((1)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E97" w:rsidP="001F2E97">
            <w:pPr>
              <w:pStyle w:val="ListBullet"/>
            </w:pPr>
            <w:r w:rsidRPr="001F2E97">
              <w:t>stoves</w:t>
            </w:r>
          </w:p>
          <w:p w:rsidR="00000000" w:rsidRPr="001F2E97" w:rsidP="001F2E97">
            <w:pPr>
              <w:pStyle w:val="ListBullet"/>
            </w:pPr>
            <w:r w:rsidRPr="001F2E97">
              <w:t>refrigerators</w:t>
            </w:r>
          </w:p>
          <w:p w:rsidR="00000000" w:rsidRPr="001F2E97" w:rsidP="001F2E97">
            <w:pPr>
              <w:pStyle w:val="ListBullet"/>
            </w:pPr>
            <w:r w:rsidRPr="001F2E97">
              <w:t>heaters</w:t>
            </w:r>
          </w:p>
          <w:p w:rsidR="00000000" w:rsidRPr="001F2E97" w:rsidP="001F2E97">
            <w:pPr>
              <w:pStyle w:val="ListBullet"/>
            </w:pPr>
            <w:r w:rsidRPr="001F2E97">
              <w:t>lights</w:t>
            </w:r>
          </w:p>
          <w:p w:rsidR="00000000" w:rsidP="001F2E97">
            <w:pPr>
              <w:pStyle w:val="BodyText"/>
              <w:rPr>
                <w:lang w:val="en-NZ"/>
              </w:rPr>
            </w:pPr>
          </w:p>
        </w:tc>
      </w:tr>
      <w:tr w:rsidTr="001F2E9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rPr>
                <w:rStyle w:val="SpecialBold"/>
              </w:rPr>
              <w:t>Replacement of gas cylinders includes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E97" w:rsidP="001F2E97">
            <w:pPr>
              <w:pStyle w:val="ListBullet"/>
            </w:pPr>
            <w:r w:rsidRPr="001F2E97">
              <w:t>turn off appliances and pilot light</w:t>
            </w:r>
          </w:p>
          <w:p w:rsidR="00000000" w:rsidRPr="001F2E97" w:rsidP="001F2E97">
            <w:pPr>
              <w:pStyle w:val="ListBullet"/>
            </w:pPr>
            <w:r w:rsidRPr="001F2E97">
              <w:t>vent gas lines in a safe manner after closing gas valves</w:t>
            </w:r>
          </w:p>
          <w:p w:rsidR="00000000" w:rsidRPr="001F2E97" w:rsidP="001F2E97">
            <w:pPr>
              <w:pStyle w:val="ListBullet"/>
            </w:pPr>
            <w:r w:rsidRPr="001F2E97">
              <w:t>leak test fittings after fitting cylinders</w:t>
            </w:r>
          </w:p>
          <w:p w:rsidR="00000000" w:rsidRPr="001F2E97" w:rsidP="001F2E97">
            <w:pPr>
              <w:pStyle w:val="ListBullet"/>
            </w:pPr>
            <w:r w:rsidRPr="001F2E97">
              <w:t>refit and adjust bottle restraining devices</w:t>
            </w:r>
          </w:p>
          <w:p w:rsidR="00000000" w:rsidRPr="001F2E97" w:rsidP="001F2E97">
            <w:pPr>
              <w:pStyle w:val="ListBullet"/>
            </w:pPr>
            <w:r w:rsidRPr="001F2E97">
              <w:t>following emergency procedures for leaks and fire</w:t>
            </w:r>
          </w:p>
          <w:p w:rsidR="00000000" w:rsidP="001F2E97">
            <w:pPr>
              <w:pStyle w:val="BodyText"/>
              <w:rPr>
                <w:lang w:val="en-NZ"/>
              </w:rPr>
            </w:pPr>
          </w:p>
        </w:tc>
      </w:tr>
      <w:tr w:rsidTr="001F2E9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rPr>
                <w:rStyle w:val="SpecialBold"/>
              </w:rPr>
              <w:t xml:space="preserve">PPE includes one (1) or </w:t>
            </w:r>
            <w:r w:rsidRPr="001F2E97">
              <w:rPr>
                <w:rStyle w:val="SpecialBold"/>
              </w:rPr>
              <w:t>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E97" w:rsidP="001F2E97">
            <w:pPr>
              <w:pStyle w:val="ListBullet"/>
            </w:pPr>
            <w:r w:rsidRPr="001F2E97">
              <w:t>goggles/face shields</w:t>
            </w:r>
          </w:p>
          <w:p w:rsidR="00000000" w:rsidRPr="001F2E97" w:rsidP="001F2E97">
            <w:pPr>
              <w:pStyle w:val="ListBullet"/>
            </w:pPr>
            <w:r w:rsidRPr="001F2E97">
              <w:t>masks or respirators</w:t>
            </w:r>
          </w:p>
          <w:p w:rsidR="00000000" w:rsidRPr="001F2E97" w:rsidP="001F2E97">
            <w:pPr>
              <w:pStyle w:val="ListBullet"/>
            </w:pPr>
            <w:r w:rsidRPr="001F2E97">
              <w:t>gloves and appropriate clothes/garments</w:t>
            </w:r>
          </w:p>
          <w:p w:rsidR="00000000" w:rsidP="001F2E97">
            <w:pPr>
              <w:pStyle w:val="BodyText"/>
              <w:rPr>
                <w:lang w:val="en-NZ"/>
              </w:rPr>
            </w:pPr>
          </w:p>
        </w:tc>
      </w:tr>
      <w:tr w:rsidTr="001F2E9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E97">
            <w:pPr>
              <w:pStyle w:val="BodyText"/>
              <w:rPr>
                <w:lang w:val="en-NZ"/>
              </w:rPr>
            </w:pPr>
            <w:r w:rsidRPr="001F2E97">
              <w:rPr>
                <w:rStyle w:val="SpecialBold"/>
              </w:rPr>
              <w:t>Contain spill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E97" w:rsidP="001F2E97">
            <w:pPr>
              <w:pStyle w:val="ListBullet"/>
            </w:pPr>
            <w:r w:rsidRPr="001F2E97">
              <w:t>bunding and drain covers</w:t>
            </w:r>
          </w:p>
          <w:p w:rsidR="00000000" w:rsidRPr="001F2E97" w:rsidP="001F2E97">
            <w:pPr>
              <w:pStyle w:val="ListBullet"/>
            </w:pPr>
            <w:r w:rsidRPr="001F2E97">
              <w:t>chemical dispersal agents</w:t>
            </w:r>
          </w:p>
          <w:p w:rsidR="00000000" w:rsidRPr="001F2E97" w:rsidP="001F2E97">
            <w:pPr>
              <w:pStyle w:val="ListBullet"/>
            </w:pPr>
            <w:r w:rsidRPr="001F2E97">
              <w:t>absorptive materials</w:t>
            </w:r>
          </w:p>
          <w:p w:rsidR="00000000" w:rsidRPr="001F2E97" w:rsidP="001F2E97">
            <w:pPr>
              <w:pStyle w:val="ListBullet"/>
            </w:pPr>
            <w:r w:rsidRPr="001F2E97">
              <w:t>containment booms and portable bunding</w:t>
            </w:r>
          </w:p>
        </w:tc>
      </w:tr>
    </w:tbl>
    <w:p w:rsidR="00000000" w:rsidRPr="001F2E97" w:rsidP="001F2E97">
      <w:pPr>
        <w:pStyle w:val="BodyText"/>
      </w:pPr>
    </w:p>
    <w:p w:rsidR="00000000" w:rsidRPr="001F2E97" w:rsidP="001F2E97">
      <w:pPr>
        <w:pStyle w:val="AllowPageBreak"/>
      </w:pPr>
    </w:p>
    <w:p w:rsidR="00000000" w:rsidRPr="001F2E97" w:rsidP="001F2E97">
      <w:pPr>
        <w:pStyle w:val="Heading1"/>
      </w:pPr>
      <w:bookmarkStart w:id="8" w:name="O_952453"/>
      <w:bookmarkEnd w:id="8"/>
      <w:r w:rsidRPr="001F2E97">
        <w:t>Unit Mapping Information</w:t>
      </w:r>
    </w:p>
    <w:p w:rsidR="00000000" w:rsidRPr="001F2E97" w:rsidP="00476107">
      <w:pPr>
        <w:pStyle w:val="BodyText"/>
      </w:pPr>
      <w:r w:rsidRPr="001F2E97">
        <w:t xml:space="preserve">Release 1. Supersedes and is equivalent to MEM50005B Refuel vessels </w:t>
      </w:r>
    </w:p>
    <w:p w:rsidR="00000000" w:rsidRPr="001F2E97" w:rsidP="001F2E97">
      <w:pPr>
        <w:pStyle w:val="Heading1"/>
      </w:pPr>
      <w:bookmarkStart w:id="9" w:name="O_952446"/>
      <w:bookmarkEnd w:id="9"/>
      <w:r w:rsidRPr="001F2E97">
        <w:t>Links</w:t>
      </w:r>
    </w:p>
    <w:p w:rsidR="00000000" w:rsidRPr="001F2E97" w:rsidP="00476107">
      <w:pPr>
        <w:pStyle w:val="BodyText"/>
      </w:pPr>
      <w:r w:rsidRPr="001F2E97">
        <w:t xml:space="preserve">Companion Volume implementation guides are </w:t>
      </w:r>
      <w:r w:rsidRPr="001F2E97">
        <w:t xml:space="preserve">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D4CF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F2E97" w:rsidP="001F2E97"/>
    <w:sectPr w:rsidSect="001F2E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E97" w:rsidRPr="00476107" w:rsidP="004761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07" w:rsidP="001F2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6107" w:rsidP="001F2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6107" w:rsidP="001F2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E97" w:rsidRPr="00476107" w:rsidP="004761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07" w:rsidRPr="002D2AF8" w:rsidP="001F2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MEM50005 Refuel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76107" w:rsidP="001F2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7EA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6824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E97"/>
  </w:style>
  <w:style w:type="character" w:customStyle="1" w:styleId="Heading1Char">
    <w:name w:val="Heading 1 Char"/>
    <w:basedOn w:val="DefaultParagraphFont"/>
    <w:link w:val="Heading1"/>
    <w:rsid w:val="001F2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E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2E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2E97"/>
    <w:rPr>
      <w:b/>
      <w:spacing w:val="0"/>
    </w:rPr>
  </w:style>
  <w:style w:type="paragraph" w:customStyle="1" w:styleId="SuperHeading">
    <w:name w:val="SuperHeading"/>
    <w:basedOn w:val="Normal"/>
    <w:rsid w:val="001F2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2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E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E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2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2E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2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E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E97"/>
    <w:rPr>
      <w:i/>
    </w:rPr>
  </w:style>
  <w:style w:type="paragraph" w:styleId="Caption">
    <w:name w:val="caption"/>
    <w:basedOn w:val="BodyText"/>
    <w:next w:val="Normal"/>
    <w:qFormat/>
    <w:rsid w:val="001F2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E97"/>
  </w:style>
  <w:style w:type="paragraph" w:styleId="TableofFigures">
    <w:name w:val="table of figures"/>
    <w:basedOn w:val="Normal"/>
    <w:next w:val="Normal"/>
    <w:semiHidden/>
    <w:rsid w:val="001F2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E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2E97"/>
    <w:rPr>
      <w:rFonts w:ascii="Wingdings" w:hAnsi="Wingdings"/>
    </w:rPr>
  </w:style>
  <w:style w:type="paragraph" w:customStyle="1" w:styleId="TableHeading">
    <w:name w:val="Table Heading"/>
    <w:basedOn w:val="HeadingBase"/>
    <w:rsid w:val="001F2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E97"/>
    <w:rPr>
      <w:color w:val="0033CC"/>
      <w:u w:val="none"/>
    </w:rPr>
  </w:style>
  <w:style w:type="paragraph" w:customStyle="1" w:styleId="BodyTextRight">
    <w:name w:val="Body Text Right"/>
    <w:basedOn w:val="BodyText"/>
    <w:rsid w:val="001F2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E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E97"/>
    <w:rPr>
      <w:sz w:val="32"/>
    </w:rPr>
  </w:style>
  <w:style w:type="paragraph" w:customStyle="1" w:styleId="HeadingProcedure">
    <w:name w:val="Heading Procedure"/>
    <w:basedOn w:val="HeadingBase"/>
    <w:next w:val="Normal"/>
    <w:rsid w:val="001F2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E97"/>
    <w:pPr>
      <w:spacing w:before="60" w:after="60"/>
    </w:pPr>
  </w:style>
  <w:style w:type="paragraph" w:styleId="ListContinue">
    <w:name w:val="List Continue"/>
    <w:basedOn w:val="List"/>
    <w:rsid w:val="001F2E97"/>
    <w:pPr>
      <w:ind w:firstLine="0"/>
    </w:pPr>
  </w:style>
  <w:style w:type="paragraph" w:customStyle="1" w:styleId="ListNote">
    <w:name w:val="List Note"/>
    <w:basedOn w:val="List"/>
    <w:rsid w:val="001F2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E97"/>
    <w:rPr>
      <w:rFonts w:ascii="Courier New" w:hAnsi="Courier New"/>
    </w:rPr>
  </w:style>
  <w:style w:type="paragraph" w:customStyle="1" w:styleId="NoteBullet">
    <w:name w:val="Note Bullet"/>
    <w:basedOn w:val="Note"/>
    <w:rsid w:val="001F2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E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2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E97"/>
    <w:rPr>
      <w:b/>
      <w:smallCaps/>
    </w:rPr>
  </w:style>
  <w:style w:type="paragraph" w:customStyle="1" w:styleId="TableListNumber">
    <w:name w:val="Table List Number"/>
    <w:basedOn w:val="ListNumber"/>
    <w:rsid w:val="001F2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E97"/>
    <w:pPr>
      <w:numPr>
        <w:numId w:val="8"/>
      </w:numPr>
    </w:pPr>
  </w:style>
  <w:style w:type="paragraph" w:customStyle="1" w:styleId="ListAlpha2">
    <w:name w:val="List Alpha 2"/>
    <w:basedOn w:val="List2"/>
    <w:rsid w:val="001F2E97"/>
    <w:pPr>
      <w:numPr>
        <w:numId w:val="7"/>
      </w:numPr>
    </w:pPr>
  </w:style>
  <w:style w:type="paragraph" w:styleId="List2">
    <w:name w:val="List 2"/>
    <w:basedOn w:val="BodyText"/>
    <w:rsid w:val="001F2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E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E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2E97"/>
    <w:pPr>
      <w:numPr>
        <w:numId w:val="3"/>
      </w:numPr>
    </w:pPr>
  </w:style>
  <w:style w:type="paragraph" w:styleId="ListContinue2">
    <w:name w:val="List Continue 2"/>
    <w:basedOn w:val="List2"/>
    <w:rsid w:val="001F2E97"/>
    <w:pPr>
      <w:ind w:firstLine="0"/>
    </w:pPr>
  </w:style>
  <w:style w:type="paragraph" w:styleId="ListContinue3">
    <w:name w:val="List Continue 3"/>
    <w:basedOn w:val="List3"/>
    <w:rsid w:val="001F2E97"/>
    <w:pPr>
      <w:ind w:left="1021" w:firstLine="0"/>
    </w:pPr>
  </w:style>
  <w:style w:type="paragraph" w:styleId="ListContinue4">
    <w:name w:val="List Continue 4"/>
    <w:basedOn w:val="List4"/>
    <w:rsid w:val="001F2E97"/>
    <w:pPr>
      <w:ind w:firstLine="0"/>
    </w:pPr>
  </w:style>
  <w:style w:type="paragraph" w:styleId="ListContinue5">
    <w:name w:val="List Continue 5"/>
    <w:basedOn w:val="List5"/>
    <w:rsid w:val="001F2E97"/>
    <w:pPr>
      <w:ind w:firstLine="0"/>
    </w:pPr>
  </w:style>
  <w:style w:type="paragraph" w:styleId="ListNumber3">
    <w:name w:val="List Number 3"/>
    <w:basedOn w:val="List3"/>
    <w:rsid w:val="001F2E97"/>
    <w:pPr>
      <w:numPr>
        <w:numId w:val="4"/>
      </w:numPr>
    </w:pPr>
  </w:style>
  <w:style w:type="paragraph" w:styleId="ListNumber4">
    <w:name w:val="List Number 4"/>
    <w:basedOn w:val="List4"/>
    <w:rsid w:val="001F2E97"/>
    <w:pPr>
      <w:numPr>
        <w:numId w:val="5"/>
      </w:numPr>
    </w:pPr>
  </w:style>
  <w:style w:type="paragraph" w:styleId="ListNumber5">
    <w:name w:val="List Number 5"/>
    <w:basedOn w:val="List5"/>
    <w:rsid w:val="001F2E97"/>
    <w:pPr>
      <w:numPr>
        <w:numId w:val="6"/>
      </w:numPr>
    </w:pPr>
  </w:style>
  <w:style w:type="paragraph" w:styleId="BlockText">
    <w:name w:val="Block Text"/>
    <w:basedOn w:val="Normal"/>
    <w:rsid w:val="001F2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E97"/>
    <w:rPr>
      <w:sz w:val="16"/>
      <w:vertAlign w:val="superscript"/>
    </w:rPr>
  </w:style>
  <w:style w:type="character" w:customStyle="1" w:styleId="Symbols">
    <w:name w:val="Symbols"/>
    <w:basedOn w:val="DefaultParagraphFont"/>
    <w:rsid w:val="001F2E97"/>
    <w:rPr>
      <w:rFonts w:ascii="Symbol" w:hAnsi="Symbol"/>
    </w:rPr>
  </w:style>
  <w:style w:type="character" w:customStyle="1" w:styleId="MenuOptions">
    <w:name w:val="Menu Options"/>
    <w:basedOn w:val="DefaultParagraphFont"/>
    <w:rsid w:val="001F2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E97"/>
    <w:rPr>
      <w:b/>
    </w:rPr>
  </w:style>
  <w:style w:type="character" w:customStyle="1" w:styleId="Underlined">
    <w:name w:val="Underlined"/>
    <w:basedOn w:val="DefaultParagraphFont"/>
    <w:rsid w:val="001F2E97"/>
    <w:rPr>
      <w:u w:val="single"/>
    </w:rPr>
  </w:style>
  <w:style w:type="paragraph" w:customStyle="1" w:styleId="TableBodyTextRight">
    <w:name w:val="Table Body Text Right"/>
    <w:basedOn w:val="TableBodyText"/>
    <w:rsid w:val="001F2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E97"/>
    <w:rPr>
      <w:sz w:val="18"/>
    </w:rPr>
  </w:style>
  <w:style w:type="paragraph" w:customStyle="1" w:styleId="BodySmallRight">
    <w:name w:val="Body Small Right"/>
    <w:basedOn w:val="BodyTextRight"/>
    <w:rsid w:val="001F2E97"/>
    <w:rPr>
      <w:sz w:val="18"/>
      <w:szCs w:val="18"/>
    </w:rPr>
  </w:style>
  <w:style w:type="paragraph" w:customStyle="1" w:styleId="MarginEdition">
    <w:name w:val="Margin Edition"/>
    <w:basedOn w:val="MarginNote"/>
    <w:rsid w:val="001F2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E97"/>
    <w:rPr>
      <w:sz w:val="2"/>
      <w:szCs w:val="2"/>
    </w:rPr>
  </w:style>
  <w:style w:type="character" w:customStyle="1" w:styleId="Small">
    <w:name w:val="Small"/>
    <w:basedOn w:val="DefaultParagraphFont"/>
    <w:rsid w:val="001F2E97"/>
    <w:rPr>
      <w:sz w:val="16"/>
    </w:rPr>
  </w:style>
  <w:style w:type="paragraph" w:customStyle="1" w:styleId="WideTable">
    <w:name w:val="Wide Table"/>
    <w:basedOn w:val="Normal"/>
    <w:rsid w:val="001F2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E97"/>
  </w:style>
  <w:style w:type="paragraph" w:styleId="Quote">
    <w:name w:val="Quote"/>
    <w:basedOn w:val="Heading1"/>
    <w:link w:val="QuoteChar"/>
    <w:qFormat/>
    <w:rsid w:val="001F2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E97"/>
    <w:pPr>
      <w:pageBreakBefore/>
    </w:pPr>
  </w:style>
  <w:style w:type="paragraph" w:customStyle="1" w:styleId="Border">
    <w:name w:val="Border"/>
    <w:basedOn w:val="Normal"/>
    <w:qFormat/>
    <w:rsid w:val="001F2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E97"/>
    <w:rPr>
      <w:u w:val="single"/>
    </w:rPr>
  </w:style>
  <w:style w:type="character" w:customStyle="1" w:styleId="BoldandItalics">
    <w:name w:val="Bold and Italics"/>
    <w:qFormat/>
    <w:rsid w:val="001F2E97"/>
    <w:rPr>
      <w:b/>
      <w:i/>
      <w:u w:val="none"/>
    </w:rPr>
  </w:style>
  <w:style w:type="paragraph" w:styleId="BalloonText">
    <w:name w:val="Balloon Text"/>
    <w:basedOn w:val="Normal"/>
    <w:link w:val="BalloonTextChar"/>
    <w:rsid w:val="001F2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E97"/>
    <w:pPr>
      <w:spacing w:before="0" w:after="0"/>
    </w:pPr>
  </w:style>
  <w:style w:type="paragraph" w:customStyle="1" w:styleId="BodyTextBold">
    <w:name w:val="Body Text Bold"/>
    <w:basedOn w:val="BodyText"/>
    <w:qFormat/>
    <w:rsid w:val="001F2E97"/>
    <w:rPr>
      <w:b/>
    </w:rPr>
  </w:style>
  <w:style w:type="character" w:styleId="Hyperlink">
    <w:name w:val="Hyperlink"/>
    <w:basedOn w:val="DefaultParagraphFont"/>
    <w:uiPriority w:val="99"/>
    <w:unhideWhenUsed/>
    <w:rsid w:val="004761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687</Words>
  <Characters>4257</Characters>
  <Application>Microsoft Office Word</Application>
  <DocSecurity>0</DocSecurity>
  <Lines>250</Lines>
  <Paragraphs>145</Paragraphs>
  <ScaleCrop>false</ScaleCrop>
  <Company>Author-it Software Corporation Ltd.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MEM50005 Refuel vessels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2023-02-03T08:13:00Z</dcterms:modified>
</cp:coreProperties>
</file>