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308" w:rsidP="003A4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MEM50001 Classify recreational boating technologies and features</w:t>
      </w:r>
      <w:r>
        <w:fldChar w:fldCharType="end"/>
      </w:r>
    </w:p>
    <w:p w:rsidR="003A4308" w:rsidP="003A4308">
      <w:pPr>
        <w:pStyle w:val="Version"/>
        <w:sectPr w:rsidSect="003E67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6784" w:rsidP="003E6784">
      <w:pPr>
        <w:pStyle w:val="SuperHeading"/>
      </w:pPr>
      <w:r w:rsidRPr="003E6784">
        <w:t>Assessment Requirements for MEM50001 Classify recreational boating technologies and features</w:t>
      </w:r>
    </w:p>
    <w:p w:rsidR="00000000" w:rsidRPr="003E6784" w:rsidP="003E6784">
      <w:pPr>
        <w:pStyle w:val="Heading1"/>
      </w:pPr>
      <w:bookmarkStart w:id="1" w:name="O_952372"/>
      <w:bookmarkEnd w:id="1"/>
      <w:r w:rsidRPr="003E6784">
        <w:t>Modification History</w:t>
      </w:r>
    </w:p>
    <w:p w:rsidR="00000000" w:rsidRPr="003E6784" w:rsidP="003A4308">
      <w:pPr>
        <w:pStyle w:val="BodyText"/>
      </w:pPr>
      <w:r w:rsidRPr="003E6784">
        <w:t xml:space="preserve">Release 1. Supersedes and is equivalent to MEM50001B Classify recreational boating techniques and features </w:t>
      </w:r>
    </w:p>
    <w:p w:rsidR="00000000" w:rsidRPr="003E6784" w:rsidP="003E6784">
      <w:pPr>
        <w:pStyle w:val="Heading1"/>
      </w:pPr>
      <w:bookmarkStart w:id="2" w:name="O_952375"/>
      <w:bookmarkEnd w:id="2"/>
      <w:r w:rsidRPr="003E6784">
        <w:t>Performance Evidence</w:t>
      </w:r>
    </w:p>
    <w:p w:rsidR="00000000" w:rsidRPr="003E6784" w:rsidP="003A4308">
      <w:pPr>
        <w:pStyle w:val="BodyText"/>
      </w:pPr>
      <w:r w:rsidRPr="003E6784">
        <w:t>Evidence required to demonstrate competence in this unit must be relevant to and satisfy the requirements of the elements and performance criteria on at least two (2) occasions and include:</w:t>
      </w:r>
    </w:p>
    <w:p w:rsidR="00000000" w:rsidRPr="003E6784" w:rsidP="003E6784">
      <w:pPr>
        <w:pStyle w:val="ListBullet"/>
      </w:pPr>
      <w:r w:rsidRPr="003E6784">
        <w:t>following work instructions, standard operat</w:t>
      </w:r>
      <w:r w:rsidRPr="003E6784">
        <w:t xml:space="preserve">ing procedures (SOPs) and safe work practices </w:t>
      </w:r>
    </w:p>
    <w:p w:rsidR="00000000" w:rsidRPr="003E6784" w:rsidP="003E6784">
      <w:pPr>
        <w:pStyle w:val="ListBullet"/>
      </w:pPr>
      <w:r w:rsidRPr="003E6784">
        <w:t>discerning differences in hull shapes and types as well as construction materials, propulsion and steering systems, power plants, ancillary systems, fittings and fastenings</w:t>
      </w:r>
    </w:p>
    <w:p w:rsidR="00000000" w:rsidRPr="003E6784" w:rsidP="003E6784">
      <w:pPr>
        <w:pStyle w:val="ListBullet"/>
      </w:pPr>
      <w:r w:rsidRPr="003E6784">
        <w:t>locating, reading and interpreting i</w:t>
      </w:r>
      <w:r w:rsidRPr="003E6784">
        <w:t>nformation on identification and compliance plates, registration tags, engine and other component identification numbers</w:t>
      </w:r>
    </w:p>
    <w:p w:rsidR="00000000" w:rsidRPr="003E6784" w:rsidP="003E6784">
      <w:pPr>
        <w:pStyle w:val="ListBullet"/>
      </w:pPr>
      <w:r w:rsidRPr="003E6784">
        <w:t>identifying different types of power plants, engine cooling and lubrication systems and transmission types.</w:t>
      </w:r>
    </w:p>
    <w:p w:rsidR="00000000" w:rsidRPr="003E6784" w:rsidP="003E6784">
      <w:pPr>
        <w:pStyle w:val="AllowPageBreak"/>
      </w:pPr>
    </w:p>
    <w:p w:rsidR="00000000" w:rsidRPr="003E6784" w:rsidP="003E6784">
      <w:pPr>
        <w:pStyle w:val="Heading1"/>
      </w:pPr>
      <w:bookmarkStart w:id="3" w:name="O_952374"/>
      <w:bookmarkEnd w:id="3"/>
      <w:r w:rsidRPr="003E6784">
        <w:t xml:space="preserve">Knowledge </w:t>
      </w:r>
      <w:r w:rsidRPr="003E6784">
        <w:t>Evidence</w:t>
      </w:r>
    </w:p>
    <w:p w:rsidR="00000000" w:rsidRPr="003E6784" w:rsidP="003A4308">
      <w:pPr>
        <w:pStyle w:val="BodyText"/>
      </w:pPr>
      <w:r w:rsidRPr="003E6784">
        <w:t>Evidence required to demonstrate the required knowledge for this unit must be relevant to and satisfy the requirements of the elements and performance criteria and include knowledge of:</w:t>
      </w:r>
    </w:p>
    <w:p w:rsidR="00000000" w:rsidRPr="003E6784" w:rsidP="003E6784">
      <w:pPr>
        <w:pStyle w:val="ListBullet"/>
      </w:pPr>
      <w:r w:rsidRPr="003E6784">
        <w:t xml:space="preserve">safe work practices and procedures </w:t>
      </w:r>
    </w:p>
    <w:p w:rsidR="00000000" w:rsidRPr="003E6784" w:rsidP="003E6784">
      <w:pPr>
        <w:pStyle w:val="ListBullet"/>
      </w:pPr>
      <w:r w:rsidRPr="003E6784">
        <w:t xml:space="preserve">typical hull shapes and </w:t>
      </w:r>
      <w:r w:rsidRPr="003E6784">
        <w:t>design features of recreational sail, powered and non-powered craft, including hard chine, round bilge, planing hulls, multi-hulls, inflatables, rigid and swing keel and centre board</w:t>
      </w:r>
    </w:p>
    <w:p w:rsidR="00000000" w:rsidRPr="003E6784" w:rsidP="003E6784">
      <w:pPr>
        <w:pStyle w:val="ListBullet"/>
      </w:pPr>
      <w:r w:rsidRPr="003E6784">
        <w:t>typical superstructure configurations and general deck layouts of recreat</w:t>
      </w:r>
      <w:r w:rsidRPr="003E6784">
        <w:t>ional sail, powered and non-powered craft, including fully open, flush decks, bow riders, half cabins and fly bridges</w:t>
      </w:r>
    </w:p>
    <w:p w:rsidR="00000000" w:rsidRPr="003E6784" w:rsidP="003E6784">
      <w:pPr>
        <w:pStyle w:val="ListBullet"/>
      </w:pPr>
      <w:r w:rsidRPr="003E6784">
        <w:t>typical sail and mast arrangements for recreational sailing craft, including mast configurations, basic rigging arrangements and sail type</w:t>
      </w:r>
      <w:r w:rsidRPr="003E6784">
        <w:t xml:space="preserve">s, including mainsail, genoa and spinnaker </w:t>
      </w:r>
    </w:p>
    <w:p w:rsidR="00000000" w:rsidRPr="003E6784" w:rsidP="003E6784">
      <w:pPr>
        <w:pStyle w:val="ListBullet"/>
      </w:pPr>
      <w:r w:rsidRPr="003E6784">
        <w:t>construction materials, including glass reinforced plastics and composite materials, aluminium and steel and types of internal combustion engines used for inboard and outboard propulsion systems, including two an</w:t>
      </w:r>
      <w:r w:rsidRPr="003E6784">
        <w:t>d four cycle; different cylinder layouts and different fuel types, including petrol and diesel, liquid or air cooling, starting systems and lubrication methods</w:t>
      </w:r>
    </w:p>
    <w:p w:rsidR="00000000" w:rsidRPr="003E6784" w:rsidP="003E6784">
      <w:pPr>
        <w:pStyle w:val="ListBullet"/>
      </w:pPr>
      <w:r w:rsidRPr="003E6784">
        <w:t>propulsion systems, including single and multi-screw, jet drives, clutches and gearboxes, includ</w:t>
      </w:r>
      <w:r w:rsidRPr="003E6784">
        <w:t>ing stern drives and outboard drives as well as vee drives and bow thrusters</w:t>
      </w:r>
    </w:p>
    <w:p w:rsidR="00000000" w:rsidRPr="003E6784" w:rsidP="003E6784">
      <w:pPr>
        <w:pStyle w:val="ListBullet"/>
      </w:pPr>
      <w:r w:rsidRPr="003E6784">
        <w:t>steering systems, including tillers, rods/chains/cable drives, hydraulic and rudder types</w:t>
      </w:r>
    </w:p>
    <w:p w:rsidR="00000000" w:rsidRPr="003E6784" w:rsidP="003E6784">
      <w:pPr>
        <w:pStyle w:val="ListBullet"/>
      </w:pPr>
      <w:r w:rsidRPr="003E6784">
        <w:t>features and functions of attached navigation and communication devices, including naviga</w:t>
      </w:r>
      <w:r w:rsidRPr="003E6784">
        <w:t>tional lighting, compass, global positioning system (GPS), radar, depth sounder, logs, radios and audible alarms</w:t>
      </w:r>
    </w:p>
    <w:p w:rsidR="00000000" w:rsidRPr="003E6784" w:rsidP="003E6784">
      <w:pPr>
        <w:pStyle w:val="ListBullet"/>
      </w:pPr>
      <w:r w:rsidRPr="003E6784">
        <w:t>features and functions of trailer components, including winches, couplings, load securing, braking, suspension and electrical systems</w:t>
      </w:r>
    </w:p>
    <w:p w:rsidR="00000000" w:rsidRPr="003E6784" w:rsidP="003E6784">
      <w:pPr>
        <w:pStyle w:val="ListBullet"/>
      </w:pPr>
      <w:r w:rsidRPr="003E6784">
        <w:t>use of information on identification and compliance plates, registration tags, engine and other component identification numbers.</w:t>
      </w:r>
    </w:p>
    <w:p w:rsidR="00000000" w:rsidRPr="003E6784" w:rsidP="003E6784">
      <w:pPr>
        <w:pStyle w:val="AllowPageBreak"/>
      </w:pPr>
    </w:p>
    <w:p w:rsidR="00000000" w:rsidRPr="003E6784" w:rsidP="003E6784">
      <w:pPr>
        <w:pStyle w:val="Heading1"/>
      </w:pPr>
      <w:bookmarkStart w:id="4" w:name="O_952373"/>
      <w:bookmarkEnd w:id="4"/>
      <w:r w:rsidRPr="003E6784">
        <w:t>Assessment Conditions</w:t>
      </w:r>
    </w:p>
    <w:p w:rsidR="00000000" w:rsidRPr="003E6784" w:rsidP="003E6784">
      <w:pPr>
        <w:pStyle w:val="ListBullet"/>
      </w:pPr>
      <w:r w:rsidRPr="003E6784">
        <w:t>Assessors must:</w:t>
      </w:r>
    </w:p>
    <w:p w:rsidR="00000000" w:rsidRPr="003E6784" w:rsidP="003E6784">
      <w:pPr>
        <w:pStyle w:val="ListBullet2"/>
      </w:pPr>
      <w:r w:rsidRPr="003E6784">
        <w:t>have vocational competency in classifying recreational boating techni</w:t>
      </w:r>
      <w:r w:rsidRPr="003E6784">
        <w:t>ques and features at least to the level being assessed with relevant industry knowledge and experience</w:t>
      </w:r>
    </w:p>
    <w:p w:rsidR="00000000" w:rsidRPr="003E6784" w:rsidP="003E6784">
      <w:pPr>
        <w:pStyle w:val="ListBullet2"/>
      </w:pPr>
      <w:r w:rsidRPr="003E6784">
        <w:t xml:space="preserve">satisfy the assessor requirements in the </w:t>
      </w:r>
      <w:r w:rsidRPr="003E6784">
        <w:rPr>
          <w:rStyle w:val="Emphasis"/>
        </w:rPr>
        <w:t xml:space="preserve">Standards for Registered Training Organisations 2015 or its replacement </w:t>
      </w:r>
      <w:r w:rsidRPr="003E6784">
        <w:t xml:space="preserve">and comply with the </w:t>
      </w:r>
      <w:r w:rsidRPr="003E6784">
        <w:rPr>
          <w:rStyle w:val="Emphasis"/>
        </w:rPr>
        <w:t xml:space="preserve">National Vocational </w:t>
      </w:r>
      <w:r w:rsidRPr="003E6784">
        <w:rPr>
          <w:rStyle w:val="Emphasis"/>
        </w:rPr>
        <w:t xml:space="preserve">Education and Training Regulator Act 2011, </w:t>
      </w:r>
      <w:r w:rsidRPr="003E6784">
        <w:t>its replacement</w:t>
      </w:r>
      <w:r w:rsidRPr="003E6784">
        <w:rPr>
          <w:rStyle w:val="Emphasis"/>
        </w:rPr>
        <w:t xml:space="preserve"> </w:t>
      </w:r>
      <w:r w:rsidRPr="003E6784">
        <w:t>or equivalent legislation covering VET regulation in a non-referring state/territory as the case requires</w:t>
      </w:r>
    </w:p>
    <w:p w:rsidR="00000000" w:rsidRPr="003E6784" w:rsidP="003E6784">
      <w:pPr>
        <w:pStyle w:val="ListBullet"/>
      </w:pPr>
      <w:r w:rsidRPr="003E6784">
        <w:t>Where possible assessment must occur in operational workplace situations. Where this is no</w:t>
      </w:r>
      <w:r w:rsidRPr="003E6784">
        <w:t>t possible or where personal safety or environmental damage are limiting factors, assessment must occur in a sufficiently rigorous simulated environment that reflects realistic operational workplace conditions. This must cover all aspects of workplace perf</w:t>
      </w:r>
      <w:r w:rsidRPr="003E6784">
        <w:t>ormance, including environment, task skills, task management skills, contingency management skills and job role environment skills</w:t>
      </w:r>
    </w:p>
    <w:p w:rsidR="00000000" w:rsidRPr="003E6784" w:rsidP="003E6784">
      <w:pPr>
        <w:pStyle w:val="ListBullet"/>
      </w:pPr>
      <w:r w:rsidRPr="003E6784">
        <w:t>Conditions for assessment must include access to all tools, equipment, materials and documentation required, including releva</w:t>
      </w:r>
      <w:r w:rsidRPr="003E6784">
        <w:t>nt workplace procedures, product and manufacturing specifications</w:t>
      </w:r>
    </w:p>
    <w:p w:rsidR="00000000" w:rsidRPr="003E6784" w:rsidP="003E6784">
      <w:pPr>
        <w:pStyle w:val="ListBullet"/>
      </w:pPr>
      <w:r w:rsidRPr="003E6784">
        <w:t>Assessment processes and techniques must be appropriate to the language, literacy and numeracy requirements of the work being performed and the needs of the candidate.</w:t>
      </w:r>
    </w:p>
    <w:p w:rsidR="00000000" w:rsidRPr="003E6784" w:rsidP="003E6784">
      <w:pPr>
        <w:pStyle w:val="AllowPageBreak"/>
      </w:pPr>
    </w:p>
    <w:p w:rsidR="00000000" w:rsidRPr="003E6784" w:rsidP="003E6784">
      <w:pPr>
        <w:pStyle w:val="Heading1"/>
      </w:pPr>
      <w:bookmarkStart w:id="5" w:name="O_952371"/>
      <w:bookmarkEnd w:id="5"/>
      <w:r w:rsidRPr="003E6784">
        <w:t>Links</w:t>
      </w:r>
    </w:p>
    <w:p w:rsidR="00000000" w:rsidRPr="003E6784" w:rsidP="003A4308">
      <w:pPr>
        <w:pStyle w:val="BodyText"/>
      </w:pPr>
      <w:r w:rsidRPr="003E67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64A2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E6784" w:rsidP="003E6784"/>
    <w:sectPr w:rsidSect="003E67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7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784" w:rsidRPr="003A4308" w:rsidP="003A4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7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308" w:rsidP="003E67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4308" w:rsidP="003E67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4308" w:rsidP="003E67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7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784" w:rsidRPr="003A4308" w:rsidP="003A4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7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308" w:rsidRPr="002D2AF8" w:rsidP="003E67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MEM50001 Classify recreational boating technologies and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A4308" w:rsidP="003E67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3847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9A1D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107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7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7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7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7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7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7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7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7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7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7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7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784"/>
  </w:style>
  <w:style w:type="character" w:customStyle="1" w:styleId="Heading1Char">
    <w:name w:val="Heading 1 Char"/>
    <w:basedOn w:val="DefaultParagraphFont"/>
    <w:link w:val="Heading1"/>
    <w:rsid w:val="003E67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7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7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67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67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6784"/>
    <w:rPr>
      <w:i/>
    </w:rPr>
  </w:style>
  <w:style w:type="paragraph" w:customStyle="1" w:styleId="SuperHeading">
    <w:name w:val="SuperHeading"/>
    <w:basedOn w:val="Normal"/>
    <w:rsid w:val="003E67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7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67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7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7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7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7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7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7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7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7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7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7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7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7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7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7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67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6784"/>
    <w:rPr>
      <w:b/>
      <w:spacing w:val="0"/>
    </w:rPr>
  </w:style>
  <w:style w:type="paragraph" w:customStyle="1" w:styleId="SuperTitle">
    <w:name w:val="SuperTitle"/>
    <w:basedOn w:val="Title"/>
    <w:rsid w:val="003E67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7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7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67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7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7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7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7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7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7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7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7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67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7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7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784"/>
  </w:style>
  <w:style w:type="paragraph" w:styleId="TableofFigures">
    <w:name w:val="table of figures"/>
    <w:basedOn w:val="Normal"/>
    <w:next w:val="Normal"/>
    <w:semiHidden/>
    <w:rsid w:val="003E67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7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6784"/>
    <w:rPr>
      <w:rFonts w:ascii="Wingdings" w:hAnsi="Wingdings"/>
    </w:rPr>
  </w:style>
  <w:style w:type="paragraph" w:customStyle="1" w:styleId="TableHeading">
    <w:name w:val="Table Heading"/>
    <w:basedOn w:val="HeadingBase"/>
    <w:rsid w:val="003E67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784"/>
    <w:rPr>
      <w:color w:val="0033CC"/>
      <w:u w:val="none"/>
    </w:rPr>
  </w:style>
  <w:style w:type="paragraph" w:customStyle="1" w:styleId="BodyTextRight">
    <w:name w:val="Body Text Right"/>
    <w:basedOn w:val="BodyText"/>
    <w:rsid w:val="003E67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7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7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7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7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7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784"/>
    <w:rPr>
      <w:sz w:val="32"/>
    </w:rPr>
  </w:style>
  <w:style w:type="paragraph" w:customStyle="1" w:styleId="HeadingProcedure">
    <w:name w:val="Heading Procedure"/>
    <w:basedOn w:val="HeadingBase"/>
    <w:next w:val="Normal"/>
    <w:rsid w:val="003E67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784"/>
    <w:pPr>
      <w:spacing w:before="60" w:after="60"/>
    </w:pPr>
  </w:style>
  <w:style w:type="paragraph" w:styleId="ListContinue">
    <w:name w:val="List Continue"/>
    <w:basedOn w:val="List"/>
    <w:rsid w:val="003E6784"/>
    <w:pPr>
      <w:ind w:firstLine="0"/>
    </w:pPr>
  </w:style>
  <w:style w:type="paragraph" w:customStyle="1" w:styleId="ListNote">
    <w:name w:val="List Note"/>
    <w:basedOn w:val="List"/>
    <w:rsid w:val="003E67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7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7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784"/>
    <w:rPr>
      <w:rFonts w:ascii="Courier New" w:hAnsi="Courier New"/>
    </w:rPr>
  </w:style>
  <w:style w:type="paragraph" w:customStyle="1" w:styleId="NoteBullet">
    <w:name w:val="Note Bullet"/>
    <w:basedOn w:val="Note"/>
    <w:rsid w:val="003E67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7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7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7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7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67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7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784"/>
    <w:rPr>
      <w:b/>
      <w:smallCaps/>
    </w:rPr>
  </w:style>
  <w:style w:type="paragraph" w:customStyle="1" w:styleId="TableListNumber">
    <w:name w:val="Table List Number"/>
    <w:basedOn w:val="ListNumber"/>
    <w:rsid w:val="003E67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7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784"/>
    <w:pPr>
      <w:numPr>
        <w:numId w:val="9"/>
      </w:numPr>
    </w:pPr>
  </w:style>
  <w:style w:type="paragraph" w:customStyle="1" w:styleId="ListAlpha2">
    <w:name w:val="List Alpha 2"/>
    <w:basedOn w:val="List2"/>
    <w:rsid w:val="003E6784"/>
    <w:pPr>
      <w:numPr>
        <w:numId w:val="8"/>
      </w:numPr>
    </w:pPr>
  </w:style>
  <w:style w:type="paragraph" w:styleId="List2">
    <w:name w:val="List 2"/>
    <w:basedOn w:val="BodyText"/>
    <w:rsid w:val="003E67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7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7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7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7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7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6784"/>
    <w:pPr>
      <w:numPr>
        <w:numId w:val="4"/>
      </w:numPr>
    </w:pPr>
  </w:style>
  <w:style w:type="paragraph" w:styleId="ListContinue2">
    <w:name w:val="List Continue 2"/>
    <w:basedOn w:val="List2"/>
    <w:rsid w:val="003E6784"/>
    <w:pPr>
      <w:ind w:firstLine="0"/>
    </w:pPr>
  </w:style>
  <w:style w:type="paragraph" w:styleId="ListContinue3">
    <w:name w:val="List Continue 3"/>
    <w:basedOn w:val="List3"/>
    <w:rsid w:val="003E6784"/>
    <w:pPr>
      <w:ind w:left="1021" w:firstLine="0"/>
    </w:pPr>
  </w:style>
  <w:style w:type="paragraph" w:styleId="ListContinue4">
    <w:name w:val="List Continue 4"/>
    <w:basedOn w:val="List4"/>
    <w:rsid w:val="003E6784"/>
    <w:pPr>
      <w:ind w:firstLine="0"/>
    </w:pPr>
  </w:style>
  <w:style w:type="paragraph" w:styleId="ListContinue5">
    <w:name w:val="List Continue 5"/>
    <w:basedOn w:val="List5"/>
    <w:rsid w:val="003E6784"/>
    <w:pPr>
      <w:ind w:firstLine="0"/>
    </w:pPr>
  </w:style>
  <w:style w:type="paragraph" w:styleId="ListNumber3">
    <w:name w:val="List Number 3"/>
    <w:basedOn w:val="List3"/>
    <w:rsid w:val="003E6784"/>
    <w:pPr>
      <w:numPr>
        <w:numId w:val="5"/>
      </w:numPr>
    </w:pPr>
  </w:style>
  <w:style w:type="paragraph" w:styleId="ListNumber4">
    <w:name w:val="List Number 4"/>
    <w:basedOn w:val="List4"/>
    <w:rsid w:val="003E6784"/>
    <w:pPr>
      <w:numPr>
        <w:numId w:val="6"/>
      </w:numPr>
    </w:pPr>
  </w:style>
  <w:style w:type="paragraph" w:styleId="ListNumber5">
    <w:name w:val="List Number 5"/>
    <w:basedOn w:val="List5"/>
    <w:rsid w:val="003E6784"/>
    <w:pPr>
      <w:numPr>
        <w:numId w:val="7"/>
      </w:numPr>
    </w:pPr>
  </w:style>
  <w:style w:type="paragraph" w:styleId="BlockText">
    <w:name w:val="Block Text"/>
    <w:basedOn w:val="Normal"/>
    <w:rsid w:val="003E67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7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784"/>
    <w:rPr>
      <w:sz w:val="16"/>
      <w:vertAlign w:val="superscript"/>
    </w:rPr>
  </w:style>
  <w:style w:type="character" w:customStyle="1" w:styleId="Symbols">
    <w:name w:val="Symbols"/>
    <w:basedOn w:val="DefaultParagraphFont"/>
    <w:rsid w:val="003E6784"/>
    <w:rPr>
      <w:rFonts w:ascii="Symbol" w:hAnsi="Symbol"/>
    </w:rPr>
  </w:style>
  <w:style w:type="character" w:customStyle="1" w:styleId="MenuOptions">
    <w:name w:val="Menu Options"/>
    <w:basedOn w:val="DefaultParagraphFont"/>
    <w:rsid w:val="003E67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784"/>
    <w:rPr>
      <w:b/>
    </w:rPr>
  </w:style>
  <w:style w:type="character" w:customStyle="1" w:styleId="Underlined">
    <w:name w:val="Underlined"/>
    <w:basedOn w:val="DefaultParagraphFont"/>
    <w:rsid w:val="003E6784"/>
    <w:rPr>
      <w:u w:val="single"/>
    </w:rPr>
  </w:style>
  <w:style w:type="paragraph" w:customStyle="1" w:styleId="TableBodyTextRight">
    <w:name w:val="Table Body Text Right"/>
    <w:basedOn w:val="TableBodyText"/>
    <w:rsid w:val="003E67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784"/>
    <w:rPr>
      <w:sz w:val="18"/>
    </w:rPr>
  </w:style>
  <w:style w:type="paragraph" w:customStyle="1" w:styleId="BodySmallRight">
    <w:name w:val="Body Small Right"/>
    <w:basedOn w:val="BodyTextRight"/>
    <w:rsid w:val="003E6784"/>
    <w:rPr>
      <w:sz w:val="18"/>
      <w:szCs w:val="18"/>
    </w:rPr>
  </w:style>
  <w:style w:type="paragraph" w:customStyle="1" w:styleId="MarginEdition">
    <w:name w:val="Margin Edition"/>
    <w:basedOn w:val="MarginNote"/>
    <w:rsid w:val="003E67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784"/>
    <w:rPr>
      <w:sz w:val="2"/>
      <w:szCs w:val="2"/>
    </w:rPr>
  </w:style>
  <w:style w:type="character" w:customStyle="1" w:styleId="Small">
    <w:name w:val="Small"/>
    <w:basedOn w:val="DefaultParagraphFont"/>
    <w:rsid w:val="003E6784"/>
    <w:rPr>
      <w:sz w:val="16"/>
    </w:rPr>
  </w:style>
  <w:style w:type="paragraph" w:customStyle="1" w:styleId="WideTable">
    <w:name w:val="Wide Table"/>
    <w:basedOn w:val="Normal"/>
    <w:rsid w:val="003E67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784"/>
  </w:style>
  <w:style w:type="paragraph" w:styleId="Quote">
    <w:name w:val="Quote"/>
    <w:basedOn w:val="Heading1"/>
    <w:link w:val="QuoteChar"/>
    <w:qFormat/>
    <w:rsid w:val="003E67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7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784"/>
    <w:pPr>
      <w:pageBreakBefore/>
    </w:pPr>
  </w:style>
  <w:style w:type="paragraph" w:customStyle="1" w:styleId="Border">
    <w:name w:val="Border"/>
    <w:basedOn w:val="Normal"/>
    <w:qFormat/>
    <w:rsid w:val="003E67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7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7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7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7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7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7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7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7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784"/>
    <w:rPr>
      <w:u w:val="single"/>
    </w:rPr>
  </w:style>
  <w:style w:type="character" w:customStyle="1" w:styleId="BoldandItalics">
    <w:name w:val="Bold and Italics"/>
    <w:qFormat/>
    <w:rsid w:val="003E6784"/>
    <w:rPr>
      <w:b/>
      <w:i/>
      <w:u w:val="none"/>
    </w:rPr>
  </w:style>
  <w:style w:type="paragraph" w:styleId="BalloonText">
    <w:name w:val="Balloon Text"/>
    <w:basedOn w:val="Normal"/>
    <w:link w:val="BalloonTextChar"/>
    <w:rsid w:val="003E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7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7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7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7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7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784"/>
    <w:pPr>
      <w:spacing w:before="0" w:after="0"/>
    </w:pPr>
  </w:style>
  <w:style w:type="paragraph" w:customStyle="1" w:styleId="BodyTextBold">
    <w:name w:val="Body Text Bold"/>
    <w:basedOn w:val="BodyText"/>
    <w:qFormat/>
    <w:rsid w:val="003E6784"/>
    <w:rPr>
      <w:b/>
    </w:rPr>
  </w:style>
  <w:style w:type="character" w:styleId="Hyperlink">
    <w:name w:val="Hyperlink"/>
    <w:basedOn w:val="DefaultParagraphFont"/>
    <w:uiPriority w:val="99"/>
    <w:unhideWhenUsed/>
    <w:rsid w:val="003A4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4076</Characters>
  <Application>Microsoft Office Word</Application>
  <DocSecurity>0</DocSecurity>
  <Lines>79</Lines>
  <Paragraphs>37</Paragraphs>
  <ScaleCrop>false</ScaleCrop>
  <Company>Author-it Software Corporation Ltd.</Company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MEM50001 Classify recreational boating technologies and features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2023-02-03T07:02:00Z</dcterms:created>
  <dcterms:modified xsi:type="dcterms:W3CDTF">2023-02-03T07:02:00Z</dcterms:modified>
</cp:coreProperties>
</file>