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0CE" w:rsidP="006C70CE">
      <w:pPr>
        <w:pStyle w:val="Title"/>
      </w:pPr>
      <w:r>
        <w:fldChar w:fldCharType="begin"/>
      </w:r>
      <w:r>
        <w:instrText xml:space="preserve"> TITLE   \* MERGEFORMAT </w:instrText>
      </w:r>
      <w:r>
        <w:fldChar w:fldCharType="separate"/>
      </w:r>
      <w:r>
        <w:t>MEM48033 Apply chemistry principles to materials used in manufacturing and engineering processes</w:t>
      </w:r>
      <w:r>
        <w:fldChar w:fldCharType="end"/>
      </w:r>
    </w:p>
    <w:p w:rsidR="006C70CE" w:rsidP="006C70CE">
      <w:pPr>
        <w:pStyle w:val="Version"/>
        <w:sectPr w:rsidSect="002845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539" w:rsidP="00284539">
      <w:pPr>
        <w:pStyle w:val="SuperHeading"/>
      </w:pPr>
      <w:r w:rsidRPr="00284539">
        <w:t>MEM48033 Apply chemistry principles to materials used in manufacturing and engineering processes</w:t>
      </w:r>
    </w:p>
    <w:p w:rsidR="00000000" w:rsidRPr="00284539" w:rsidP="00284539">
      <w:pPr>
        <w:pStyle w:val="Heading1"/>
      </w:pPr>
      <w:bookmarkStart w:id="1" w:name="O_1274333"/>
      <w:bookmarkEnd w:id="1"/>
      <w:r w:rsidRPr="00284539">
        <w:t>Modification History</w:t>
      </w:r>
    </w:p>
    <w:p w:rsidR="00000000" w:rsidRPr="00284539" w:rsidP="006C70CE">
      <w:pPr>
        <w:pStyle w:val="BodyText"/>
      </w:pPr>
      <w:r w:rsidRPr="00284539">
        <w:t>Release 1. New unit.</w:t>
      </w:r>
    </w:p>
    <w:p w:rsidR="00000000" w:rsidRPr="00284539" w:rsidP="00284539">
      <w:pPr>
        <w:pStyle w:val="Heading1"/>
      </w:pPr>
      <w:bookmarkStart w:id="2" w:name="O_1274334"/>
      <w:bookmarkEnd w:id="2"/>
      <w:r w:rsidRPr="00284539">
        <w:t>Application</w:t>
      </w:r>
    </w:p>
    <w:p w:rsidR="00000000" w:rsidRPr="00284539" w:rsidP="006C70CE">
      <w:pPr>
        <w:pStyle w:val="BodyText"/>
      </w:pPr>
      <w:r w:rsidRPr="00284539">
        <w:t>This unit of competency defines the chemistry skills and knowledge required to support manufacturing and engineering processes including materials selection, monitoring of materials forming and processing, and materials recycling. The unit applies to techn</w:t>
      </w:r>
      <w:r w:rsidRPr="00284539">
        <w:t>icians working in a range of industrial environments.</w:t>
      </w:r>
    </w:p>
    <w:p w:rsidR="006C70CE" w:rsidP="006C70CE">
      <w:pPr>
        <w:pStyle w:val="BodyText"/>
      </w:pPr>
      <w:r w:rsidRPr="00284539">
        <w:t>No licensing, legislative or certification requirements apply to this unit at the time of publication.</w:t>
      </w:r>
    </w:p>
    <w:p w:rsidR="00000000" w:rsidRPr="00284539" w:rsidP="00284539">
      <w:pPr>
        <w:pStyle w:val="Heading1"/>
      </w:pPr>
      <w:bookmarkStart w:id="3" w:name="O_1274335"/>
      <w:bookmarkEnd w:id="3"/>
      <w:r w:rsidRPr="00284539">
        <w:t>Pre-requisite Unit</w:t>
      </w:r>
    </w:p>
    <w:p w:rsidR="00000000" w:rsidRPr="00284539" w:rsidP="006C70CE">
      <w:pPr>
        <w:pStyle w:val="BodyText"/>
      </w:pPr>
      <w:r w:rsidRPr="00284539">
        <w:t>Nil.</w:t>
      </w:r>
    </w:p>
    <w:p w:rsidR="00000000" w:rsidRPr="00284539" w:rsidP="00284539">
      <w:pPr>
        <w:pStyle w:val="Heading1"/>
      </w:pPr>
      <w:bookmarkStart w:id="4" w:name="O_1274336"/>
      <w:bookmarkEnd w:id="4"/>
      <w:r w:rsidRPr="00284539">
        <w:t>Competency Field</w:t>
      </w:r>
    </w:p>
    <w:p w:rsidR="006C70CE" w:rsidP="006C70CE">
      <w:pPr>
        <w:pStyle w:val="BodyText"/>
      </w:pPr>
      <w:r w:rsidRPr="00284539">
        <w:t>Materials</w:t>
      </w:r>
    </w:p>
    <w:p w:rsidR="00000000" w:rsidRPr="00284539" w:rsidP="00284539">
      <w:pPr>
        <w:pStyle w:val="Heading1"/>
      </w:pPr>
      <w:bookmarkStart w:id="5" w:name="O_1274338"/>
      <w:bookmarkEnd w:id="5"/>
      <w:r w:rsidRPr="00284539">
        <w:t>Elements and Performance Criteria</w:t>
      </w:r>
    </w:p>
    <w:tbl>
      <w:tblPr>
        <w:tblW w:w="9639" w:type="dxa"/>
        <w:tblLayout w:type="fixed"/>
        <w:tblCellMar>
          <w:left w:w="62" w:type="dxa"/>
          <w:right w:w="62" w:type="dxa"/>
        </w:tblCellMar>
        <w:tblLook w:val="0000"/>
      </w:tblPr>
      <w:tblGrid>
        <w:gridCol w:w="2502"/>
        <w:gridCol w:w="7137"/>
      </w:tblGrid>
      <w:tr w:rsidTr="006C70C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4539" w:rsidP="00284539">
            <w:pPr>
              <w:pStyle w:val="BodyText"/>
            </w:pPr>
            <w:r w:rsidRPr="0028453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4539">
            <w:pPr>
              <w:pStyle w:val="BodyText"/>
              <w:rPr>
                <w:lang w:val="en-NZ"/>
              </w:rPr>
            </w:pPr>
            <w:r w:rsidRPr="00284539">
              <w:rPr>
                <w:rStyle w:val="SpecialBold"/>
              </w:rPr>
              <w:t>Performance Criteria</w:t>
            </w:r>
          </w:p>
        </w:tc>
      </w:tr>
      <w:tr w:rsidTr="006C70C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Performance criteria describe the performance needed to demonstrate achievement of the element.</w:t>
            </w:r>
          </w:p>
        </w:tc>
      </w:tr>
      <w:tr w:rsidTr="006C7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1. Identify chemical characteristics of materials used in a design or manufacturing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39" w:rsidP="00284539">
            <w:pPr>
              <w:pStyle w:val="BodyText"/>
            </w:pPr>
            <w:r w:rsidRPr="00284539">
              <w:t xml:space="preserve">1.1 Classify materials used in a design or manufacturing process into elements, organic and inorganic compounds, and mixtures </w:t>
            </w:r>
          </w:p>
          <w:p w:rsidR="00000000" w:rsidRPr="00284539" w:rsidP="00284539">
            <w:pPr>
              <w:pStyle w:val="BodyText"/>
            </w:pPr>
            <w:r w:rsidRPr="00284539">
              <w:t>1.2 Use chemical formulae to describe</w:t>
            </w:r>
            <w:r w:rsidRPr="00284539">
              <w:t xml:space="preserve"> design or manufacturing process into elements and compounds</w:t>
            </w:r>
          </w:p>
          <w:p w:rsidR="00000000" w:rsidRPr="00284539" w:rsidP="00284539">
            <w:pPr>
              <w:pStyle w:val="BodyText"/>
            </w:pPr>
            <w:r w:rsidRPr="00284539">
              <w:t>1.3 Identify the design and manufacturing materials’ atomic structure including sub-atomic particles, charge, atomic number, mass number, and valency</w:t>
            </w:r>
          </w:p>
          <w:p w:rsidR="00000000" w:rsidRPr="00284539" w:rsidP="00284539">
            <w:pPr>
              <w:pStyle w:val="BodyText"/>
            </w:pPr>
            <w:r w:rsidRPr="00284539">
              <w:t>1.4 Use the periodic table of elements to det</w:t>
            </w:r>
            <w:r w:rsidRPr="00284539">
              <w:t xml:space="preserve">ermine the properties of elements used in the design or manufacturing process from the periodic </w:t>
            </w:r>
            <w:r w:rsidRPr="00284539">
              <w:t>table of elements</w:t>
            </w:r>
          </w:p>
          <w:p w:rsidR="00000000" w:rsidP="00284539">
            <w:pPr>
              <w:pStyle w:val="BodyText"/>
              <w:rPr>
                <w:lang w:val="en-NZ"/>
              </w:rPr>
            </w:pPr>
          </w:p>
        </w:tc>
      </w:tr>
      <w:tr w:rsidTr="006C7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 xml:space="preserve">2. Review bonding structure of design or manufacturing process materials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39" w:rsidP="00284539">
            <w:pPr>
              <w:pStyle w:val="BodyText"/>
            </w:pPr>
            <w:r w:rsidRPr="00284539">
              <w:t>2.1 Categorise design or manufacturing process materials as metals</w:t>
            </w:r>
            <w:r w:rsidRPr="00284539">
              <w:t xml:space="preserve">, polymers, composites and ceramics solids from their structure and properties </w:t>
            </w:r>
          </w:p>
          <w:p w:rsidR="00000000" w:rsidRPr="00284539" w:rsidP="00284539">
            <w:pPr>
              <w:pStyle w:val="BodyText"/>
            </w:pPr>
            <w:r w:rsidRPr="00284539">
              <w:t>2.2 Relate the physical properties of any design or manufacturing process crystalline and non-crystalline solids materials to the nature of the forces between particles</w:t>
            </w:r>
          </w:p>
          <w:p w:rsidR="00000000" w:rsidRPr="00284539" w:rsidP="00284539">
            <w:pPr>
              <w:pStyle w:val="BodyText"/>
            </w:pPr>
            <w:r w:rsidRPr="00284539">
              <w:t>2.3 Des</w:t>
            </w:r>
            <w:r w:rsidRPr="00284539">
              <w:t>cribe any composites in the design or manufacturing process types in terms of component materials and adhesion and setting processes</w:t>
            </w:r>
          </w:p>
          <w:p w:rsidR="00000000" w:rsidP="00284539">
            <w:pPr>
              <w:pStyle w:val="BodyText"/>
              <w:rPr>
                <w:lang w:val="en-NZ"/>
              </w:rPr>
            </w:pPr>
            <w:r w:rsidRPr="00284539">
              <w:t>2.4 Describe basic bonding processes for ceramics and glasses in the design or manufacturing process and relate to structur</w:t>
            </w:r>
            <w:r w:rsidRPr="00284539">
              <w:t xml:space="preserve">e </w:t>
            </w:r>
          </w:p>
        </w:tc>
      </w:tr>
      <w:tr w:rsidTr="006C7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3. Determine the reactivity of metals and non-metals in the design or manufacturing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39" w:rsidP="00284539">
            <w:pPr>
              <w:pStyle w:val="BodyText"/>
            </w:pPr>
            <w:r w:rsidRPr="00284539">
              <w:t>3.1 Identify the activity of design and manufacturing process materials’ elements and other key properties in terms of their position on the Periodic Table</w:t>
            </w:r>
          </w:p>
          <w:p w:rsidR="00000000" w:rsidP="00284539">
            <w:pPr>
              <w:pStyle w:val="BodyText"/>
              <w:rPr>
                <w:lang w:val="en-NZ"/>
              </w:rPr>
            </w:pPr>
            <w:r w:rsidRPr="00284539">
              <w:t>3.2 Use first ionisation energy to determine the relative reactivity of metals in a design or manufacturing process</w:t>
            </w:r>
          </w:p>
        </w:tc>
      </w:tr>
      <w:tr w:rsidTr="006C7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4. Identify the key chemical properties of acids and bases relevant to the in the design or manufacturing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39" w:rsidP="00284539">
            <w:pPr>
              <w:pStyle w:val="BodyText"/>
            </w:pPr>
            <w:r w:rsidRPr="00284539">
              <w:t>4.1 Identify acids and ba</w:t>
            </w:r>
            <w:r w:rsidRPr="00284539">
              <w:t>ses relevant to the manufacturing process including relevant salts which form acidic, basic or neutral solutions</w:t>
            </w:r>
          </w:p>
          <w:p w:rsidR="00000000" w:rsidP="00284539">
            <w:pPr>
              <w:pStyle w:val="BodyText"/>
              <w:rPr>
                <w:lang w:val="en-NZ"/>
              </w:rPr>
            </w:pPr>
            <w:r w:rsidRPr="00284539">
              <w:t xml:space="preserve">4.2 Identify the pH of relevant acids and bases and classify as either a strong or weak acid or base </w:t>
            </w:r>
          </w:p>
        </w:tc>
      </w:tr>
      <w:tr w:rsidTr="006C70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539">
            <w:pPr>
              <w:pStyle w:val="BodyText"/>
              <w:rPr>
                <w:lang w:val="en-NZ"/>
              </w:rPr>
            </w:pPr>
            <w:r w:rsidRPr="00284539">
              <w:t>5. Analyse chemical reactions relevant t</w:t>
            </w:r>
            <w:r w:rsidRPr="00284539">
              <w:t>o the design or manufacturing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539" w:rsidP="00284539">
            <w:pPr>
              <w:pStyle w:val="BodyText"/>
            </w:pPr>
            <w:r w:rsidRPr="00284539">
              <w:t xml:space="preserve">5.1 Prepare appropriate balanced chemical equations to describe reactions relevant to the design or manufacturing process using acid-base and electron transfer principles </w:t>
            </w:r>
          </w:p>
          <w:p w:rsidR="00000000" w:rsidRPr="00284539" w:rsidP="00284539">
            <w:pPr>
              <w:pStyle w:val="BodyText"/>
            </w:pPr>
            <w:r w:rsidRPr="00284539">
              <w:t>5.2 Determine the heat of reaction in relevant</w:t>
            </w:r>
            <w:r w:rsidRPr="00284539">
              <w:t xml:space="preserve"> chemical reactions</w:t>
            </w:r>
          </w:p>
          <w:p w:rsidR="00000000" w:rsidRPr="00284539" w:rsidP="00284539">
            <w:pPr>
              <w:pStyle w:val="BodyText"/>
            </w:pPr>
            <w:r w:rsidRPr="00284539">
              <w:t>5.3 Identify the factors affecting reaction rate in the relevant chemical reactions including concentration, surface area, pressure, temperature and catalysis</w:t>
            </w:r>
          </w:p>
          <w:p w:rsidR="00000000" w:rsidRPr="00284539" w:rsidP="00284539">
            <w:pPr>
              <w:pStyle w:val="BodyText"/>
            </w:pPr>
            <w:r w:rsidRPr="00284539">
              <w:t>5.4 Use the stoichiometry of the reactions to determine the amounts of reacta</w:t>
            </w:r>
            <w:r w:rsidRPr="00284539">
              <w:t>nts consumed and products made</w:t>
            </w:r>
          </w:p>
        </w:tc>
      </w:tr>
    </w:tbl>
    <w:p w:rsidR="006C70CE" w:rsidP="00284539">
      <w:pPr>
        <w:pStyle w:val="BodyText"/>
      </w:pPr>
    </w:p>
    <w:p w:rsidR="006C70CE" w:rsidP="00284539">
      <w:pPr>
        <w:pStyle w:val="BodyText"/>
      </w:pPr>
    </w:p>
    <w:p w:rsidR="00000000" w:rsidRPr="00284539" w:rsidP="00284539">
      <w:pPr>
        <w:pStyle w:val="Heading1"/>
      </w:pPr>
      <w:bookmarkStart w:id="6" w:name="O_1274339"/>
      <w:bookmarkEnd w:id="6"/>
      <w:r w:rsidRPr="00284539">
        <w:t>Foundation Skills</w:t>
      </w:r>
    </w:p>
    <w:p w:rsidR="00000000" w:rsidRPr="00284539" w:rsidP="006C70CE">
      <w:pPr>
        <w:pStyle w:val="BodyText"/>
      </w:pPr>
      <w:r w:rsidRPr="00284539">
        <w:t>This section describes those language, literacy, numeracy and employment skills that are essential to performance.</w:t>
      </w:r>
    </w:p>
    <w:p w:rsidR="006C70CE" w:rsidP="006C70CE">
      <w:pPr>
        <w:pStyle w:val="BodyText"/>
      </w:pPr>
      <w:r w:rsidRPr="00284539">
        <w:t>Foundation skills essential to performance are explicit in the perform</w:t>
      </w:r>
      <w:r w:rsidRPr="00284539">
        <w:t>ance criteria of this unit of competency.</w:t>
      </w:r>
    </w:p>
    <w:p w:rsidR="00000000" w:rsidRPr="00284539" w:rsidP="00284539">
      <w:pPr>
        <w:pStyle w:val="Heading1"/>
      </w:pPr>
      <w:bookmarkStart w:id="7" w:name="O_1274340"/>
      <w:bookmarkEnd w:id="7"/>
      <w:r w:rsidRPr="00284539">
        <w:t>Range of Conditions</w:t>
      </w:r>
    </w:p>
    <w:tbl>
      <w:tblPr>
        <w:tblW w:w="0" w:type="auto"/>
        <w:tblLayout w:type="fixed"/>
        <w:tblCellMar>
          <w:left w:w="62" w:type="dxa"/>
          <w:right w:w="62" w:type="dxa"/>
        </w:tblCellMar>
        <w:tblLook w:val="0000"/>
      </w:tblPr>
      <w:tblGrid>
        <w:gridCol w:w="2698"/>
        <w:gridCol w:w="6312"/>
      </w:tblGrid>
      <w:tr w:rsidTr="00284539">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 xml:space="preserve">This field allows for different work environments and conditions that may affect performance. Essential operating conditions that may be present </w:t>
            </w:r>
            <w:r w:rsidRPr="00284539">
              <w:t>(depending on the work situation, needs of the candidate, accessibility of the item, and local industry and regional contexts) are included.</w:t>
            </w:r>
          </w:p>
        </w:tc>
      </w:tr>
      <w:tr w:rsidTr="00284539">
        <w:tblPrEx>
          <w:tblW w:w="0" w:type="auto"/>
          <w:tblLayout w:type="fixed"/>
          <w:tblCellMar>
            <w:left w:w="62" w:type="dxa"/>
            <w:right w:w="62" w:type="dxa"/>
          </w:tblCellMar>
          <w:tblLook w:val="0000"/>
        </w:tblPrEx>
        <w:trPr>
          <w:trHeight w:val="1400"/>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Crystalline solids include:</w:t>
            </w:r>
          </w:p>
        </w:tc>
        <w:tc>
          <w:tcPr>
            <w:tcW w:w="6312" w:type="dxa"/>
            <w:tcBorders>
              <w:top w:val="nil"/>
              <w:left w:val="nil"/>
              <w:bottom w:val="nil"/>
              <w:right w:val="nil"/>
            </w:tcBorders>
            <w:tcMar>
              <w:top w:w="0" w:type="dxa"/>
              <w:left w:w="62" w:type="dxa"/>
              <w:bottom w:w="0" w:type="dxa"/>
              <w:right w:w="62" w:type="dxa"/>
            </w:tcMar>
          </w:tcPr>
          <w:p w:rsidR="00000000" w:rsidRPr="00284539" w:rsidP="00284539">
            <w:pPr>
              <w:pStyle w:val="ListBullet"/>
            </w:pPr>
            <w:r w:rsidRPr="00284539">
              <w:t>molecular</w:t>
            </w:r>
          </w:p>
          <w:p w:rsidR="00000000" w:rsidRPr="00284539" w:rsidP="00284539">
            <w:pPr>
              <w:pStyle w:val="ListBullet"/>
            </w:pPr>
            <w:r w:rsidRPr="00284539">
              <w:t>metallic</w:t>
            </w:r>
          </w:p>
          <w:p w:rsidR="00000000" w:rsidRPr="00284539" w:rsidP="00284539">
            <w:pPr>
              <w:pStyle w:val="ListBullet"/>
            </w:pPr>
            <w:r w:rsidRPr="00284539">
              <w:t>ionic</w:t>
            </w:r>
          </w:p>
          <w:p w:rsidR="00000000" w:rsidP="00284539">
            <w:pPr>
              <w:pStyle w:val="ListBullet"/>
              <w:rPr>
                <w:lang w:val="en-NZ"/>
              </w:rPr>
            </w:pPr>
            <w:r w:rsidRPr="00284539">
              <w:t>extended covalent solids.</w:t>
            </w:r>
          </w:p>
        </w:tc>
      </w:tr>
      <w:tr w:rsidTr="00284539">
        <w:tblPrEx>
          <w:tblW w:w="0" w:type="auto"/>
          <w:tblLayout w:type="fixed"/>
          <w:tblCellMar>
            <w:left w:w="62" w:type="dxa"/>
            <w:right w:w="62" w:type="dxa"/>
          </w:tblCellMar>
          <w:tblLook w:val="0000"/>
        </w:tblPrEx>
        <w:trPr>
          <w:trHeight w:val="1538"/>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Physical properties of crystalli</w:t>
            </w:r>
            <w:r w:rsidRPr="00284539">
              <w:t>ne and non-crystalline solids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84539" w:rsidP="00284539">
            <w:pPr>
              <w:pStyle w:val="ListBullet"/>
            </w:pPr>
            <w:r w:rsidRPr="00284539">
              <w:t>boiling point</w:t>
            </w:r>
          </w:p>
          <w:p w:rsidR="00000000" w:rsidRPr="00284539" w:rsidP="00284539">
            <w:pPr>
              <w:pStyle w:val="ListBullet"/>
            </w:pPr>
            <w:r w:rsidRPr="00284539">
              <w:t>melting point</w:t>
            </w:r>
          </w:p>
          <w:p w:rsidR="00000000" w:rsidRPr="00284539" w:rsidP="00284539">
            <w:pPr>
              <w:pStyle w:val="ListBullet"/>
            </w:pPr>
            <w:r w:rsidRPr="00284539">
              <w:t>phases and phase transition</w:t>
            </w:r>
          </w:p>
          <w:p w:rsidR="00000000" w:rsidRPr="00284539" w:rsidP="00284539">
            <w:pPr>
              <w:pStyle w:val="ListBullet"/>
            </w:pPr>
            <w:r w:rsidRPr="00284539">
              <w:t>solubility in polar and/or non-polar solvents</w:t>
            </w:r>
          </w:p>
          <w:p w:rsidR="00000000" w:rsidRPr="00284539" w:rsidP="00284539">
            <w:pPr>
              <w:pStyle w:val="ListBullet"/>
            </w:pPr>
            <w:r w:rsidRPr="00284539">
              <w:t>conductivity</w:t>
            </w:r>
          </w:p>
          <w:p w:rsidR="00000000" w:rsidRPr="00284539" w:rsidP="00284539">
            <w:pPr>
              <w:pStyle w:val="ListBullet"/>
            </w:pPr>
            <w:r w:rsidRPr="00284539">
              <w:t>ductility</w:t>
            </w:r>
          </w:p>
          <w:p w:rsidR="00000000" w:rsidRPr="00284539" w:rsidP="00284539">
            <w:pPr>
              <w:pStyle w:val="ListBullet"/>
            </w:pPr>
            <w:r w:rsidRPr="00284539">
              <w:t>brittleness</w:t>
            </w:r>
          </w:p>
          <w:p w:rsidR="00000000" w:rsidRPr="00284539" w:rsidP="00284539">
            <w:pPr>
              <w:pStyle w:val="ListBullet"/>
            </w:pPr>
            <w:r w:rsidRPr="00284539">
              <w:t>hardness</w:t>
            </w:r>
          </w:p>
          <w:p w:rsidR="00000000" w:rsidRPr="00284539" w:rsidP="00284539">
            <w:pPr>
              <w:pStyle w:val="ListBullet"/>
            </w:pPr>
            <w:r w:rsidRPr="00284539">
              <w:t>structure (matrix, lattice etc.)</w:t>
            </w:r>
          </w:p>
          <w:p w:rsidR="00000000" w:rsidRPr="00284539" w:rsidP="00284539">
            <w:pPr>
              <w:pStyle w:val="ListBullet"/>
            </w:pPr>
            <w:r w:rsidRPr="00284539">
              <w:t>density</w:t>
            </w:r>
          </w:p>
          <w:p w:rsidR="00000000" w:rsidP="00284539">
            <w:pPr>
              <w:pStyle w:val="ListBullet"/>
              <w:rPr>
                <w:lang w:val="en-NZ"/>
              </w:rPr>
            </w:pPr>
            <w:r w:rsidRPr="00284539">
              <w:t>modulus.</w:t>
            </w:r>
          </w:p>
        </w:tc>
      </w:tr>
      <w:tr w:rsidTr="00284539">
        <w:tblPrEx>
          <w:tblW w:w="0" w:type="auto"/>
          <w:tblLayout w:type="fixed"/>
          <w:tblCellMar>
            <w:left w:w="62" w:type="dxa"/>
            <w:right w:w="62" w:type="dxa"/>
          </w:tblCellMar>
          <w:tblLook w:val="0000"/>
        </w:tblPrEx>
        <w:trPr>
          <w:trHeight w:val="1403"/>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Key properties of elements in terms of their position on the Periodic Table includes:</w:t>
            </w:r>
          </w:p>
        </w:tc>
        <w:tc>
          <w:tcPr>
            <w:tcW w:w="6312" w:type="dxa"/>
            <w:tcBorders>
              <w:top w:val="nil"/>
              <w:left w:val="nil"/>
              <w:bottom w:val="nil"/>
              <w:right w:val="nil"/>
            </w:tcBorders>
            <w:tcMar>
              <w:top w:w="0" w:type="dxa"/>
              <w:left w:w="62" w:type="dxa"/>
              <w:bottom w:w="0" w:type="dxa"/>
              <w:right w:w="62" w:type="dxa"/>
            </w:tcMar>
          </w:tcPr>
          <w:p w:rsidR="00000000" w:rsidRPr="00284539" w:rsidP="00284539">
            <w:pPr>
              <w:pStyle w:val="ListBullet"/>
            </w:pPr>
            <w:r w:rsidRPr="00284539">
              <w:t xml:space="preserve">electrical conductivity </w:t>
            </w:r>
          </w:p>
          <w:p w:rsidR="00000000" w:rsidRPr="00284539" w:rsidP="00284539">
            <w:pPr>
              <w:pStyle w:val="ListBullet"/>
            </w:pPr>
            <w:r w:rsidRPr="00284539">
              <w:t xml:space="preserve">ionisation energy </w:t>
            </w:r>
          </w:p>
          <w:p w:rsidR="00000000" w:rsidRPr="00284539" w:rsidP="00284539">
            <w:pPr>
              <w:pStyle w:val="ListBullet"/>
            </w:pPr>
            <w:r w:rsidRPr="00284539">
              <w:t xml:space="preserve">atomic radius </w:t>
            </w:r>
          </w:p>
          <w:p w:rsidR="00000000" w:rsidRPr="00284539" w:rsidP="00284539">
            <w:pPr>
              <w:pStyle w:val="ListBullet"/>
            </w:pPr>
            <w:r w:rsidRPr="00284539">
              <w:t xml:space="preserve">melting point </w:t>
            </w:r>
          </w:p>
          <w:p w:rsidR="00000000" w:rsidRPr="00284539" w:rsidP="00284539">
            <w:pPr>
              <w:pStyle w:val="ListBullet"/>
            </w:pPr>
            <w:r w:rsidRPr="00284539">
              <w:t xml:space="preserve">boiling point </w:t>
            </w:r>
          </w:p>
          <w:p w:rsidR="00000000" w:rsidRPr="00284539" w:rsidP="00284539">
            <w:pPr>
              <w:pStyle w:val="ListBullet"/>
            </w:pPr>
            <w:r w:rsidRPr="00284539">
              <w:t>combining power (valency)</w:t>
            </w:r>
          </w:p>
          <w:p w:rsidR="00000000" w:rsidRPr="00284539" w:rsidP="00284539">
            <w:pPr>
              <w:pStyle w:val="ListBullet"/>
            </w:pPr>
            <w:r w:rsidRPr="00284539">
              <w:t>electronegativity</w:t>
            </w:r>
          </w:p>
          <w:p w:rsidR="00000000" w:rsidP="00284539">
            <w:pPr>
              <w:pStyle w:val="ListBullet"/>
              <w:rPr>
                <w:lang w:val="en-NZ"/>
              </w:rPr>
            </w:pPr>
            <w:r w:rsidRPr="00284539">
              <w:t>reactivity.</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Use of formulae includes:</w:t>
            </w:r>
          </w:p>
        </w:tc>
        <w:tc>
          <w:tcPr>
            <w:tcW w:w="6312" w:type="dxa"/>
            <w:tcBorders>
              <w:top w:val="nil"/>
              <w:left w:val="nil"/>
              <w:bottom w:val="nil"/>
              <w:right w:val="nil"/>
            </w:tcBorders>
            <w:tcMar>
              <w:top w:w="0" w:type="dxa"/>
              <w:left w:w="62" w:type="dxa"/>
              <w:bottom w:w="0" w:type="dxa"/>
              <w:right w:w="62" w:type="dxa"/>
            </w:tcMar>
          </w:tcPr>
          <w:p w:rsidR="00000000" w:rsidRPr="00284539" w:rsidP="00284539">
            <w:pPr>
              <w:pStyle w:val="ListBullet"/>
            </w:pPr>
            <w:r w:rsidRPr="00284539">
              <w:t>correctly written for given compounds</w:t>
            </w:r>
          </w:p>
          <w:p w:rsidR="00000000" w:rsidP="00284539">
            <w:pPr>
              <w:pStyle w:val="ListBullet"/>
              <w:rPr>
                <w:lang w:val="en-NZ"/>
              </w:rPr>
            </w:pPr>
            <w:r w:rsidRPr="00284539">
              <w:t>correct names will be written from given formulae.</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Definitions of acids and bases include:</w:t>
            </w:r>
          </w:p>
        </w:tc>
        <w:tc>
          <w:tcPr>
            <w:tcW w:w="6312" w:type="dxa"/>
            <w:tcBorders>
              <w:top w:val="nil"/>
              <w:left w:val="nil"/>
              <w:bottom w:val="nil"/>
              <w:right w:val="nil"/>
            </w:tcBorders>
            <w:tcMar>
              <w:top w:w="0" w:type="dxa"/>
              <w:left w:w="62" w:type="dxa"/>
              <w:bottom w:w="0" w:type="dxa"/>
              <w:right w:w="62" w:type="dxa"/>
            </w:tcMar>
          </w:tcPr>
          <w:p w:rsidR="00000000" w:rsidRPr="00284539" w:rsidP="00284539">
            <w:pPr>
              <w:pStyle w:val="ListBullet"/>
            </w:pPr>
            <w:r w:rsidRPr="00284539">
              <w:t>arrhenius definition</w:t>
            </w:r>
          </w:p>
          <w:p w:rsidR="00000000" w:rsidP="00284539">
            <w:pPr>
              <w:pStyle w:val="ListBullet"/>
              <w:rPr>
                <w:lang w:val="en-NZ"/>
              </w:rPr>
            </w:pPr>
            <w:r w:rsidRPr="00284539">
              <w:t>bronsted-lowry definition.</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Strong acids include:</w:t>
            </w:r>
          </w:p>
        </w:tc>
        <w:tc>
          <w:tcPr>
            <w:tcW w:w="6312" w:type="dxa"/>
            <w:tcBorders>
              <w:top w:val="nil"/>
              <w:left w:val="nil"/>
              <w:bottom w:val="nil"/>
              <w:right w:val="nil"/>
            </w:tcBorders>
            <w:tcMar>
              <w:top w:w="0" w:type="dxa"/>
              <w:left w:w="62" w:type="dxa"/>
              <w:bottom w:w="0" w:type="dxa"/>
              <w:right w:w="62" w:type="dxa"/>
            </w:tcMar>
          </w:tcPr>
          <w:p w:rsidR="00000000" w:rsidP="00284539">
            <w:pPr>
              <w:pStyle w:val="ListBullet"/>
              <w:rPr>
                <w:lang w:val="en-NZ"/>
              </w:rPr>
            </w:pPr>
            <w:r w:rsidRPr="00284539">
              <w:t>those that have high degrees of dissociation yielding hydrogen ions.</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Weak acids include:</w:t>
            </w:r>
          </w:p>
        </w:tc>
        <w:tc>
          <w:tcPr>
            <w:tcW w:w="6312" w:type="dxa"/>
            <w:tcBorders>
              <w:top w:val="nil"/>
              <w:left w:val="nil"/>
              <w:bottom w:val="nil"/>
              <w:right w:val="nil"/>
            </w:tcBorders>
            <w:tcMar>
              <w:top w:w="0" w:type="dxa"/>
              <w:left w:w="62" w:type="dxa"/>
              <w:bottom w:w="0" w:type="dxa"/>
              <w:right w:w="62" w:type="dxa"/>
            </w:tcMar>
          </w:tcPr>
          <w:p w:rsidR="00000000" w:rsidP="00284539">
            <w:pPr>
              <w:pStyle w:val="ListBullet"/>
              <w:rPr>
                <w:lang w:val="en-NZ"/>
              </w:rPr>
            </w:pPr>
            <w:r w:rsidRPr="00284539">
              <w:t>those that have partial dissociation of hydrogen ions and exist mostly in the associated form.</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Strong bases include:</w:t>
            </w:r>
          </w:p>
        </w:tc>
        <w:tc>
          <w:tcPr>
            <w:tcW w:w="6312" w:type="dxa"/>
            <w:tcBorders>
              <w:top w:val="nil"/>
              <w:left w:val="nil"/>
              <w:bottom w:val="nil"/>
              <w:right w:val="nil"/>
            </w:tcBorders>
            <w:tcMar>
              <w:top w:w="0" w:type="dxa"/>
              <w:left w:w="62" w:type="dxa"/>
              <w:bottom w:w="0" w:type="dxa"/>
              <w:right w:w="62" w:type="dxa"/>
            </w:tcMar>
          </w:tcPr>
          <w:p w:rsidR="00000000" w:rsidP="00284539">
            <w:pPr>
              <w:pStyle w:val="ListBullet"/>
              <w:rPr>
                <w:lang w:val="en-NZ"/>
              </w:rPr>
            </w:pPr>
            <w:r w:rsidRPr="00284539">
              <w:t>those that completely or almost completely dis</w:t>
            </w:r>
            <w:r w:rsidRPr="00284539">
              <w:t>sociate into hydroxide ions and a conjugate acid.</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Weak bases include:</w:t>
            </w:r>
          </w:p>
        </w:tc>
        <w:tc>
          <w:tcPr>
            <w:tcW w:w="6312" w:type="dxa"/>
            <w:tcBorders>
              <w:top w:val="nil"/>
              <w:left w:val="nil"/>
              <w:bottom w:val="nil"/>
              <w:right w:val="nil"/>
            </w:tcBorders>
            <w:tcMar>
              <w:top w:w="0" w:type="dxa"/>
              <w:left w:w="62" w:type="dxa"/>
              <w:bottom w:w="0" w:type="dxa"/>
              <w:right w:w="62" w:type="dxa"/>
            </w:tcMar>
          </w:tcPr>
          <w:p w:rsidR="00000000" w:rsidP="00284539">
            <w:pPr>
              <w:pStyle w:val="ListBullet"/>
              <w:rPr>
                <w:lang w:val="en-NZ"/>
              </w:rPr>
            </w:pPr>
            <w:r w:rsidRPr="00284539">
              <w:t>those that partially dissociate into hydroxide ions and a conjugate acid.</w:t>
            </w:r>
          </w:p>
        </w:tc>
      </w:tr>
      <w:tr w:rsidTr="00284539">
        <w:tblPrEx>
          <w:tblW w:w="0" w:type="auto"/>
          <w:tblLayout w:type="fixed"/>
          <w:tblCellMar>
            <w:left w:w="62" w:type="dxa"/>
            <w:right w:w="62" w:type="dxa"/>
          </w:tblCellMar>
          <w:tblLook w:val="0000"/>
        </w:tblPrEx>
        <w:trPr>
          <w:trHeight w:val="624"/>
        </w:trPr>
        <w:tc>
          <w:tcPr>
            <w:tcW w:w="2698" w:type="dxa"/>
            <w:tcBorders>
              <w:top w:val="nil"/>
              <w:left w:val="nil"/>
              <w:bottom w:val="nil"/>
              <w:right w:val="nil"/>
            </w:tcBorders>
            <w:tcMar>
              <w:top w:w="0" w:type="dxa"/>
              <w:left w:w="62" w:type="dxa"/>
              <w:bottom w:w="0" w:type="dxa"/>
              <w:right w:w="62" w:type="dxa"/>
            </w:tcMar>
          </w:tcPr>
          <w:p w:rsidR="00000000" w:rsidP="00284539">
            <w:pPr>
              <w:pStyle w:val="BodyText"/>
              <w:rPr>
                <w:lang w:val="en-NZ"/>
              </w:rPr>
            </w:pPr>
            <w:r w:rsidRPr="00284539">
              <w:t>Stoichiometry includes:</w:t>
            </w:r>
          </w:p>
        </w:tc>
        <w:tc>
          <w:tcPr>
            <w:tcW w:w="6312" w:type="dxa"/>
            <w:tcBorders>
              <w:top w:val="nil"/>
              <w:left w:val="nil"/>
              <w:bottom w:val="nil"/>
              <w:right w:val="nil"/>
            </w:tcBorders>
            <w:tcMar>
              <w:top w:w="0" w:type="dxa"/>
              <w:left w:w="62" w:type="dxa"/>
              <w:bottom w:w="0" w:type="dxa"/>
              <w:right w:w="62" w:type="dxa"/>
            </w:tcMar>
          </w:tcPr>
          <w:p w:rsidR="00000000" w:rsidRPr="00284539" w:rsidP="00284539">
            <w:pPr>
              <w:pStyle w:val="ListBullet"/>
            </w:pPr>
            <w:r w:rsidRPr="00284539">
              <w:t xml:space="preserve">the </w:t>
            </w:r>
            <w:r w:rsidRPr="00284539">
              <w:t>calculation of the quantities of chemical elements or compounds involved in a chemical reaction.</w:t>
            </w:r>
          </w:p>
        </w:tc>
      </w:tr>
    </w:tbl>
    <w:p w:rsidR="006C70CE" w:rsidP="00284539">
      <w:pPr>
        <w:pStyle w:val="BodyText"/>
      </w:pPr>
    </w:p>
    <w:p w:rsidR="006C70CE" w:rsidP="00284539">
      <w:pPr>
        <w:pStyle w:val="BodyText"/>
      </w:pPr>
    </w:p>
    <w:p w:rsidR="00000000" w:rsidRPr="00284539" w:rsidP="00284539">
      <w:pPr>
        <w:pStyle w:val="Heading1"/>
      </w:pPr>
      <w:bookmarkStart w:id="8" w:name="O_1274341"/>
      <w:bookmarkEnd w:id="8"/>
      <w:r w:rsidRPr="00284539">
        <w:t>Unit Mapping Information</w:t>
      </w:r>
    </w:p>
    <w:p w:rsidR="006C70CE" w:rsidP="006C70CE">
      <w:pPr>
        <w:pStyle w:val="BodyText"/>
      </w:pPr>
      <w:r w:rsidRPr="00284539">
        <w:t>Release 1. New unit</w:t>
      </w:r>
    </w:p>
    <w:p w:rsidR="00000000" w:rsidRPr="00284539" w:rsidP="00284539">
      <w:pPr>
        <w:pStyle w:val="Heading1"/>
      </w:pPr>
      <w:bookmarkStart w:id="9" w:name="O_1274348"/>
      <w:bookmarkEnd w:id="9"/>
      <w:r w:rsidRPr="00284539">
        <w:t>Links</w:t>
      </w:r>
    </w:p>
    <w:p w:rsidR="00000000" w:rsidRPr="00284539" w:rsidP="006C70CE">
      <w:pPr>
        <w:pStyle w:val="BodyText"/>
      </w:pPr>
      <w:r w:rsidRPr="002845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95FF8">
        <w:rPr>
          <w:rStyle w:val="Hyperlink"/>
        </w:rPr>
        <w:t>https://vetnet.gov.au/Pages/TrainingDocs.aspx?q=b7050d37-5fd0-4740-8f7d-3b7a49c10bb2</w:t>
      </w:r>
      <w:r>
        <w:fldChar w:fldCharType="end"/>
      </w:r>
    </w:p>
    <w:p w:rsidR="00000000" w:rsidRPr="00284539" w:rsidP="00284539"/>
    <w:sectPr w:rsidSect="002845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39" w:rsidRPr="006C70CE" w:rsidP="006C7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CE" w:rsidP="002845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0CE" w:rsidP="002845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70CE" w:rsidP="002845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539" w:rsidRPr="006C70CE" w:rsidP="006C7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CE" w:rsidRPr="002D2AF8" w:rsidP="00284539">
    <w:pPr>
      <w:pStyle w:val="Header"/>
      <w:framePr w:wrap="around"/>
    </w:pPr>
    <w:r>
      <w:fldChar w:fldCharType="begin"/>
    </w:r>
    <w:r>
      <w:instrText xml:space="preserve"> TITLE   \* MERGEFORMAT </w:instrText>
    </w:r>
    <w:r>
      <w:fldChar w:fldCharType="separate"/>
    </w:r>
    <w:r>
      <w:t>MEM48033 Apply chemistry principles to materials used in manufacturing and engineering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2023</w:t>
    </w:r>
    <w:r>
      <w:fldChar w:fldCharType="end"/>
    </w:r>
  </w:p>
  <w:p w:rsidR="006C70CE" w:rsidP="002845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821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C43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5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539"/>
    <w:pPr>
      <w:spacing w:before="360" w:after="60"/>
      <w:outlineLvl w:val="0"/>
    </w:pPr>
    <w:rPr>
      <w:sz w:val="32"/>
    </w:rPr>
  </w:style>
  <w:style w:type="paragraph" w:styleId="Heading2">
    <w:name w:val="heading 2"/>
    <w:basedOn w:val="HeadingBase"/>
    <w:next w:val="BodyText"/>
    <w:link w:val="Heading2Char"/>
    <w:qFormat/>
    <w:rsid w:val="00284539"/>
    <w:pPr>
      <w:keepLines/>
      <w:spacing w:before="240" w:after="120"/>
      <w:outlineLvl w:val="1"/>
    </w:pPr>
    <w:rPr>
      <w:sz w:val="28"/>
      <w:szCs w:val="40"/>
    </w:rPr>
  </w:style>
  <w:style w:type="paragraph" w:styleId="Heading3">
    <w:name w:val="heading 3"/>
    <w:basedOn w:val="HeadingBase"/>
    <w:next w:val="BodyText"/>
    <w:link w:val="Heading3Char"/>
    <w:qFormat/>
    <w:rsid w:val="00284539"/>
    <w:pPr>
      <w:spacing w:before="180" w:after="120"/>
      <w:outlineLvl w:val="2"/>
    </w:pPr>
    <w:rPr>
      <w:spacing w:val="-10"/>
      <w:kern w:val="32"/>
    </w:rPr>
  </w:style>
  <w:style w:type="paragraph" w:styleId="Heading4">
    <w:name w:val="heading 4"/>
    <w:basedOn w:val="HeadingBase"/>
    <w:next w:val="BodyText"/>
    <w:link w:val="Heading4Char"/>
    <w:qFormat/>
    <w:rsid w:val="00284539"/>
    <w:pPr>
      <w:spacing w:before="160" w:after="120"/>
      <w:outlineLvl w:val="3"/>
    </w:pPr>
    <w:rPr>
      <w:sz w:val="22"/>
    </w:rPr>
  </w:style>
  <w:style w:type="paragraph" w:styleId="Heading5">
    <w:name w:val="heading 5"/>
    <w:basedOn w:val="HeadingBase"/>
    <w:next w:val="Normal"/>
    <w:link w:val="Heading5Char"/>
    <w:qFormat/>
    <w:rsid w:val="00284539"/>
    <w:pPr>
      <w:spacing w:before="80"/>
      <w:outlineLvl w:val="4"/>
    </w:pPr>
    <w:rPr>
      <w:color w:val="918585"/>
      <w:sz w:val="20"/>
    </w:rPr>
  </w:style>
  <w:style w:type="paragraph" w:styleId="Heading6">
    <w:name w:val="heading 6"/>
    <w:basedOn w:val="HeadingBase"/>
    <w:next w:val="Normal"/>
    <w:link w:val="Heading6Char"/>
    <w:qFormat/>
    <w:rsid w:val="00284539"/>
    <w:pPr>
      <w:spacing w:before="60"/>
      <w:outlineLvl w:val="5"/>
    </w:pPr>
    <w:rPr>
      <w:color w:val="918585"/>
      <w:sz w:val="20"/>
    </w:rPr>
  </w:style>
  <w:style w:type="paragraph" w:styleId="Heading7">
    <w:name w:val="heading 7"/>
    <w:basedOn w:val="Normal"/>
    <w:next w:val="Normal"/>
    <w:link w:val="Heading7Char"/>
    <w:qFormat/>
    <w:rsid w:val="00284539"/>
    <w:pPr>
      <w:ind w:left="720"/>
      <w:outlineLvl w:val="6"/>
    </w:pPr>
    <w:rPr>
      <w:i/>
    </w:rPr>
  </w:style>
  <w:style w:type="paragraph" w:styleId="Heading8">
    <w:name w:val="heading 8"/>
    <w:basedOn w:val="Normal"/>
    <w:next w:val="Normal"/>
    <w:link w:val="Heading8Char"/>
    <w:qFormat/>
    <w:rsid w:val="00284539"/>
    <w:pPr>
      <w:ind w:left="720"/>
      <w:outlineLvl w:val="7"/>
    </w:pPr>
    <w:rPr>
      <w:i/>
    </w:rPr>
  </w:style>
  <w:style w:type="paragraph" w:styleId="Heading9">
    <w:name w:val="heading 9"/>
    <w:basedOn w:val="Normal"/>
    <w:next w:val="Normal"/>
    <w:link w:val="Heading9Char"/>
    <w:qFormat/>
    <w:rsid w:val="00284539"/>
    <w:pPr>
      <w:ind w:left="720"/>
      <w:outlineLvl w:val="8"/>
    </w:pPr>
    <w:rPr>
      <w:i/>
    </w:rPr>
  </w:style>
  <w:style w:type="character" w:default="1" w:styleId="DefaultParagraphFont">
    <w:name w:val="Default Paragraph Font"/>
    <w:uiPriority w:val="1"/>
    <w:unhideWhenUsed/>
    <w:rsid w:val="00284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539"/>
  </w:style>
  <w:style w:type="character" w:customStyle="1" w:styleId="Heading1Char">
    <w:name w:val="Heading 1 Char"/>
    <w:basedOn w:val="DefaultParagraphFont"/>
    <w:link w:val="Heading1"/>
    <w:rsid w:val="00284539"/>
    <w:rPr>
      <w:rFonts w:ascii="Times New Roman" w:eastAsia="Times New Roman" w:hAnsi="Times New Roman" w:cs="Times New Roman"/>
      <w:b/>
      <w:sz w:val="32"/>
      <w:szCs w:val="20"/>
      <w:lang w:eastAsia="en-US"/>
    </w:rPr>
  </w:style>
  <w:style w:type="paragraph" w:styleId="BodyText">
    <w:name w:val="Body Text"/>
    <w:basedOn w:val="Normal"/>
    <w:link w:val="BodyTextChar"/>
    <w:rsid w:val="002845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539"/>
    <w:rPr>
      <w:rFonts w:ascii="Times New Roman" w:eastAsia="Times New Roman" w:hAnsi="Times New Roman" w:cs="Times New Roman"/>
      <w:sz w:val="24"/>
      <w:lang w:eastAsia="en-US"/>
    </w:rPr>
  </w:style>
  <w:style w:type="paragraph" w:styleId="ListBullet">
    <w:name w:val="List Bullet"/>
    <w:basedOn w:val="List"/>
    <w:rsid w:val="00284539"/>
    <w:pPr>
      <w:numPr>
        <w:numId w:val="11"/>
      </w:numPr>
      <w:tabs>
        <w:tab w:val="clear" w:pos="340"/>
      </w:tabs>
      <w:spacing w:before="40" w:after="40"/>
    </w:pPr>
  </w:style>
  <w:style w:type="character" w:customStyle="1" w:styleId="SpecialBold">
    <w:name w:val="Special Bold"/>
    <w:basedOn w:val="DefaultParagraphFont"/>
    <w:rsid w:val="00284539"/>
    <w:rPr>
      <w:b/>
      <w:spacing w:val="0"/>
    </w:rPr>
  </w:style>
  <w:style w:type="paragraph" w:customStyle="1" w:styleId="SuperHeading">
    <w:name w:val="SuperHeading"/>
    <w:basedOn w:val="Normal"/>
    <w:rsid w:val="00284539"/>
    <w:pPr>
      <w:spacing w:before="240" w:after="120"/>
      <w:outlineLvl w:val="0"/>
    </w:pPr>
    <w:rPr>
      <w:rFonts w:ascii="Times New Roman" w:hAnsi="Times New Roman"/>
      <w:b/>
      <w:sz w:val="32"/>
    </w:rPr>
  </w:style>
  <w:style w:type="paragraph" w:customStyle="1" w:styleId="AllowPageBreak">
    <w:name w:val="AllowPageBreak"/>
    <w:rsid w:val="002845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5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5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539"/>
    <w:rPr>
      <w:rFonts w:ascii="Courier New" w:eastAsia="Times New Roman" w:hAnsi="Courier New" w:cs="Times New Roman"/>
      <w:i/>
      <w:szCs w:val="20"/>
      <w:lang w:eastAsia="en-US"/>
    </w:rPr>
  </w:style>
  <w:style w:type="paragraph" w:customStyle="1" w:styleId="HeadingBase">
    <w:name w:val="Heading Base"/>
    <w:rsid w:val="00284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539"/>
    <w:pPr>
      <w:tabs>
        <w:tab w:val="right" w:leader="dot" w:pos="9072"/>
      </w:tabs>
      <w:ind w:left="567"/>
    </w:pPr>
    <w:rPr>
      <w:szCs w:val="22"/>
    </w:rPr>
  </w:style>
  <w:style w:type="paragraph" w:customStyle="1" w:styleId="TOCBase">
    <w:name w:val="TOC Base"/>
    <w:rsid w:val="00284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539"/>
    <w:pPr>
      <w:tabs>
        <w:tab w:val="right" w:leader="dot" w:pos="9072"/>
      </w:tabs>
      <w:spacing w:before="40" w:after="40"/>
      <w:ind w:left="284"/>
    </w:pPr>
    <w:rPr>
      <w:rFonts w:ascii="Times New Roman" w:hAnsi="Times New Roman"/>
    </w:rPr>
  </w:style>
  <w:style w:type="paragraph" w:styleId="TOC1">
    <w:name w:val="toc 1"/>
    <w:basedOn w:val="TOCBase"/>
    <w:next w:val="Normal"/>
    <w:rsid w:val="002845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539"/>
    <w:rPr>
      <w:rFonts w:ascii="Times New Roman" w:eastAsia="Times New Roman" w:hAnsi="Times New Roman" w:cs="Times New Roman"/>
      <w:sz w:val="16"/>
      <w:lang w:eastAsia="en-US"/>
    </w:rPr>
  </w:style>
  <w:style w:type="paragraph" w:styleId="Title">
    <w:name w:val="Title"/>
    <w:basedOn w:val="HeadingBase"/>
    <w:link w:val="TitleChar"/>
    <w:qFormat/>
    <w:rsid w:val="00284539"/>
    <w:pPr>
      <w:spacing w:before="5040"/>
      <w:jc w:val="center"/>
    </w:pPr>
    <w:rPr>
      <w:sz w:val="48"/>
      <w:szCs w:val="72"/>
      <w:lang w:val="en-US"/>
    </w:rPr>
  </w:style>
  <w:style w:type="character" w:customStyle="1" w:styleId="TitleChar">
    <w:name w:val="Title Char"/>
    <w:basedOn w:val="DefaultParagraphFont"/>
    <w:link w:val="Title"/>
    <w:rsid w:val="00284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539"/>
    <w:pPr>
      <w:tabs>
        <w:tab w:val="left" w:pos="3600"/>
        <w:tab w:val="left" w:pos="3958"/>
      </w:tabs>
    </w:pPr>
  </w:style>
  <w:style w:type="paragraph" w:styleId="List">
    <w:name w:val="List"/>
    <w:basedOn w:val="BodyText"/>
    <w:next w:val="BodyText"/>
    <w:rsid w:val="00284539"/>
    <w:pPr>
      <w:tabs>
        <w:tab w:val="left" w:pos="340"/>
      </w:tabs>
      <w:spacing w:before="60" w:after="60"/>
      <w:ind w:left="340" w:hanging="340"/>
    </w:pPr>
  </w:style>
  <w:style w:type="paragraph" w:customStyle="1" w:styleId="Note">
    <w:name w:val="Note"/>
    <w:basedOn w:val="BodyText"/>
    <w:rsid w:val="00284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539"/>
    <w:pPr>
      <w:framePr w:wrap="auto" w:hAnchor="text" w:y="6049"/>
    </w:pPr>
    <w:rPr>
      <w:color w:val="000000"/>
      <w:sz w:val="40"/>
    </w:rPr>
  </w:style>
  <w:style w:type="paragraph" w:customStyle="1" w:styleId="TOCTitle">
    <w:name w:val="TOCTitle"/>
    <w:basedOn w:val="Heading1"/>
    <w:rsid w:val="00284539"/>
    <w:pPr>
      <w:spacing w:after="240"/>
      <w:jc w:val="center"/>
      <w:outlineLvl w:val="9"/>
    </w:pPr>
    <w:rPr>
      <w:caps/>
    </w:rPr>
  </w:style>
  <w:style w:type="paragraph" w:customStyle="1" w:styleId="Version">
    <w:name w:val="Version"/>
    <w:rsid w:val="002845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539"/>
    <w:pPr>
      <w:numPr>
        <w:numId w:val="12"/>
      </w:numPr>
      <w:tabs>
        <w:tab w:val="clear" w:pos="680"/>
      </w:tabs>
    </w:pPr>
  </w:style>
  <w:style w:type="paragraph" w:styleId="Index1">
    <w:name w:val="index 1"/>
    <w:basedOn w:val="Normal"/>
    <w:next w:val="Normal"/>
    <w:semiHidden/>
    <w:rsid w:val="00284539"/>
    <w:pPr>
      <w:keepNext w:val="0"/>
      <w:tabs>
        <w:tab w:val="right" w:pos="4176"/>
      </w:tabs>
      <w:ind w:left="198" w:hanging="198"/>
    </w:pPr>
    <w:rPr>
      <w:rFonts w:ascii="Garamond" w:hAnsi="Garamond"/>
    </w:rPr>
  </w:style>
  <w:style w:type="paragraph" w:styleId="IndexHeading">
    <w:name w:val="index heading"/>
    <w:basedOn w:val="Normal"/>
    <w:next w:val="Index1"/>
    <w:semiHidden/>
    <w:rsid w:val="00284539"/>
    <w:pPr>
      <w:spacing w:before="120" w:after="120"/>
    </w:pPr>
    <w:rPr>
      <w:rFonts w:ascii="Arial" w:hAnsi="Arial"/>
      <w:b/>
      <w:color w:val="918585"/>
      <w:sz w:val="24"/>
    </w:rPr>
  </w:style>
  <w:style w:type="paragraph" w:styleId="Header">
    <w:name w:val="header"/>
    <w:basedOn w:val="Normal"/>
    <w:link w:val="HeaderChar"/>
    <w:rsid w:val="00284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539"/>
    <w:rPr>
      <w:rFonts w:ascii="Times New Roman" w:eastAsia="Times New Roman" w:hAnsi="Times New Roman" w:cs="Times New Roman"/>
      <w:sz w:val="16"/>
      <w:szCs w:val="20"/>
      <w:lang w:val="en-GB" w:eastAsia="en-US"/>
    </w:rPr>
  </w:style>
  <w:style w:type="paragraph" w:customStyle="1" w:styleId="Chapter">
    <w:name w:val="Chapter"/>
    <w:basedOn w:val="Normal"/>
    <w:rsid w:val="00284539"/>
    <w:pPr>
      <w:spacing w:before="240"/>
    </w:pPr>
    <w:rPr>
      <w:rFonts w:ascii="Times New Roman" w:hAnsi="Times New Roman"/>
      <w:smallCaps/>
      <w:spacing w:val="80"/>
      <w:sz w:val="28"/>
    </w:rPr>
  </w:style>
  <w:style w:type="paragraph" w:customStyle="1" w:styleId="InChapter">
    <w:name w:val="InChapter"/>
    <w:basedOn w:val="Heading3"/>
    <w:rsid w:val="00284539"/>
    <w:pPr>
      <w:spacing w:after="240"/>
      <w:outlineLvl w:val="9"/>
    </w:pPr>
    <w:rPr>
      <w:noProof/>
    </w:rPr>
  </w:style>
  <w:style w:type="paragraph" w:styleId="Index2">
    <w:name w:val="index 2"/>
    <w:basedOn w:val="Normal"/>
    <w:next w:val="Normal"/>
    <w:semiHidden/>
    <w:rsid w:val="00284539"/>
    <w:pPr>
      <w:tabs>
        <w:tab w:val="right" w:pos="4176"/>
      </w:tabs>
      <w:ind w:left="568" w:hanging="284"/>
    </w:pPr>
    <w:rPr>
      <w:rFonts w:ascii="Garamond" w:hAnsi="Garamond"/>
    </w:rPr>
  </w:style>
  <w:style w:type="paragraph" w:customStyle="1" w:styleId="Byline">
    <w:name w:val="Byline"/>
    <w:rsid w:val="00284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539"/>
    <w:pPr>
      <w:tabs>
        <w:tab w:val="clear" w:pos="3600"/>
        <w:tab w:val="clear" w:pos="3958"/>
      </w:tabs>
      <w:jc w:val="right"/>
    </w:pPr>
  </w:style>
  <w:style w:type="character" w:styleId="Emphasis">
    <w:name w:val="Emphasis"/>
    <w:basedOn w:val="DefaultParagraphFont"/>
    <w:qFormat/>
    <w:rsid w:val="00284539"/>
    <w:rPr>
      <w:i/>
    </w:rPr>
  </w:style>
  <w:style w:type="paragraph" w:styleId="Caption">
    <w:name w:val="caption"/>
    <w:basedOn w:val="BodyText"/>
    <w:next w:val="Normal"/>
    <w:qFormat/>
    <w:rsid w:val="00284539"/>
    <w:pPr>
      <w:framePr w:w="2268" w:hSpace="181" w:vSpace="181" w:wrap="around" w:vAnchor="text" w:hAnchor="page" w:x="1135" w:y="285" w:anchorLock="1"/>
    </w:pPr>
    <w:rPr>
      <w:i/>
    </w:rPr>
  </w:style>
  <w:style w:type="paragraph" w:customStyle="1" w:styleId="MiniTOCTitle">
    <w:name w:val="MiniTOCTitle"/>
    <w:basedOn w:val="Heading4"/>
    <w:rsid w:val="00284539"/>
    <w:pPr>
      <w:spacing w:before="240"/>
      <w:outlineLvl w:val="9"/>
    </w:pPr>
    <w:rPr>
      <w:noProof/>
      <w:sz w:val="24"/>
    </w:rPr>
  </w:style>
  <w:style w:type="paragraph" w:customStyle="1" w:styleId="MiniTOCItem">
    <w:name w:val="MiniTOCItem"/>
    <w:basedOn w:val="ListBullet"/>
    <w:rsid w:val="00284539"/>
    <w:pPr>
      <w:numPr>
        <w:numId w:val="0"/>
      </w:numPr>
      <w:tabs>
        <w:tab w:val="right" w:leader="dot" w:pos="6521"/>
      </w:tabs>
      <w:spacing w:before="0" w:after="0"/>
    </w:pPr>
  </w:style>
  <w:style w:type="paragraph" w:customStyle="1" w:styleId="TOFTitle">
    <w:name w:val="TOFTitle"/>
    <w:basedOn w:val="TOCTitle"/>
    <w:rsid w:val="00284539"/>
  </w:style>
  <w:style w:type="paragraph" w:styleId="TableofFigures">
    <w:name w:val="table of figures"/>
    <w:basedOn w:val="Normal"/>
    <w:next w:val="Normal"/>
    <w:semiHidden/>
    <w:rsid w:val="00284539"/>
    <w:pPr>
      <w:tabs>
        <w:tab w:val="right" w:leader="dot" w:pos="9072"/>
      </w:tabs>
      <w:ind w:left="970" w:hanging="403"/>
    </w:pPr>
    <w:rPr>
      <w:rFonts w:ascii="Times New Roman" w:hAnsi="Times New Roman"/>
      <w:b/>
    </w:rPr>
  </w:style>
  <w:style w:type="paragraph" w:styleId="ListNumber">
    <w:name w:val="List Number"/>
    <w:basedOn w:val="List"/>
    <w:rsid w:val="00284539"/>
    <w:pPr>
      <w:numPr>
        <w:numId w:val="14"/>
      </w:numPr>
      <w:tabs>
        <w:tab w:val="clear" w:pos="340"/>
      </w:tabs>
    </w:pPr>
  </w:style>
  <w:style w:type="character" w:customStyle="1" w:styleId="WingdingSymbols">
    <w:name w:val="Wingding Symbols"/>
    <w:rsid w:val="00284539"/>
    <w:rPr>
      <w:rFonts w:ascii="Wingdings" w:hAnsi="Wingdings"/>
    </w:rPr>
  </w:style>
  <w:style w:type="paragraph" w:customStyle="1" w:styleId="TableHeading">
    <w:name w:val="Table Heading"/>
    <w:basedOn w:val="HeadingBase"/>
    <w:rsid w:val="00284539"/>
    <w:pPr>
      <w:keepLines/>
      <w:pBdr>
        <w:bottom w:val="single" w:sz="6" w:space="1" w:color="918585"/>
      </w:pBdr>
      <w:spacing w:before="240"/>
    </w:pPr>
  </w:style>
  <w:style w:type="character" w:customStyle="1" w:styleId="HotSpot">
    <w:name w:val="HotSpot"/>
    <w:rsid w:val="00284539"/>
    <w:rPr>
      <w:color w:val="0033CC"/>
      <w:u w:val="none"/>
    </w:rPr>
  </w:style>
  <w:style w:type="paragraph" w:customStyle="1" w:styleId="BodyTextRight">
    <w:name w:val="Body Text Right"/>
    <w:basedOn w:val="BodyText"/>
    <w:rsid w:val="00284539"/>
    <w:pPr>
      <w:spacing w:before="0" w:after="0"/>
      <w:jc w:val="right"/>
    </w:pPr>
  </w:style>
  <w:style w:type="paragraph" w:styleId="Index3">
    <w:name w:val="index 3"/>
    <w:basedOn w:val="ListNumber2"/>
    <w:next w:val="Normal"/>
    <w:semiHidden/>
    <w:rsid w:val="00284539"/>
    <w:pPr>
      <w:numPr>
        <w:numId w:val="0"/>
      </w:numPr>
      <w:tabs>
        <w:tab w:val="right" w:leader="dot" w:pos="4176"/>
      </w:tabs>
    </w:pPr>
  </w:style>
  <w:style w:type="paragraph" w:styleId="ListNumber2">
    <w:name w:val="List Number 2"/>
    <w:basedOn w:val="List2"/>
    <w:rsid w:val="00284539"/>
    <w:pPr>
      <w:numPr>
        <w:numId w:val="9"/>
      </w:numPr>
      <w:tabs>
        <w:tab w:val="clear" w:pos="1060"/>
      </w:tabs>
    </w:pPr>
  </w:style>
  <w:style w:type="paragraph" w:customStyle="1" w:styleId="MarginNote">
    <w:name w:val="Margin Note"/>
    <w:basedOn w:val="BodyText"/>
    <w:rsid w:val="00284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5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539"/>
    <w:rPr>
      <w:sz w:val="32"/>
    </w:rPr>
  </w:style>
  <w:style w:type="paragraph" w:customStyle="1" w:styleId="HeadingProcedure">
    <w:name w:val="Heading Procedure"/>
    <w:basedOn w:val="HeadingBase"/>
    <w:next w:val="Normal"/>
    <w:rsid w:val="00284539"/>
    <w:pPr>
      <w:tabs>
        <w:tab w:val="left" w:pos="0"/>
      </w:tabs>
      <w:spacing w:before="120" w:after="60"/>
    </w:pPr>
    <w:rPr>
      <w:i/>
      <w:color w:val="918585"/>
      <w:sz w:val="22"/>
    </w:rPr>
  </w:style>
  <w:style w:type="paragraph" w:customStyle="1" w:styleId="TableBodyText">
    <w:name w:val="Table Body Text"/>
    <w:basedOn w:val="BodyText"/>
    <w:rsid w:val="00284539"/>
    <w:pPr>
      <w:spacing w:before="60" w:after="60"/>
    </w:pPr>
  </w:style>
  <w:style w:type="paragraph" w:styleId="ListContinue">
    <w:name w:val="List Continue"/>
    <w:basedOn w:val="List"/>
    <w:rsid w:val="00284539"/>
    <w:pPr>
      <w:ind w:firstLine="0"/>
    </w:pPr>
  </w:style>
  <w:style w:type="paragraph" w:customStyle="1" w:styleId="ListNote">
    <w:name w:val="List Note"/>
    <w:basedOn w:val="List"/>
    <w:rsid w:val="00284539"/>
    <w:pPr>
      <w:pBdr>
        <w:top w:val="single" w:sz="6" w:space="2" w:color="918585"/>
        <w:bottom w:val="single" w:sz="6" w:space="2" w:color="918585"/>
      </w:pBdr>
      <w:tabs>
        <w:tab w:val="left" w:pos="1021"/>
      </w:tabs>
      <w:ind w:firstLine="0"/>
    </w:pPr>
  </w:style>
  <w:style w:type="paragraph" w:customStyle="1" w:styleId="Warning">
    <w:name w:val="Warning"/>
    <w:basedOn w:val="BodyText"/>
    <w:rsid w:val="00284539"/>
    <w:pPr>
      <w:shd w:val="clear" w:color="auto" w:fill="D9D9D9"/>
      <w:tabs>
        <w:tab w:val="left" w:pos="992"/>
      </w:tabs>
      <w:ind w:left="119" w:right="119"/>
    </w:pPr>
    <w:rPr>
      <w:sz w:val="20"/>
    </w:rPr>
  </w:style>
  <w:style w:type="paragraph" w:customStyle="1" w:styleId="MarginIcons">
    <w:name w:val="Margin Icons"/>
    <w:basedOn w:val="BodyText"/>
    <w:rsid w:val="00284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539"/>
    <w:rPr>
      <w:rFonts w:ascii="Courier New" w:hAnsi="Courier New"/>
    </w:rPr>
  </w:style>
  <w:style w:type="paragraph" w:customStyle="1" w:styleId="NoteBullet">
    <w:name w:val="Note Bullet"/>
    <w:basedOn w:val="Note"/>
    <w:rsid w:val="00284539"/>
    <w:pPr>
      <w:tabs>
        <w:tab w:val="clear" w:pos="680"/>
      </w:tabs>
      <w:spacing w:before="60" w:after="60"/>
    </w:pPr>
  </w:style>
  <w:style w:type="paragraph" w:customStyle="1" w:styleId="SubHeading2">
    <w:name w:val="SubHeading2"/>
    <w:basedOn w:val="HeadingBase"/>
    <w:rsid w:val="00284539"/>
    <w:pPr>
      <w:spacing w:before="240" w:after="60"/>
    </w:pPr>
    <w:rPr>
      <w:sz w:val="20"/>
    </w:rPr>
  </w:style>
  <w:style w:type="paragraph" w:customStyle="1" w:styleId="SubHeading1">
    <w:name w:val="SubHeading1"/>
    <w:basedOn w:val="HeadingBase"/>
    <w:rsid w:val="00284539"/>
    <w:pPr>
      <w:spacing w:before="240" w:after="60"/>
    </w:pPr>
    <w:rPr>
      <w:color w:val="918585"/>
      <w:sz w:val="22"/>
    </w:rPr>
  </w:style>
  <w:style w:type="paragraph" w:customStyle="1" w:styleId="SideHeading">
    <w:name w:val="Side Heading"/>
    <w:basedOn w:val="HeadingBase"/>
    <w:rsid w:val="00284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539"/>
    <w:pPr>
      <w:numPr>
        <w:numId w:val="10"/>
      </w:numPr>
    </w:pPr>
  </w:style>
  <w:style w:type="paragraph" w:styleId="PlainText">
    <w:name w:val="Plain Text"/>
    <w:basedOn w:val="Normal"/>
    <w:link w:val="PlainTextChar"/>
    <w:rsid w:val="00284539"/>
    <w:rPr>
      <w:sz w:val="20"/>
    </w:rPr>
  </w:style>
  <w:style w:type="character" w:customStyle="1" w:styleId="PlainTextChar">
    <w:name w:val="Plain Text Char"/>
    <w:basedOn w:val="DefaultParagraphFont"/>
    <w:link w:val="PlainText"/>
    <w:rsid w:val="00284539"/>
    <w:rPr>
      <w:rFonts w:ascii="Courier New" w:eastAsia="Times New Roman" w:hAnsi="Courier New" w:cs="Times New Roman"/>
      <w:sz w:val="20"/>
      <w:szCs w:val="20"/>
      <w:lang w:eastAsia="en-US"/>
    </w:rPr>
  </w:style>
  <w:style w:type="character" w:customStyle="1" w:styleId="MenuOption">
    <w:name w:val="Menu Option"/>
    <w:basedOn w:val="DefaultParagraphFont"/>
    <w:rsid w:val="00284539"/>
    <w:rPr>
      <w:b/>
      <w:smallCaps/>
    </w:rPr>
  </w:style>
  <w:style w:type="paragraph" w:customStyle="1" w:styleId="TableListNumber">
    <w:name w:val="Table List Number"/>
    <w:basedOn w:val="ListNumber"/>
    <w:rsid w:val="00284539"/>
    <w:pPr>
      <w:numPr>
        <w:numId w:val="0"/>
      </w:numPr>
    </w:pPr>
  </w:style>
  <w:style w:type="paragraph" w:styleId="TOC4">
    <w:name w:val="toc 4"/>
    <w:basedOn w:val="TOCBase"/>
    <w:next w:val="Normal"/>
    <w:semiHidden/>
    <w:rsid w:val="00284539"/>
    <w:pPr>
      <w:tabs>
        <w:tab w:val="right" w:leader="dot" w:pos="9071"/>
      </w:tabs>
      <w:ind w:left="1701"/>
    </w:pPr>
  </w:style>
  <w:style w:type="paragraph" w:customStyle="1" w:styleId="ListAlpha">
    <w:name w:val="List Alpha"/>
    <w:basedOn w:val="List"/>
    <w:rsid w:val="00284539"/>
    <w:pPr>
      <w:numPr>
        <w:numId w:val="8"/>
      </w:numPr>
    </w:pPr>
  </w:style>
  <w:style w:type="paragraph" w:customStyle="1" w:styleId="ListAlpha2">
    <w:name w:val="List Alpha 2"/>
    <w:basedOn w:val="List2"/>
    <w:rsid w:val="00284539"/>
    <w:pPr>
      <w:numPr>
        <w:numId w:val="7"/>
      </w:numPr>
    </w:pPr>
  </w:style>
  <w:style w:type="paragraph" w:styleId="List2">
    <w:name w:val="List 2"/>
    <w:basedOn w:val="BodyText"/>
    <w:rsid w:val="00284539"/>
    <w:pPr>
      <w:tabs>
        <w:tab w:val="left" w:pos="680"/>
      </w:tabs>
      <w:spacing w:before="60" w:after="60"/>
      <w:ind w:left="680" w:hanging="340"/>
    </w:pPr>
  </w:style>
  <w:style w:type="paragraph" w:styleId="List3">
    <w:name w:val="List 3"/>
    <w:basedOn w:val="BodyText"/>
    <w:rsid w:val="00284539"/>
    <w:pPr>
      <w:tabs>
        <w:tab w:val="left" w:pos="1021"/>
      </w:tabs>
      <w:spacing w:before="60" w:after="60"/>
      <w:ind w:left="1020" w:hanging="340"/>
    </w:pPr>
  </w:style>
  <w:style w:type="paragraph" w:styleId="List4">
    <w:name w:val="List 4"/>
    <w:basedOn w:val="BodyText"/>
    <w:rsid w:val="00284539"/>
    <w:pPr>
      <w:tabs>
        <w:tab w:val="left" w:pos="1361"/>
      </w:tabs>
      <w:spacing w:before="60" w:after="60"/>
      <w:ind w:left="1361" w:hanging="340"/>
    </w:pPr>
  </w:style>
  <w:style w:type="paragraph" w:styleId="List5">
    <w:name w:val="List 5"/>
    <w:basedOn w:val="BodyText"/>
    <w:rsid w:val="00284539"/>
    <w:pPr>
      <w:tabs>
        <w:tab w:val="left" w:pos="1701"/>
      </w:tabs>
      <w:spacing w:before="60" w:after="60"/>
      <w:ind w:left="1701" w:hanging="340"/>
    </w:pPr>
  </w:style>
  <w:style w:type="paragraph" w:styleId="ListBullet3">
    <w:name w:val="List Bullet 3"/>
    <w:basedOn w:val="List3"/>
    <w:rsid w:val="00284539"/>
    <w:pPr>
      <w:numPr>
        <w:numId w:val="13"/>
      </w:numPr>
      <w:tabs>
        <w:tab w:val="clear" w:pos="1021"/>
      </w:tabs>
      <w:ind w:left="1037" w:hanging="357"/>
    </w:pPr>
  </w:style>
  <w:style w:type="paragraph" w:styleId="ListBullet4">
    <w:name w:val="List Bullet 4"/>
    <w:basedOn w:val="List4"/>
    <w:rsid w:val="00284539"/>
    <w:pPr>
      <w:numPr>
        <w:numId w:val="2"/>
      </w:numPr>
      <w:tabs>
        <w:tab w:val="clear" w:pos="1361"/>
      </w:tabs>
    </w:pPr>
  </w:style>
  <w:style w:type="paragraph" w:styleId="ListBullet5">
    <w:name w:val="List Bullet 5"/>
    <w:basedOn w:val="List5"/>
    <w:rsid w:val="00284539"/>
    <w:pPr>
      <w:numPr>
        <w:numId w:val="3"/>
      </w:numPr>
    </w:pPr>
  </w:style>
  <w:style w:type="paragraph" w:styleId="ListContinue2">
    <w:name w:val="List Continue 2"/>
    <w:basedOn w:val="List2"/>
    <w:rsid w:val="00284539"/>
    <w:pPr>
      <w:ind w:firstLine="0"/>
    </w:pPr>
  </w:style>
  <w:style w:type="paragraph" w:styleId="ListContinue3">
    <w:name w:val="List Continue 3"/>
    <w:basedOn w:val="List3"/>
    <w:rsid w:val="00284539"/>
    <w:pPr>
      <w:ind w:left="1021" w:firstLine="0"/>
    </w:pPr>
  </w:style>
  <w:style w:type="paragraph" w:styleId="ListContinue4">
    <w:name w:val="List Continue 4"/>
    <w:basedOn w:val="List4"/>
    <w:rsid w:val="00284539"/>
    <w:pPr>
      <w:ind w:firstLine="0"/>
    </w:pPr>
  </w:style>
  <w:style w:type="paragraph" w:styleId="ListContinue5">
    <w:name w:val="List Continue 5"/>
    <w:basedOn w:val="List5"/>
    <w:rsid w:val="00284539"/>
    <w:pPr>
      <w:ind w:firstLine="0"/>
    </w:pPr>
  </w:style>
  <w:style w:type="paragraph" w:styleId="ListNumber3">
    <w:name w:val="List Number 3"/>
    <w:basedOn w:val="List3"/>
    <w:rsid w:val="00284539"/>
    <w:pPr>
      <w:numPr>
        <w:numId w:val="4"/>
      </w:numPr>
    </w:pPr>
  </w:style>
  <w:style w:type="paragraph" w:styleId="ListNumber4">
    <w:name w:val="List Number 4"/>
    <w:basedOn w:val="List4"/>
    <w:rsid w:val="00284539"/>
    <w:pPr>
      <w:numPr>
        <w:numId w:val="5"/>
      </w:numPr>
    </w:pPr>
  </w:style>
  <w:style w:type="paragraph" w:styleId="ListNumber5">
    <w:name w:val="List Number 5"/>
    <w:basedOn w:val="List5"/>
    <w:rsid w:val="00284539"/>
    <w:pPr>
      <w:numPr>
        <w:numId w:val="6"/>
      </w:numPr>
    </w:pPr>
  </w:style>
  <w:style w:type="paragraph" w:styleId="BlockText">
    <w:name w:val="Block Text"/>
    <w:basedOn w:val="Normal"/>
    <w:rsid w:val="00284539"/>
    <w:pPr>
      <w:spacing w:after="120"/>
      <w:ind w:left="1440" w:right="1440"/>
    </w:pPr>
  </w:style>
  <w:style w:type="character" w:customStyle="1" w:styleId="Subscript">
    <w:name w:val="Subscript"/>
    <w:basedOn w:val="DefaultParagraphFont"/>
    <w:rsid w:val="00284539"/>
    <w:rPr>
      <w:sz w:val="16"/>
      <w:vertAlign w:val="subscript"/>
    </w:rPr>
  </w:style>
  <w:style w:type="character" w:customStyle="1" w:styleId="Superscript">
    <w:name w:val="Superscript"/>
    <w:basedOn w:val="DefaultParagraphFont"/>
    <w:rsid w:val="00284539"/>
    <w:rPr>
      <w:sz w:val="16"/>
      <w:vertAlign w:val="superscript"/>
    </w:rPr>
  </w:style>
  <w:style w:type="character" w:customStyle="1" w:styleId="Symbols">
    <w:name w:val="Symbols"/>
    <w:basedOn w:val="DefaultParagraphFont"/>
    <w:rsid w:val="00284539"/>
    <w:rPr>
      <w:rFonts w:ascii="Symbol" w:hAnsi="Symbol"/>
    </w:rPr>
  </w:style>
  <w:style w:type="character" w:customStyle="1" w:styleId="MenuOptions">
    <w:name w:val="Menu Options"/>
    <w:basedOn w:val="DefaultParagraphFont"/>
    <w:rsid w:val="00284539"/>
    <w:rPr>
      <w:rFonts w:ascii="Arial Narrow" w:hAnsi="Arial Narrow"/>
      <w:smallCaps/>
    </w:rPr>
  </w:style>
  <w:style w:type="character" w:customStyle="1" w:styleId="Buttons">
    <w:name w:val="Buttons"/>
    <w:basedOn w:val="DefaultParagraphFont"/>
    <w:rsid w:val="00284539"/>
    <w:rPr>
      <w:b/>
    </w:rPr>
  </w:style>
  <w:style w:type="character" w:customStyle="1" w:styleId="Underlined">
    <w:name w:val="Underlined"/>
    <w:basedOn w:val="DefaultParagraphFont"/>
    <w:rsid w:val="00284539"/>
    <w:rPr>
      <w:u w:val="single"/>
    </w:rPr>
  </w:style>
  <w:style w:type="paragraph" w:customStyle="1" w:styleId="TableBodyTextRight">
    <w:name w:val="Table Body Text Right"/>
    <w:basedOn w:val="TableBodyText"/>
    <w:rsid w:val="00284539"/>
    <w:pPr>
      <w:widowControl w:val="0"/>
      <w:autoSpaceDE w:val="0"/>
      <w:autoSpaceDN w:val="0"/>
      <w:adjustRightInd w:val="0"/>
      <w:jc w:val="right"/>
    </w:pPr>
    <w:rPr>
      <w:rFonts w:cs="Arial"/>
      <w:szCs w:val="18"/>
    </w:rPr>
  </w:style>
  <w:style w:type="paragraph" w:customStyle="1" w:styleId="CopyrightText">
    <w:name w:val="Copyright Text"/>
    <w:basedOn w:val="BodyText"/>
    <w:rsid w:val="00284539"/>
    <w:rPr>
      <w:sz w:val="18"/>
    </w:rPr>
  </w:style>
  <w:style w:type="paragraph" w:customStyle="1" w:styleId="BodySmallRight">
    <w:name w:val="Body Small Right"/>
    <w:basedOn w:val="BodyTextRight"/>
    <w:rsid w:val="00284539"/>
    <w:rPr>
      <w:sz w:val="18"/>
      <w:szCs w:val="18"/>
    </w:rPr>
  </w:style>
  <w:style w:type="paragraph" w:customStyle="1" w:styleId="MarginEdition">
    <w:name w:val="Margin Edition"/>
    <w:basedOn w:val="MarginNote"/>
    <w:rsid w:val="00284539"/>
    <w:pPr>
      <w:spacing w:before="0" w:after="0"/>
    </w:pPr>
    <w:rPr>
      <w:rFonts w:ascii="Times New Roman" w:hAnsi="Times New Roman"/>
      <w:color w:val="999999"/>
    </w:rPr>
  </w:style>
  <w:style w:type="paragraph" w:customStyle="1" w:styleId="Spacer">
    <w:name w:val="Spacer"/>
    <w:basedOn w:val="Normal"/>
    <w:rsid w:val="00284539"/>
    <w:rPr>
      <w:sz w:val="2"/>
      <w:szCs w:val="2"/>
    </w:rPr>
  </w:style>
  <w:style w:type="character" w:customStyle="1" w:styleId="Small">
    <w:name w:val="Small"/>
    <w:basedOn w:val="DefaultParagraphFont"/>
    <w:rsid w:val="00284539"/>
    <w:rPr>
      <w:sz w:val="16"/>
    </w:rPr>
  </w:style>
  <w:style w:type="paragraph" w:customStyle="1" w:styleId="WideTable">
    <w:name w:val="Wide Table"/>
    <w:basedOn w:val="Normal"/>
    <w:rsid w:val="00284539"/>
    <w:pPr>
      <w:ind w:left="-1418"/>
    </w:pPr>
    <w:rPr>
      <w:sz w:val="2"/>
      <w:szCs w:val="2"/>
    </w:rPr>
  </w:style>
  <w:style w:type="character" w:styleId="PageNumber">
    <w:name w:val="page number"/>
    <w:basedOn w:val="DefaultParagraphFont"/>
    <w:rsid w:val="00284539"/>
  </w:style>
  <w:style w:type="paragraph" w:styleId="Quote">
    <w:name w:val="Quote"/>
    <w:basedOn w:val="Heading1"/>
    <w:link w:val="QuoteChar"/>
    <w:qFormat/>
    <w:rsid w:val="00284539"/>
    <w:rPr>
      <w:b w:val="0"/>
      <w:sz w:val="72"/>
      <w:szCs w:val="72"/>
      <w:lang w:val="en-NZ"/>
    </w:rPr>
  </w:style>
  <w:style w:type="character" w:customStyle="1" w:styleId="QuoteChar">
    <w:name w:val="Quote Char"/>
    <w:basedOn w:val="DefaultParagraphFont"/>
    <w:link w:val="Quote"/>
    <w:rsid w:val="00284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539"/>
    <w:pPr>
      <w:pageBreakBefore/>
    </w:pPr>
  </w:style>
  <w:style w:type="paragraph" w:customStyle="1" w:styleId="Border">
    <w:name w:val="Border"/>
    <w:basedOn w:val="Normal"/>
    <w:qFormat/>
    <w:rsid w:val="00284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539"/>
    <w:rPr>
      <w:b/>
      <w:bCs/>
      <w:i/>
      <w:iCs/>
      <w:color w:val="auto"/>
    </w:rPr>
  </w:style>
  <w:style w:type="paragraph" w:styleId="IntenseQuote">
    <w:name w:val="Intense Quote"/>
    <w:basedOn w:val="Normal"/>
    <w:next w:val="Normal"/>
    <w:link w:val="IntenseQuoteChar"/>
    <w:uiPriority w:val="30"/>
    <w:qFormat/>
    <w:rsid w:val="00284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5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539"/>
    <w:rPr>
      <w:smallCaps/>
      <w:color w:val="auto"/>
      <w:u w:val="single"/>
    </w:rPr>
  </w:style>
  <w:style w:type="character" w:styleId="IntenseReference">
    <w:name w:val="Intense Reference"/>
    <w:basedOn w:val="DefaultParagraphFont"/>
    <w:uiPriority w:val="32"/>
    <w:qFormat/>
    <w:rsid w:val="00284539"/>
    <w:rPr>
      <w:b/>
      <w:bCs/>
      <w:smallCaps/>
      <w:color w:val="auto"/>
      <w:spacing w:val="5"/>
      <w:u w:val="single"/>
    </w:rPr>
  </w:style>
  <w:style w:type="paragraph" w:customStyle="1" w:styleId="2ColumnHeading">
    <w:name w:val="2Column Heading"/>
    <w:basedOn w:val="BodyText"/>
    <w:qFormat/>
    <w:rsid w:val="00284539"/>
    <w:pPr>
      <w:spacing w:after="60"/>
      <w:ind w:left="-2268"/>
    </w:pPr>
    <w:rPr>
      <w:b/>
    </w:rPr>
  </w:style>
  <w:style w:type="paragraph" w:customStyle="1" w:styleId="Heading1TOC">
    <w:name w:val="Heading1 TOC"/>
    <w:basedOn w:val="Normal"/>
    <w:qFormat/>
    <w:rsid w:val="00284539"/>
    <w:pPr>
      <w:spacing w:before="240" w:after="120"/>
    </w:pPr>
    <w:rPr>
      <w:rFonts w:ascii="Times New Roman" w:hAnsi="Times New Roman"/>
      <w:b/>
      <w:sz w:val="32"/>
    </w:rPr>
  </w:style>
  <w:style w:type="paragraph" w:customStyle="1" w:styleId="Heading2TOC">
    <w:name w:val="Heading2 TOC"/>
    <w:basedOn w:val="Normal"/>
    <w:qFormat/>
    <w:rsid w:val="00284539"/>
    <w:pPr>
      <w:spacing w:before="240" w:after="60"/>
    </w:pPr>
    <w:rPr>
      <w:rFonts w:ascii="Times New Roman" w:hAnsi="Times New Roman"/>
      <w:b/>
      <w:sz w:val="28"/>
    </w:rPr>
  </w:style>
  <w:style w:type="character" w:customStyle="1" w:styleId="Underline">
    <w:name w:val="Underline"/>
    <w:basedOn w:val="DefaultParagraphFont"/>
    <w:qFormat/>
    <w:rsid w:val="00284539"/>
    <w:rPr>
      <w:u w:val="single"/>
    </w:rPr>
  </w:style>
  <w:style w:type="character" w:customStyle="1" w:styleId="BoldandItalics">
    <w:name w:val="Bold and Italics"/>
    <w:qFormat/>
    <w:rsid w:val="00284539"/>
    <w:rPr>
      <w:b/>
      <w:i/>
      <w:u w:val="none"/>
    </w:rPr>
  </w:style>
  <w:style w:type="paragraph" w:styleId="BalloonText">
    <w:name w:val="Balloon Text"/>
    <w:basedOn w:val="Normal"/>
    <w:link w:val="BalloonTextChar"/>
    <w:rsid w:val="00284539"/>
    <w:rPr>
      <w:rFonts w:ascii="Tahoma" w:hAnsi="Tahoma" w:cs="Tahoma"/>
      <w:sz w:val="16"/>
      <w:szCs w:val="16"/>
    </w:rPr>
  </w:style>
  <w:style w:type="character" w:customStyle="1" w:styleId="BalloonTextChar">
    <w:name w:val="Balloon Text Char"/>
    <w:basedOn w:val="DefaultParagraphFont"/>
    <w:link w:val="BalloonText"/>
    <w:rsid w:val="002845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5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5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539"/>
    <w:rPr>
      <w:b/>
      <w:color w:val="660033"/>
      <w:spacing w:val="0"/>
    </w:rPr>
  </w:style>
  <w:style w:type="paragraph" w:customStyle="1" w:styleId="Nameditemlist">
    <w:name w:val="Named item list"/>
    <w:basedOn w:val="BodyText"/>
    <w:qFormat/>
    <w:rsid w:val="00284539"/>
    <w:pPr>
      <w:tabs>
        <w:tab w:val="left" w:pos="2835"/>
      </w:tabs>
      <w:ind w:left="2835" w:hanging="2835"/>
    </w:pPr>
  </w:style>
  <w:style w:type="paragraph" w:customStyle="1" w:styleId="BodyTextnopadding">
    <w:name w:val="Body Text no padding"/>
    <w:basedOn w:val="BodyText"/>
    <w:qFormat/>
    <w:rsid w:val="00284539"/>
    <w:pPr>
      <w:spacing w:before="0" w:after="0"/>
    </w:pPr>
  </w:style>
  <w:style w:type="paragraph" w:customStyle="1" w:styleId="BodyTextBold">
    <w:name w:val="Body Text Bold"/>
    <w:basedOn w:val="BodyText"/>
    <w:qFormat/>
    <w:rsid w:val="00284539"/>
    <w:rPr>
      <w:b/>
    </w:rPr>
  </w:style>
  <w:style w:type="character" w:styleId="Hyperlink">
    <w:name w:val="Hyperlink"/>
    <w:basedOn w:val="DefaultParagraphFont"/>
    <w:uiPriority w:val="99"/>
    <w:unhideWhenUsed/>
    <w:rsid w:val="006C7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5004</Characters>
  <Application>Microsoft Office Word</Application>
  <DocSecurity>0</DocSecurity>
  <Lines>178</Lines>
  <Paragraphs>105</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MEM48033 Apply chemistry principles to materials used in manufacturing and engineering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2023-03-15T08:19:00Z</dcterms:created>
  <dcterms:modified xsi:type="dcterms:W3CDTF">2023-03-15T08:19:00Z</dcterms:modified>
</cp:coreProperties>
</file>