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DCB" w:rsidP="00DA6D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MEM48032 Select composite materials for engineering and manufacturing applications</w:t>
      </w:r>
      <w:r>
        <w:fldChar w:fldCharType="end"/>
      </w:r>
    </w:p>
    <w:p w:rsidR="00DA6DCB" w:rsidP="00DA6DCB">
      <w:pPr>
        <w:pStyle w:val="Version"/>
        <w:sectPr w:rsidSect="00131A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A53" w:rsidP="00131A53">
      <w:pPr>
        <w:pStyle w:val="SuperHeading"/>
      </w:pPr>
      <w:r w:rsidRPr="00131A53">
        <w:t>Assessment Requirements for MEM48032 Select composite materials for engineering and manufacturing applications</w:t>
      </w:r>
    </w:p>
    <w:p w:rsidR="00000000" w:rsidRPr="00131A53" w:rsidP="00131A53">
      <w:pPr>
        <w:pStyle w:val="Heading1"/>
      </w:pPr>
      <w:bookmarkStart w:id="1" w:name="O_1274281"/>
      <w:bookmarkEnd w:id="1"/>
      <w:r w:rsidRPr="00131A53">
        <w:t>Modification History</w:t>
      </w:r>
    </w:p>
    <w:p w:rsidR="00DA6DCB" w:rsidP="00DA6DCB">
      <w:pPr>
        <w:pStyle w:val="BodyText"/>
      </w:pPr>
      <w:r w:rsidRPr="00131A53">
        <w:t>Release 1. New unit.</w:t>
      </w:r>
    </w:p>
    <w:p w:rsidR="00000000" w:rsidRPr="00131A53" w:rsidP="00131A53">
      <w:pPr>
        <w:pStyle w:val="Heading1"/>
      </w:pPr>
      <w:bookmarkStart w:id="2" w:name="O_1274282"/>
      <w:bookmarkEnd w:id="2"/>
      <w:r w:rsidRPr="00131A53">
        <w:t>Performance Evidence</w:t>
      </w:r>
    </w:p>
    <w:p w:rsidR="00000000" w:rsidRPr="00131A53" w:rsidP="00DA6DCB">
      <w:pPr>
        <w:pStyle w:val="BodyText"/>
      </w:pPr>
      <w:r w:rsidRPr="00131A53">
        <w:t>There must be evidence the candidate has demonstrated the ability to:</w:t>
      </w:r>
    </w:p>
    <w:p w:rsidR="00000000" w:rsidRPr="00131A53" w:rsidP="00131A53">
      <w:pPr>
        <w:pStyle w:val="ListBullet"/>
      </w:pPr>
      <w:r w:rsidRPr="00131A53">
        <w:t>follow work instructions, standard operating procedures (SOPs) and safe work practices</w:t>
      </w:r>
    </w:p>
    <w:p w:rsidR="00000000" w:rsidRPr="00131A53" w:rsidP="00131A53">
      <w:pPr>
        <w:pStyle w:val="ListBullet"/>
      </w:pPr>
      <w:r w:rsidRPr="00131A53">
        <w:t>identify and interpret specifications, drawings, job sheets and other applicable reference documen</w:t>
      </w:r>
      <w:r w:rsidRPr="00131A53">
        <w:t>ts in selecting composite materials for engineering applications</w:t>
      </w:r>
    </w:p>
    <w:p w:rsidR="00000000" w:rsidRPr="00131A53" w:rsidP="00131A53">
      <w:pPr>
        <w:pStyle w:val="ListBullet"/>
      </w:pPr>
      <w:r w:rsidRPr="00131A53">
        <w:t>research common composites and natural materials for engineering applications by their required properties for a specific application on at least two occasions</w:t>
      </w:r>
    </w:p>
    <w:p w:rsidR="00000000" w:rsidRPr="00131A53" w:rsidP="00131A53">
      <w:pPr>
        <w:pStyle w:val="ListBullet"/>
      </w:pPr>
      <w:r w:rsidRPr="00131A53">
        <w:t>select tests appropriate for th</w:t>
      </w:r>
      <w:r w:rsidRPr="00131A53">
        <w:t xml:space="preserve">e selected material </w:t>
      </w:r>
    </w:p>
    <w:p w:rsidR="00000000" w:rsidRPr="00131A53" w:rsidP="00131A53">
      <w:pPr>
        <w:pStyle w:val="ListBullet"/>
      </w:pPr>
      <w:r w:rsidRPr="00131A53">
        <w:t>arrange tests appropriate to the non-metallic material and analyse the results on at least two occasions</w:t>
      </w:r>
    </w:p>
    <w:p w:rsidR="00000000" w:rsidRPr="00131A53" w:rsidP="00131A53">
      <w:pPr>
        <w:pStyle w:val="ListBullet"/>
      </w:pPr>
      <w:r w:rsidRPr="00131A53">
        <w:t>verify selection of materials.</w:t>
      </w:r>
    </w:p>
    <w:p w:rsidR="00DA6DCB" w:rsidP="00DA6DCB">
      <w:pPr>
        <w:pStyle w:val="BodyText"/>
      </w:pPr>
      <w:r w:rsidRPr="00131A53">
        <w:t>Note: Where a volume and/or frequency is not specified, demonstration must be provided at least onc</w:t>
      </w:r>
      <w:r w:rsidRPr="00131A53">
        <w:t>e.</w:t>
      </w:r>
    </w:p>
    <w:p w:rsidR="00000000" w:rsidRPr="00131A53" w:rsidP="00131A53">
      <w:pPr>
        <w:pStyle w:val="Heading1"/>
      </w:pPr>
      <w:bookmarkStart w:id="3" w:name="O_1274283"/>
      <w:bookmarkEnd w:id="3"/>
      <w:r w:rsidRPr="00131A53">
        <w:t>Knowledge Evidence</w:t>
      </w:r>
    </w:p>
    <w:p w:rsidR="00000000" w:rsidRPr="00131A53" w:rsidP="00DA6DCB">
      <w:pPr>
        <w:pStyle w:val="BodyText"/>
      </w:pPr>
      <w:r w:rsidRPr="00131A53">
        <w:t>There must be evidence the candidate has knowledge of:</w:t>
      </w:r>
    </w:p>
    <w:p w:rsidR="00000000" w:rsidRPr="00131A53" w:rsidP="00131A53">
      <w:pPr>
        <w:pStyle w:val="ListBullet"/>
      </w:pPr>
      <w:r w:rsidRPr="00131A53">
        <w:t xml:space="preserve">safe work practices and procedures and use of personal protective equipment (PPE) </w:t>
      </w:r>
    </w:p>
    <w:p w:rsidR="00000000" w:rsidRPr="00131A53" w:rsidP="00131A53">
      <w:pPr>
        <w:pStyle w:val="ListBullet"/>
      </w:pPr>
      <w:r w:rsidRPr="00131A53">
        <w:t>bonding processes within and between composites including:</w:t>
      </w:r>
    </w:p>
    <w:p w:rsidR="00000000" w:rsidRPr="00131A53" w:rsidP="00131A53">
      <w:pPr>
        <w:pStyle w:val="ListBullet"/>
      </w:pPr>
      <w:r w:rsidRPr="00131A53">
        <w:t>adhesion and sub</w:t>
      </w:r>
      <w:r w:rsidRPr="00131A53">
        <w:t>strate/resin interactions and control mechanisms</w:t>
      </w:r>
    </w:p>
    <w:p w:rsidR="00000000" w:rsidRPr="00131A53" w:rsidP="00131A53">
      <w:pPr>
        <w:pStyle w:val="ListBullet"/>
      </w:pPr>
      <w:r w:rsidRPr="00131A53">
        <w:t xml:space="preserve">types of polymers and plastics used in composites including: </w:t>
      </w:r>
    </w:p>
    <w:p w:rsidR="00000000" w:rsidRPr="00131A53" w:rsidP="00131A53">
      <w:pPr>
        <w:pStyle w:val="ListBullet2"/>
      </w:pPr>
      <w:r w:rsidRPr="00131A53">
        <w:t>linear polymers: e.g., polyethylene, PVC, polystyrene</w:t>
      </w:r>
    </w:p>
    <w:p w:rsidR="00000000" w:rsidRPr="00131A53" w:rsidP="00131A53">
      <w:pPr>
        <w:pStyle w:val="ListBullet2"/>
      </w:pPr>
      <w:r w:rsidRPr="00131A53">
        <w:t>elastomers including natural rubber (polyisoprene), (acrylonitrile butadiene)</w:t>
      </w:r>
    </w:p>
    <w:p w:rsidR="00000000" w:rsidRPr="00131A53" w:rsidP="00131A53">
      <w:pPr>
        <w:pStyle w:val="ListBullet2"/>
      </w:pPr>
      <w:r w:rsidRPr="00131A53">
        <w:t>thermosetting polymers: e.g. phenol formaldehyde, epoxides</w:t>
      </w:r>
    </w:p>
    <w:p w:rsidR="00000000" w:rsidRPr="00131A53" w:rsidP="00131A53">
      <w:pPr>
        <w:pStyle w:val="ListBullet2"/>
      </w:pPr>
      <w:r w:rsidRPr="00131A53">
        <w:t>inorganic glasses: e.g., oxide glasses, silica, borosilicate</w:t>
      </w:r>
    </w:p>
    <w:p w:rsidR="00000000" w:rsidRPr="00131A53" w:rsidP="00131A53">
      <w:pPr>
        <w:pStyle w:val="ListBullet2"/>
      </w:pPr>
      <w:r w:rsidRPr="00131A53">
        <w:t>gels</w:t>
      </w:r>
    </w:p>
    <w:p w:rsidR="00000000" w:rsidRPr="00131A53" w:rsidP="00131A53">
      <w:pPr>
        <w:pStyle w:val="ListBullet"/>
      </w:pPr>
      <w:r w:rsidRPr="00131A53">
        <w:t xml:space="preserve">common features and difference between monomers and polymers </w:t>
      </w:r>
    </w:p>
    <w:p w:rsidR="00000000" w:rsidRPr="00131A53" w:rsidP="00131A53">
      <w:pPr>
        <w:pStyle w:val="ListBullet"/>
      </w:pPr>
      <w:r w:rsidRPr="00131A53">
        <w:t xml:space="preserve">thermoplastics and thermosets </w:t>
      </w:r>
    </w:p>
    <w:p w:rsidR="00000000" w:rsidRPr="00131A53" w:rsidP="00131A53">
      <w:pPr>
        <w:pStyle w:val="ListBullet"/>
      </w:pPr>
      <w:r w:rsidRPr="00131A53">
        <w:t>crystallinity and non-crystallinity f</w:t>
      </w:r>
      <w:r w:rsidRPr="00131A53">
        <w:t xml:space="preserve">eatures in polymers </w:t>
      </w:r>
    </w:p>
    <w:p w:rsidR="00000000" w:rsidRPr="00131A53" w:rsidP="00131A53">
      <w:pPr>
        <w:pStyle w:val="ListBullet"/>
      </w:pPr>
      <w:r w:rsidRPr="00131A53">
        <w:t xml:space="preserve">additives including filters, reinforcements, plasticizers, UV stabilisers, antioxidants, lubricants, colourings and flame retardants </w:t>
      </w:r>
    </w:p>
    <w:p w:rsidR="00000000" w:rsidRPr="00131A53" w:rsidP="00131A53">
      <w:pPr>
        <w:pStyle w:val="ListBullet"/>
      </w:pPr>
      <w:r w:rsidRPr="00131A53">
        <w:t>safe working practices to take into account when selecting composite materials with silica and quartz</w:t>
      </w:r>
      <w:r w:rsidRPr="00131A53">
        <w:t xml:space="preserve">-based fillers </w:t>
      </w:r>
    </w:p>
    <w:p w:rsidR="00000000" w:rsidRPr="00131A53" w:rsidP="00131A53">
      <w:pPr>
        <w:pStyle w:val="ListBullet"/>
      </w:pPr>
      <w:r w:rsidRPr="00131A53">
        <w:t xml:space="preserve">common resins used in composite materials and their applications, including: </w:t>
      </w:r>
    </w:p>
    <w:p w:rsidR="00000000" w:rsidRPr="00131A53" w:rsidP="00131A53">
      <w:pPr>
        <w:pStyle w:val="ListBullet2"/>
      </w:pPr>
      <w:r w:rsidRPr="00131A53">
        <w:t>phenolic</w:t>
      </w:r>
    </w:p>
    <w:p w:rsidR="00000000" w:rsidRPr="00131A53" w:rsidP="00131A53">
      <w:pPr>
        <w:pStyle w:val="ListBullet2"/>
      </w:pPr>
      <w:r w:rsidRPr="00131A53">
        <w:t>polyester</w:t>
      </w:r>
    </w:p>
    <w:p w:rsidR="00000000" w:rsidRPr="00131A53" w:rsidP="00131A53">
      <w:pPr>
        <w:pStyle w:val="ListBullet2"/>
      </w:pPr>
      <w:r w:rsidRPr="00131A53">
        <w:t>alkyd</w:t>
      </w:r>
    </w:p>
    <w:p w:rsidR="00000000" w:rsidRPr="00131A53" w:rsidP="00131A53">
      <w:pPr>
        <w:pStyle w:val="ListBullet2"/>
      </w:pPr>
      <w:r w:rsidRPr="00131A53">
        <w:t>polycarbonate</w:t>
      </w:r>
    </w:p>
    <w:p w:rsidR="00000000" w:rsidRPr="00131A53" w:rsidP="00131A53">
      <w:pPr>
        <w:pStyle w:val="ListBullet2"/>
      </w:pPr>
      <w:r w:rsidRPr="00131A53">
        <w:t>polyurethane</w:t>
      </w:r>
    </w:p>
    <w:p w:rsidR="00000000" w:rsidRPr="00131A53" w:rsidP="00131A53">
      <w:pPr>
        <w:pStyle w:val="ListBullet2"/>
      </w:pPr>
      <w:r w:rsidRPr="00131A53">
        <w:t>polyamide</w:t>
      </w:r>
    </w:p>
    <w:p w:rsidR="00000000" w:rsidRPr="00131A53" w:rsidP="00131A53">
      <w:pPr>
        <w:pStyle w:val="ListBullet2"/>
      </w:pPr>
      <w:r w:rsidRPr="00131A53">
        <w:t>silicone</w:t>
      </w:r>
    </w:p>
    <w:p w:rsidR="00000000" w:rsidRPr="00131A53" w:rsidP="00131A53">
      <w:pPr>
        <w:pStyle w:val="ListBullet2"/>
      </w:pPr>
      <w:r w:rsidRPr="00131A53">
        <w:t xml:space="preserve">epoxy </w:t>
      </w:r>
    </w:p>
    <w:p w:rsidR="00000000" w:rsidRPr="00131A53" w:rsidP="00131A53">
      <w:pPr>
        <w:pStyle w:val="ListBullet2"/>
      </w:pPr>
      <w:r w:rsidRPr="00131A53">
        <w:t>polyethylene</w:t>
      </w:r>
    </w:p>
    <w:p w:rsidR="00000000" w:rsidRPr="00131A53" w:rsidP="00131A53">
      <w:pPr>
        <w:pStyle w:val="ListBullet2"/>
      </w:pPr>
      <w:r w:rsidRPr="00131A53">
        <w:t>polystyrene</w:t>
      </w:r>
    </w:p>
    <w:p w:rsidR="00000000" w:rsidRPr="00131A53" w:rsidP="00131A53">
      <w:pPr>
        <w:pStyle w:val="ListBullet2"/>
      </w:pPr>
      <w:r w:rsidRPr="00131A53">
        <w:t>polypropylene resins</w:t>
      </w:r>
    </w:p>
    <w:p w:rsidR="00000000" w:rsidRPr="00131A53" w:rsidP="00131A53">
      <w:pPr>
        <w:pStyle w:val="ListBullet2"/>
      </w:pPr>
      <w:r w:rsidRPr="00131A53">
        <w:t>vinyl ester</w:t>
      </w:r>
    </w:p>
    <w:p w:rsidR="00000000" w:rsidRPr="00131A53" w:rsidP="00131A53">
      <w:pPr>
        <w:pStyle w:val="ListBullet"/>
      </w:pPr>
      <w:r w:rsidRPr="00131A53">
        <w:t>failure modes of common composites and relationship to manufacturing errors, wear and incorrect usage or maintenance</w:t>
      </w:r>
    </w:p>
    <w:p w:rsidR="00000000" w:rsidRPr="00131A53" w:rsidP="00131A53">
      <w:pPr>
        <w:pStyle w:val="ListBullet"/>
      </w:pPr>
      <w:r w:rsidRPr="00131A53">
        <w:t>principles involved in selecting composite materials</w:t>
      </w:r>
    </w:p>
    <w:p w:rsidR="00000000" w:rsidRPr="00131A53" w:rsidP="00131A53">
      <w:pPr>
        <w:pStyle w:val="ListBullet"/>
      </w:pPr>
      <w:r w:rsidRPr="00131A53">
        <w:t>common engineering related properties of composites</w:t>
      </w:r>
    </w:p>
    <w:p w:rsidR="00DA6DCB" w:rsidP="00131A53">
      <w:pPr>
        <w:pStyle w:val="ListBullet"/>
      </w:pPr>
      <w:r w:rsidRPr="00131A53">
        <w:t>composite properties commonly requ</w:t>
      </w:r>
      <w:r w:rsidRPr="00131A53">
        <w:t>iring testing and testing methods.</w:t>
      </w:r>
    </w:p>
    <w:p w:rsidR="00DA6DCB" w:rsidP="00131A53">
      <w:pPr>
        <w:pStyle w:val="ListBullet"/>
      </w:pPr>
    </w:p>
    <w:p w:rsidR="00000000" w:rsidRPr="00131A53" w:rsidP="00131A53">
      <w:pPr>
        <w:pStyle w:val="Heading1"/>
      </w:pPr>
      <w:bookmarkStart w:id="4" w:name="O_1274284"/>
      <w:bookmarkEnd w:id="4"/>
      <w:r w:rsidRPr="00131A53">
        <w:t>Assessment Conditions</w:t>
      </w:r>
    </w:p>
    <w:p w:rsidR="00000000" w:rsidRPr="00131A53" w:rsidP="00131A53">
      <w:pPr>
        <w:pStyle w:val="ListBullet"/>
      </w:pPr>
      <w:r w:rsidRPr="00131A53">
        <w:t>Assessors must:</w:t>
      </w:r>
    </w:p>
    <w:p w:rsidR="00000000" w:rsidRPr="00131A53" w:rsidP="00131A53">
      <w:pPr>
        <w:pStyle w:val="ListBullet2"/>
      </w:pPr>
      <w:r w:rsidRPr="00131A53">
        <w:t xml:space="preserve">have vocational competency in selecting composite materials for engineering and manufacturing applications </w:t>
      </w:r>
      <w:r w:rsidRPr="00131A53">
        <w:t>at least to the level being assessed with relevant industry knowledge and experience</w:t>
      </w:r>
    </w:p>
    <w:p w:rsidR="00000000" w:rsidRPr="00131A53" w:rsidP="00131A53">
      <w:pPr>
        <w:pStyle w:val="ListBullet2"/>
      </w:pPr>
      <w:r w:rsidRPr="00131A53">
        <w:t xml:space="preserve">satisfy the assessor requirements in the </w:t>
      </w:r>
      <w:r w:rsidRPr="00131A53">
        <w:rPr>
          <w:rStyle w:val="Emphasis"/>
        </w:rPr>
        <w:t>Standards for Registered Training Organisations 2015 or its replacement</w:t>
      </w:r>
      <w:r w:rsidRPr="00131A53">
        <w:t xml:space="preserve"> and comply with the </w:t>
      </w:r>
      <w:r w:rsidRPr="00131A53">
        <w:rPr>
          <w:rStyle w:val="Emphasis"/>
        </w:rPr>
        <w:t>National Vocational Education and Trai</w:t>
      </w:r>
      <w:r w:rsidRPr="00131A53">
        <w:rPr>
          <w:rStyle w:val="Emphasis"/>
        </w:rPr>
        <w:t>ning Regulator Act 2011</w:t>
      </w:r>
      <w:r w:rsidRPr="00131A53">
        <w:t>, its replacement or equivalent legislation covering VET regulation in a non-referring State as the case requires.</w:t>
      </w:r>
    </w:p>
    <w:p w:rsidR="00000000" w:rsidRPr="00131A53" w:rsidP="00131A53">
      <w:pPr>
        <w:pStyle w:val="ListBullet"/>
      </w:pPr>
      <w:r w:rsidRPr="00131A53">
        <w:t>Where possible, assessment must occur in operational workplace situations. Where this is not possible or where person</w:t>
      </w:r>
      <w:r w:rsidRPr="00131A53">
        <w:t xml:space="preserve">al safety or environmental damage are limiting factors, assessment must occur in a sufficiently rigorous simulated environment that reflects realistic operational workplace conditions that cover all aspects of workplace performance, including environment, </w:t>
      </w:r>
      <w:r w:rsidRPr="00131A53">
        <w:t>task skills, task management skills, contingency management skills and job role environment skills.</w:t>
      </w:r>
    </w:p>
    <w:p w:rsidR="00000000" w:rsidRPr="00131A53" w:rsidP="00131A53">
      <w:pPr>
        <w:pStyle w:val="ListBullet"/>
      </w:pPr>
      <w:r w:rsidRPr="00131A53">
        <w:t>There must be suitable access to an operating plant or equipment that allows for appropriate and realistic simulation and documentation including relevant w</w:t>
      </w:r>
      <w:r w:rsidRPr="00131A53">
        <w:t>orkplace procedures, industry codes and standards.</w:t>
      </w:r>
    </w:p>
    <w:p w:rsidR="00DA6DCB" w:rsidP="00131A53">
      <w:pPr>
        <w:pStyle w:val="ListBullet"/>
      </w:pPr>
      <w:r w:rsidRPr="00131A53">
        <w:t>Assessment processes and techniques must be appropriate to the language, literacy and numeracy requirements of the work being performed and the needs of the candidate.</w:t>
      </w:r>
    </w:p>
    <w:p w:rsidR="00DA6DCB" w:rsidP="00131A53">
      <w:pPr>
        <w:pStyle w:val="ListBullet"/>
      </w:pPr>
    </w:p>
    <w:p w:rsidR="00000000" w:rsidRPr="00131A53" w:rsidP="00131A53">
      <w:pPr>
        <w:pStyle w:val="Heading1"/>
      </w:pPr>
      <w:bookmarkStart w:id="5" w:name="O_1274287"/>
      <w:bookmarkEnd w:id="5"/>
      <w:r w:rsidRPr="00131A53">
        <w:t>Links</w:t>
      </w:r>
    </w:p>
    <w:p w:rsidR="00000000" w:rsidRPr="00131A53" w:rsidP="00DA6DCB">
      <w:pPr>
        <w:pStyle w:val="BodyText"/>
      </w:pPr>
      <w:r w:rsidRPr="00131A53">
        <w:t>Companion V</w:t>
      </w:r>
      <w:r w:rsidRPr="00131A53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E606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31A53" w:rsidP="00131A53"/>
    <w:sectPr w:rsidSect="00131A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53" w:rsidRPr="00DA6DCB" w:rsidP="00DA6D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DCB" w:rsidP="00131A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6DCB" w:rsidP="00131A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A6DCB" w:rsidP="00131A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D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A53" w:rsidRPr="00DA6DCB" w:rsidP="00DA6D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DCB" w:rsidRPr="002D2AF8" w:rsidP="00131A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MEM48032 Select composite materials for engineering and manufacturing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March 2023</w:t>
    </w:r>
    <w:r>
      <w:fldChar w:fldCharType="end"/>
    </w:r>
  </w:p>
  <w:p w:rsidR="00DA6DCB" w:rsidP="00131A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8469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A4FD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2E7B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A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A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A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A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A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A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A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A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A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A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A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A53"/>
  </w:style>
  <w:style w:type="character" w:customStyle="1" w:styleId="Heading1Char">
    <w:name w:val="Heading 1 Char"/>
    <w:basedOn w:val="DefaultParagraphFont"/>
    <w:link w:val="Heading1"/>
    <w:rsid w:val="00131A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A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A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1A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1A5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1A53"/>
    <w:rPr>
      <w:i/>
    </w:rPr>
  </w:style>
  <w:style w:type="paragraph" w:customStyle="1" w:styleId="SuperHeading">
    <w:name w:val="SuperHeading"/>
    <w:basedOn w:val="Normal"/>
    <w:rsid w:val="00131A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1A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A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A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A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A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A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A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A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A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A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A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A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A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A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A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A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A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A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A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1A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1A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1A53"/>
    <w:rPr>
      <w:b/>
      <w:spacing w:val="0"/>
    </w:rPr>
  </w:style>
  <w:style w:type="paragraph" w:customStyle="1" w:styleId="SuperTitle">
    <w:name w:val="SuperTitle"/>
    <w:basedOn w:val="Title"/>
    <w:rsid w:val="00131A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A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A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1A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A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A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A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A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A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A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A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A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1A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A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A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A53"/>
  </w:style>
  <w:style w:type="paragraph" w:styleId="TableofFigures">
    <w:name w:val="table of figures"/>
    <w:basedOn w:val="Normal"/>
    <w:next w:val="Normal"/>
    <w:semiHidden/>
    <w:rsid w:val="00131A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A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1A53"/>
    <w:rPr>
      <w:rFonts w:ascii="Wingdings" w:hAnsi="Wingdings"/>
    </w:rPr>
  </w:style>
  <w:style w:type="paragraph" w:customStyle="1" w:styleId="TableHeading">
    <w:name w:val="Table Heading"/>
    <w:basedOn w:val="HeadingBase"/>
    <w:rsid w:val="00131A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A53"/>
    <w:rPr>
      <w:color w:val="0033CC"/>
      <w:u w:val="none"/>
    </w:rPr>
  </w:style>
  <w:style w:type="paragraph" w:customStyle="1" w:styleId="BodyTextRight">
    <w:name w:val="Body Text Right"/>
    <w:basedOn w:val="BodyText"/>
    <w:rsid w:val="00131A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A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A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A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A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A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A53"/>
    <w:rPr>
      <w:sz w:val="32"/>
    </w:rPr>
  </w:style>
  <w:style w:type="paragraph" w:customStyle="1" w:styleId="HeadingProcedure">
    <w:name w:val="Heading Procedure"/>
    <w:basedOn w:val="HeadingBase"/>
    <w:next w:val="Normal"/>
    <w:rsid w:val="00131A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A53"/>
    <w:pPr>
      <w:spacing w:before="60" w:after="60"/>
    </w:pPr>
  </w:style>
  <w:style w:type="paragraph" w:styleId="ListContinue">
    <w:name w:val="List Continue"/>
    <w:basedOn w:val="List"/>
    <w:rsid w:val="00131A53"/>
    <w:pPr>
      <w:ind w:firstLine="0"/>
    </w:pPr>
  </w:style>
  <w:style w:type="paragraph" w:customStyle="1" w:styleId="ListNote">
    <w:name w:val="List Note"/>
    <w:basedOn w:val="List"/>
    <w:rsid w:val="00131A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A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A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A53"/>
    <w:rPr>
      <w:rFonts w:ascii="Courier New" w:hAnsi="Courier New"/>
    </w:rPr>
  </w:style>
  <w:style w:type="paragraph" w:customStyle="1" w:styleId="NoteBullet">
    <w:name w:val="Note Bullet"/>
    <w:basedOn w:val="Note"/>
    <w:rsid w:val="00131A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A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A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A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A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1A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A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A53"/>
    <w:rPr>
      <w:b/>
      <w:smallCaps/>
    </w:rPr>
  </w:style>
  <w:style w:type="paragraph" w:customStyle="1" w:styleId="TableListNumber">
    <w:name w:val="Table List Number"/>
    <w:basedOn w:val="ListNumber"/>
    <w:rsid w:val="00131A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A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A53"/>
    <w:pPr>
      <w:numPr>
        <w:numId w:val="9"/>
      </w:numPr>
    </w:pPr>
  </w:style>
  <w:style w:type="paragraph" w:customStyle="1" w:styleId="ListAlpha2">
    <w:name w:val="List Alpha 2"/>
    <w:basedOn w:val="List2"/>
    <w:rsid w:val="00131A53"/>
    <w:pPr>
      <w:numPr>
        <w:numId w:val="8"/>
      </w:numPr>
    </w:pPr>
  </w:style>
  <w:style w:type="paragraph" w:styleId="List2">
    <w:name w:val="List 2"/>
    <w:basedOn w:val="BodyText"/>
    <w:rsid w:val="00131A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A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A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A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A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A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1A53"/>
    <w:pPr>
      <w:numPr>
        <w:numId w:val="4"/>
      </w:numPr>
    </w:pPr>
  </w:style>
  <w:style w:type="paragraph" w:styleId="ListContinue2">
    <w:name w:val="List Continue 2"/>
    <w:basedOn w:val="List2"/>
    <w:rsid w:val="00131A53"/>
    <w:pPr>
      <w:ind w:firstLine="0"/>
    </w:pPr>
  </w:style>
  <w:style w:type="paragraph" w:styleId="ListContinue3">
    <w:name w:val="List Continue 3"/>
    <w:basedOn w:val="List3"/>
    <w:rsid w:val="00131A53"/>
    <w:pPr>
      <w:ind w:left="1021" w:firstLine="0"/>
    </w:pPr>
  </w:style>
  <w:style w:type="paragraph" w:styleId="ListContinue4">
    <w:name w:val="List Continue 4"/>
    <w:basedOn w:val="List4"/>
    <w:rsid w:val="00131A53"/>
    <w:pPr>
      <w:ind w:firstLine="0"/>
    </w:pPr>
  </w:style>
  <w:style w:type="paragraph" w:styleId="ListContinue5">
    <w:name w:val="List Continue 5"/>
    <w:basedOn w:val="List5"/>
    <w:rsid w:val="00131A53"/>
    <w:pPr>
      <w:ind w:firstLine="0"/>
    </w:pPr>
  </w:style>
  <w:style w:type="paragraph" w:styleId="ListNumber3">
    <w:name w:val="List Number 3"/>
    <w:basedOn w:val="List3"/>
    <w:rsid w:val="00131A53"/>
    <w:pPr>
      <w:numPr>
        <w:numId w:val="5"/>
      </w:numPr>
    </w:pPr>
  </w:style>
  <w:style w:type="paragraph" w:styleId="ListNumber4">
    <w:name w:val="List Number 4"/>
    <w:basedOn w:val="List4"/>
    <w:rsid w:val="00131A53"/>
    <w:pPr>
      <w:numPr>
        <w:numId w:val="6"/>
      </w:numPr>
    </w:pPr>
  </w:style>
  <w:style w:type="paragraph" w:styleId="ListNumber5">
    <w:name w:val="List Number 5"/>
    <w:basedOn w:val="List5"/>
    <w:rsid w:val="00131A53"/>
    <w:pPr>
      <w:numPr>
        <w:numId w:val="7"/>
      </w:numPr>
    </w:pPr>
  </w:style>
  <w:style w:type="paragraph" w:styleId="BlockText">
    <w:name w:val="Block Text"/>
    <w:basedOn w:val="Normal"/>
    <w:rsid w:val="00131A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A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A53"/>
    <w:rPr>
      <w:sz w:val="16"/>
      <w:vertAlign w:val="superscript"/>
    </w:rPr>
  </w:style>
  <w:style w:type="character" w:customStyle="1" w:styleId="Symbols">
    <w:name w:val="Symbols"/>
    <w:basedOn w:val="DefaultParagraphFont"/>
    <w:rsid w:val="00131A53"/>
    <w:rPr>
      <w:rFonts w:ascii="Symbol" w:hAnsi="Symbol"/>
    </w:rPr>
  </w:style>
  <w:style w:type="character" w:customStyle="1" w:styleId="MenuOptions">
    <w:name w:val="Menu Options"/>
    <w:basedOn w:val="DefaultParagraphFont"/>
    <w:rsid w:val="00131A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A53"/>
    <w:rPr>
      <w:b/>
    </w:rPr>
  </w:style>
  <w:style w:type="character" w:customStyle="1" w:styleId="Underlined">
    <w:name w:val="Underlined"/>
    <w:basedOn w:val="DefaultParagraphFont"/>
    <w:rsid w:val="00131A53"/>
    <w:rPr>
      <w:u w:val="single"/>
    </w:rPr>
  </w:style>
  <w:style w:type="paragraph" w:customStyle="1" w:styleId="TableBodyTextRight">
    <w:name w:val="Table Body Text Right"/>
    <w:basedOn w:val="TableBodyText"/>
    <w:rsid w:val="00131A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A53"/>
    <w:rPr>
      <w:sz w:val="18"/>
    </w:rPr>
  </w:style>
  <w:style w:type="paragraph" w:customStyle="1" w:styleId="BodySmallRight">
    <w:name w:val="Body Small Right"/>
    <w:basedOn w:val="BodyTextRight"/>
    <w:rsid w:val="00131A53"/>
    <w:rPr>
      <w:sz w:val="18"/>
      <w:szCs w:val="18"/>
    </w:rPr>
  </w:style>
  <w:style w:type="paragraph" w:customStyle="1" w:styleId="MarginEdition">
    <w:name w:val="Margin Edition"/>
    <w:basedOn w:val="MarginNote"/>
    <w:rsid w:val="00131A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A53"/>
    <w:rPr>
      <w:sz w:val="2"/>
      <w:szCs w:val="2"/>
    </w:rPr>
  </w:style>
  <w:style w:type="character" w:customStyle="1" w:styleId="Small">
    <w:name w:val="Small"/>
    <w:basedOn w:val="DefaultParagraphFont"/>
    <w:rsid w:val="00131A53"/>
    <w:rPr>
      <w:sz w:val="16"/>
    </w:rPr>
  </w:style>
  <w:style w:type="paragraph" w:customStyle="1" w:styleId="WideTable">
    <w:name w:val="Wide Table"/>
    <w:basedOn w:val="Normal"/>
    <w:rsid w:val="00131A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A53"/>
  </w:style>
  <w:style w:type="paragraph" w:styleId="Quote">
    <w:name w:val="Quote"/>
    <w:basedOn w:val="Heading1"/>
    <w:link w:val="QuoteChar"/>
    <w:qFormat/>
    <w:rsid w:val="00131A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A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A53"/>
    <w:pPr>
      <w:pageBreakBefore/>
    </w:pPr>
  </w:style>
  <w:style w:type="paragraph" w:customStyle="1" w:styleId="Border">
    <w:name w:val="Border"/>
    <w:basedOn w:val="Normal"/>
    <w:qFormat/>
    <w:rsid w:val="00131A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A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A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A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A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A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A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A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A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A53"/>
    <w:rPr>
      <w:u w:val="single"/>
    </w:rPr>
  </w:style>
  <w:style w:type="character" w:customStyle="1" w:styleId="BoldandItalics">
    <w:name w:val="Bold and Italics"/>
    <w:qFormat/>
    <w:rsid w:val="00131A53"/>
    <w:rPr>
      <w:b/>
      <w:i/>
      <w:u w:val="none"/>
    </w:rPr>
  </w:style>
  <w:style w:type="paragraph" w:styleId="BalloonText">
    <w:name w:val="Balloon Text"/>
    <w:basedOn w:val="Normal"/>
    <w:link w:val="BalloonTextChar"/>
    <w:rsid w:val="00131A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A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A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A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A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A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A53"/>
    <w:pPr>
      <w:spacing w:before="0" w:after="0"/>
    </w:pPr>
  </w:style>
  <w:style w:type="paragraph" w:customStyle="1" w:styleId="BodyTextBold">
    <w:name w:val="Body Text Bold"/>
    <w:basedOn w:val="BodyText"/>
    <w:qFormat/>
    <w:rsid w:val="00131A53"/>
    <w:rPr>
      <w:b/>
    </w:rPr>
  </w:style>
  <w:style w:type="character" w:styleId="Hyperlink">
    <w:name w:val="Hyperlink"/>
    <w:basedOn w:val="DefaultParagraphFont"/>
    <w:uiPriority w:val="99"/>
    <w:unhideWhenUsed/>
    <w:rsid w:val="00DA6D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3752</Characters>
  <Application>Microsoft Office Word</Application>
  <DocSecurity>0</DocSecurity>
  <Lines>89</Lines>
  <Paragraphs>65</Paragraphs>
  <ScaleCrop>false</ScaleCrop>
  <Company>Author-it Software Corporation Ltd.</Company>
  <LinksUpToDate>false</LinksUpToDate>
  <CharactersWithSpaces>4220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MEM48032 Select composite materials for engineering and manufacturing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2023-03-15T08:08:00Z</dcterms:created>
  <dcterms:modified xsi:type="dcterms:W3CDTF">2023-03-15T08:08:00Z</dcterms:modified>
</cp:coreProperties>
</file>