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9FE" w:rsidP="00AB7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MEM48031 Select ceramic and glass materials for engineering and manufacturing applications</w:t>
      </w:r>
      <w:r>
        <w:fldChar w:fldCharType="end"/>
      </w:r>
    </w:p>
    <w:p w:rsidR="00AB79FE" w:rsidP="00AB79FE">
      <w:pPr>
        <w:pStyle w:val="Version"/>
        <w:sectPr w:rsidSect="00567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AE2" w:rsidP="00567AE2">
      <w:pPr>
        <w:pStyle w:val="SuperHeading"/>
      </w:pPr>
      <w:r w:rsidRPr="00567AE2">
        <w:t>Assessment Requirements for MEM48031 Select ceramic and glass materials for engineering and manufacturing applications</w:t>
      </w:r>
    </w:p>
    <w:p w:rsidR="00000000" w:rsidRPr="00567AE2" w:rsidP="00567AE2">
      <w:pPr>
        <w:pStyle w:val="Heading1"/>
      </w:pPr>
      <w:bookmarkStart w:id="1" w:name="O_1274226"/>
      <w:bookmarkEnd w:id="1"/>
      <w:r w:rsidRPr="00567AE2">
        <w:t>Modification History</w:t>
      </w:r>
    </w:p>
    <w:p w:rsidR="00AB79FE" w:rsidP="00AB79FE">
      <w:pPr>
        <w:pStyle w:val="BodyText"/>
      </w:pPr>
      <w:r w:rsidRPr="00567AE2">
        <w:t>Release 1. New unit.</w:t>
      </w:r>
    </w:p>
    <w:p w:rsidR="00000000" w:rsidRPr="00567AE2" w:rsidP="00567AE2">
      <w:pPr>
        <w:pStyle w:val="Heading1"/>
      </w:pPr>
      <w:bookmarkStart w:id="2" w:name="O_1274227"/>
      <w:bookmarkEnd w:id="2"/>
      <w:r w:rsidRPr="00567AE2">
        <w:t>Performance Evidence</w:t>
      </w:r>
    </w:p>
    <w:p w:rsidR="00000000" w:rsidRPr="00567AE2" w:rsidP="00AB79FE">
      <w:pPr>
        <w:pStyle w:val="BodyText"/>
      </w:pPr>
      <w:r w:rsidRPr="00567AE2">
        <w:t>There must be</w:t>
      </w:r>
      <w:r w:rsidRPr="00567AE2">
        <w:t xml:space="preserve"> evidence the candidate has demonstrated the ability to:</w:t>
      </w:r>
    </w:p>
    <w:p w:rsidR="00000000" w:rsidRPr="00567AE2" w:rsidP="00567AE2">
      <w:pPr>
        <w:pStyle w:val="ListBullet"/>
      </w:pPr>
      <w:r w:rsidRPr="00567AE2">
        <w:t>follow work instructions, standard operating procedures (SOPs) and safe work practices</w:t>
      </w:r>
    </w:p>
    <w:p w:rsidR="00000000" w:rsidRPr="00567AE2" w:rsidP="00567AE2">
      <w:pPr>
        <w:pStyle w:val="ListBullet"/>
      </w:pPr>
      <w:r w:rsidRPr="00567AE2">
        <w:t>identify and interpret specifications, drawings, job sheets and other applicable reference documents for select</w:t>
      </w:r>
      <w:r w:rsidRPr="00567AE2">
        <w:t xml:space="preserve">ing two ceramic and two glass materials </w:t>
      </w:r>
    </w:p>
    <w:p w:rsidR="00000000" w:rsidRPr="00567AE2" w:rsidP="00567AE2">
      <w:pPr>
        <w:pStyle w:val="ListBullet"/>
      </w:pPr>
      <w:r w:rsidRPr="00567AE2">
        <w:t>research common engineering ceramic and glass materials by their required properties for a specific application on at least two occasions</w:t>
      </w:r>
    </w:p>
    <w:p w:rsidR="00000000" w:rsidRPr="00567AE2" w:rsidP="00567AE2">
      <w:pPr>
        <w:pStyle w:val="ListBullet"/>
      </w:pPr>
      <w:r w:rsidRPr="00567AE2">
        <w:t xml:space="preserve">select and carry out tests appropriate to the material </w:t>
      </w:r>
    </w:p>
    <w:p w:rsidR="00000000" w:rsidRPr="00567AE2" w:rsidP="00567AE2">
      <w:pPr>
        <w:pStyle w:val="ListBullet"/>
      </w:pPr>
      <w:r w:rsidRPr="00567AE2">
        <w:t>arrange tests appropr</w:t>
      </w:r>
      <w:r w:rsidRPr="00567AE2">
        <w:t>iate to the ceramic material and analyse the results on at least two occasions</w:t>
      </w:r>
    </w:p>
    <w:p w:rsidR="00000000" w:rsidRPr="00567AE2" w:rsidP="00567AE2">
      <w:pPr>
        <w:pStyle w:val="ListBullet"/>
      </w:pPr>
      <w:r w:rsidRPr="00567AE2">
        <w:t>verify selection of ceramic and glass materials.</w:t>
      </w:r>
    </w:p>
    <w:p w:rsidR="00AB79FE" w:rsidRPr="00AB79FE" w:rsidP="00AB79FE">
      <w:pPr>
        <w:pStyle w:val="BodyText"/>
        <w:rPr>
          <w:i/>
        </w:rPr>
      </w:pPr>
      <w:r w:rsidRPr="00AB79FE">
        <w:rPr>
          <w:rStyle w:val="Emphasis"/>
        </w:rPr>
        <w:t>Note: Where a volume and/or frequency is not specified, demonstration must be provided at least once.</w:t>
      </w:r>
    </w:p>
    <w:p w:rsidR="00000000" w:rsidRPr="00567AE2" w:rsidP="00567AE2">
      <w:pPr>
        <w:pStyle w:val="Heading1"/>
      </w:pPr>
      <w:bookmarkStart w:id="3" w:name="O_1274228"/>
      <w:bookmarkEnd w:id="3"/>
      <w:r w:rsidRPr="00567AE2">
        <w:t>Knowle</w:t>
      </w:r>
      <w:r w:rsidRPr="00567AE2">
        <w:t>dge Evidence</w:t>
      </w:r>
    </w:p>
    <w:p w:rsidR="00000000" w:rsidRPr="00567AE2" w:rsidP="00AB79FE">
      <w:pPr>
        <w:pStyle w:val="BodyText"/>
      </w:pPr>
      <w:r w:rsidRPr="00567AE2">
        <w:t>There must be evidence the candidate has knowledge of:</w:t>
      </w:r>
    </w:p>
    <w:p w:rsidR="00000000" w:rsidRPr="00567AE2" w:rsidP="00567AE2">
      <w:pPr>
        <w:pStyle w:val="ListBullet"/>
      </w:pPr>
      <w:r w:rsidRPr="00567AE2">
        <w:t xml:space="preserve">safe work practices and procedures and use of personal protective equipment (PPE) </w:t>
      </w:r>
    </w:p>
    <w:p w:rsidR="00000000" w:rsidRPr="00567AE2" w:rsidP="00567AE2">
      <w:pPr>
        <w:pStyle w:val="ListBullet"/>
      </w:pPr>
      <w:r w:rsidRPr="00567AE2">
        <w:t>general non-crystalline material features including short-range order and relationship to glasses and ge</w:t>
      </w:r>
      <w:r w:rsidRPr="00567AE2">
        <w:t>ls</w:t>
      </w:r>
    </w:p>
    <w:p w:rsidR="00000000" w:rsidRPr="00567AE2" w:rsidP="00567AE2">
      <w:pPr>
        <w:pStyle w:val="ListBullet"/>
      </w:pPr>
      <w:r w:rsidRPr="00567AE2">
        <w:t>the vitreous or glassy state and the basic structural unit SIO4 tetrahedra</w:t>
      </w:r>
    </w:p>
    <w:p w:rsidR="00000000" w:rsidRPr="00567AE2" w:rsidP="00567AE2">
      <w:pPr>
        <w:pStyle w:val="ListBullet"/>
      </w:pPr>
      <w:r w:rsidRPr="00567AE2">
        <w:t>properties of silica (SiO</w:t>
      </w:r>
      <w:r w:rsidRPr="00567AE2">
        <w:rPr>
          <w:rStyle w:val="Subscript"/>
        </w:rPr>
        <w:t>2</w:t>
      </w:r>
      <w:r w:rsidRPr="00567AE2">
        <w:t>) and quartz including vitreous or fused silica</w:t>
      </w:r>
    </w:p>
    <w:p w:rsidR="00000000" w:rsidRPr="00567AE2" w:rsidP="00567AE2">
      <w:pPr>
        <w:pStyle w:val="ListBullet"/>
      </w:pPr>
      <w:r w:rsidRPr="00567AE2">
        <w:t xml:space="preserve">safe working practices to take into account when selecting silica and quartz materials for an application </w:t>
      </w:r>
    </w:p>
    <w:p w:rsidR="00000000" w:rsidRPr="00567AE2" w:rsidP="00567AE2">
      <w:pPr>
        <w:pStyle w:val="ListBullet"/>
      </w:pPr>
      <w:r w:rsidRPr="00567AE2">
        <w:t xml:space="preserve">engineering ceramics: </w:t>
      </w:r>
    </w:p>
    <w:p w:rsidR="00000000" w:rsidRPr="00567AE2" w:rsidP="00567AE2">
      <w:pPr>
        <w:pStyle w:val="ListBullet2"/>
      </w:pPr>
      <w:r w:rsidRPr="00567AE2">
        <w:t>glass ceramics and applications</w:t>
      </w:r>
    </w:p>
    <w:p w:rsidR="00000000" w:rsidRPr="00567AE2" w:rsidP="00567AE2">
      <w:pPr>
        <w:pStyle w:val="ListBullet2"/>
      </w:pPr>
      <w:r w:rsidRPr="00567AE2">
        <w:t>causes of ceramic cracking under temperature</w:t>
      </w:r>
    </w:p>
    <w:p w:rsidR="00000000" w:rsidRPr="00567AE2" w:rsidP="00567AE2">
      <w:pPr>
        <w:pStyle w:val="ListBullet2"/>
      </w:pPr>
      <w:r w:rsidRPr="00567AE2">
        <w:t>binary (e.g., MgO-AlxO</w:t>
      </w:r>
      <w:r w:rsidRPr="00567AE2">
        <w:rPr>
          <w:rStyle w:val="Subscript"/>
        </w:rPr>
        <w:t>3</w:t>
      </w:r>
      <w:r w:rsidRPr="00567AE2">
        <w:t>) and ternary ceramic dia</w:t>
      </w:r>
      <w:r w:rsidRPr="00567AE2">
        <w:t>grams)</w:t>
      </w:r>
    </w:p>
    <w:p w:rsidR="00000000" w:rsidRPr="00567AE2" w:rsidP="00567AE2">
      <w:pPr>
        <w:pStyle w:val="ListBullet"/>
      </w:pPr>
      <w:r w:rsidRPr="00567AE2">
        <w:t>processes for manufacture of ceramic articles including:</w:t>
      </w:r>
    </w:p>
    <w:p w:rsidR="00000000" w:rsidRPr="00567AE2" w:rsidP="00567AE2">
      <w:pPr>
        <w:pStyle w:val="ListBullet2"/>
      </w:pPr>
      <w:r w:rsidRPr="00567AE2">
        <w:t xml:space="preserve">raw materials </w:t>
      </w:r>
    </w:p>
    <w:p w:rsidR="00000000" w:rsidRPr="00567AE2" w:rsidP="00567AE2">
      <w:pPr>
        <w:pStyle w:val="ListBullet2"/>
      </w:pPr>
      <w:r w:rsidRPr="00567AE2">
        <w:t xml:space="preserve">effect of water </w:t>
      </w:r>
    </w:p>
    <w:p w:rsidR="00000000" w:rsidRPr="00567AE2" w:rsidP="00567AE2">
      <w:pPr>
        <w:pStyle w:val="ListBullet2"/>
      </w:pPr>
      <w:r w:rsidRPr="00567AE2">
        <w:t xml:space="preserve">shaping by pressure fabrication, </w:t>
      </w:r>
    </w:p>
    <w:p w:rsidR="00000000" w:rsidRPr="00567AE2" w:rsidP="00567AE2">
      <w:pPr>
        <w:pStyle w:val="ListBullet2"/>
      </w:pPr>
      <w:r w:rsidRPr="00567AE2">
        <w:t xml:space="preserve">hydroplastic forming and slip casting </w:t>
      </w:r>
    </w:p>
    <w:p w:rsidR="00000000" w:rsidRPr="00567AE2" w:rsidP="00567AE2">
      <w:pPr>
        <w:pStyle w:val="ListBullet2"/>
      </w:pPr>
      <w:r w:rsidRPr="00567AE2">
        <w:t xml:space="preserve">drying and shrinkage </w:t>
      </w:r>
    </w:p>
    <w:p w:rsidR="00000000" w:rsidRPr="00567AE2" w:rsidP="00567AE2">
      <w:pPr>
        <w:pStyle w:val="ListBullet2"/>
      </w:pPr>
      <w:r w:rsidRPr="00567AE2">
        <w:t>sintering (fixing) and associated shrinkage</w:t>
      </w:r>
    </w:p>
    <w:p w:rsidR="00000000" w:rsidRPr="00567AE2" w:rsidP="00567AE2">
      <w:pPr>
        <w:pStyle w:val="ListBullet"/>
      </w:pPr>
      <w:r w:rsidRPr="00567AE2">
        <w:t>glass properties i</w:t>
      </w:r>
      <w:r w:rsidRPr="00567AE2">
        <w:t>ncluding:</w:t>
      </w:r>
    </w:p>
    <w:p w:rsidR="00000000" w:rsidRPr="00567AE2" w:rsidP="00567AE2">
      <w:pPr>
        <w:pStyle w:val="ListBullet2"/>
      </w:pPr>
      <w:r w:rsidRPr="00567AE2">
        <w:t xml:space="preserve">viscosity </w:t>
      </w:r>
    </w:p>
    <w:p w:rsidR="00000000" w:rsidRPr="00567AE2" w:rsidP="00567AE2">
      <w:pPr>
        <w:pStyle w:val="ListBullet2"/>
      </w:pPr>
      <w:r w:rsidRPr="00567AE2">
        <w:t>mechanical properties</w:t>
      </w:r>
    </w:p>
    <w:p w:rsidR="00000000" w:rsidRPr="00567AE2" w:rsidP="00567AE2">
      <w:pPr>
        <w:pStyle w:val="ListBullet2"/>
      </w:pPr>
      <w:r w:rsidRPr="00567AE2">
        <w:t>optical properties</w:t>
      </w:r>
    </w:p>
    <w:p w:rsidR="00000000" w:rsidRPr="00567AE2" w:rsidP="00567AE2">
      <w:pPr>
        <w:pStyle w:val="ListBullet"/>
      </w:pPr>
      <w:r w:rsidRPr="00567AE2">
        <w:t>glass formers, glass modifiers and intermediates and their role in glass structure</w:t>
      </w:r>
    </w:p>
    <w:p w:rsidR="00000000" w:rsidRPr="00567AE2" w:rsidP="00567AE2">
      <w:pPr>
        <w:pStyle w:val="ListBullet"/>
      </w:pPr>
      <w:r w:rsidRPr="00567AE2">
        <w:t>glass treatments including tempering and annealing</w:t>
      </w:r>
    </w:p>
    <w:p w:rsidR="00000000" w:rsidRPr="00567AE2" w:rsidP="00567AE2">
      <w:pPr>
        <w:pStyle w:val="ListBullet"/>
      </w:pPr>
      <w:r w:rsidRPr="00567AE2">
        <w:t xml:space="preserve">devitrification of glass and its effects on glass properties </w:t>
      </w:r>
    </w:p>
    <w:p w:rsidR="00AB79FE" w:rsidP="00567AE2">
      <w:pPr>
        <w:pStyle w:val="ListBullet"/>
      </w:pPr>
      <w:r w:rsidRPr="00567AE2">
        <w:t>tests used to determine ceramic and glass properties.</w:t>
      </w:r>
    </w:p>
    <w:p w:rsidR="00AB79FE" w:rsidP="00567AE2">
      <w:pPr>
        <w:pStyle w:val="ListBullet"/>
      </w:pPr>
    </w:p>
    <w:p w:rsidR="00000000" w:rsidRPr="00567AE2" w:rsidP="00567AE2">
      <w:pPr>
        <w:pStyle w:val="Heading1"/>
      </w:pPr>
      <w:bookmarkStart w:id="4" w:name="O_1274229"/>
      <w:bookmarkEnd w:id="4"/>
      <w:r w:rsidRPr="00567AE2">
        <w:t>Assessment Conditions</w:t>
      </w:r>
    </w:p>
    <w:p w:rsidR="00000000" w:rsidRPr="00567AE2" w:rsidP="00567AE2">
      <w:pPr>
        <w:pStyle w:val="ListBullet"/>
      </w:pPr>
      <w:r w:rsidRPr="00567AE2">
        <w:t>Assessors must:</w:t>
      </w:r>
    </w:p>
    <w:p w:rsidR="00000000" w:rsidRPr="00567AE2" w:rsidP="00567AE2">
      <w:pPr>
        <w:pStyle w:val="ListBullet2"/>
      </w:pPr>
      <w:r w:rsidRPr="00567AE2">
        <w:t>have vocational competency in selecting ceramic and glass materials for engineer</w:t>
      </w:r>
      <w:r w:rsidRPr="00567AE2">
        <w:t>ing and manufacturing applications at least to the level being assessed with relevant industry knowledge and experience</w:t>
      </w:r>
    </w:p>
    <w:p w:rsidR="00000000" w:rsidRPr="00567AE2" w:rsidP="00567AE2">
      <w:pPr>
        <w:pStyle w:val="ListBullet2"/>
      </w:pPr>
      <w:r w:rsidRPr="00567AE2">
        <w:t xml:space="preserve">satisfy the assessor requirements in the </w:t>
      </w:r>
      <w:r w:rsidRPr="00567AE2">
        <w:rPr>
          <w:rStyle w:val="Emphasis"/>
        </w:rPr>
        <w:t xml:space="preserve">Standards for Registered Training Organisations 2015 or its replacement </w:t>
      </w:r>
      <w:r w:rsidRPr="00567AE2">
        <w:t xml:space="preserve">and comply with the </w:t>
      </w:r>
      <w:r w:rsidRPr="00567AE2">
        <w:rPr>
          <w:rStyle w:val="Emphasis"/>
        </w:rPr>
        <w:t>Nat</w:t>
      </w:r>
      <w:r w:rsidRPr="00567AE2">
        <w:rPr>
          <w:rStyle w:val="Emphasis"/>
        </w:rPr>
        <w:t xml:space="preserve">ional Vocational Education and Training Regulator Act 2011, </w:t>
      </w:r>
      <w:r w:rsidRPr="00567AE2">
        <w:t>its replacement</w:t>
      </w:r>
      <w:r w:rsidRPr="00567AE2">
        <w:rPr>
          <w:rStyle w:val="Emphasis"/>
        </w:rPr>
        <w:t xml:space="preserve"> </w:t>
      </w:r>
      <w:r w:rsidRPr="00567AE2">
        <w:t>or equivalent legislation covering VET regulation in a non-referring State as the case requires.</w:t>
      </w:r>
    </w:p>
    <w:p w:rsidR="00000000" w:rsidRPr="00567AE2" w:rsidP="00567AE2">
      <w:pPr>
        <w:pStyle w:val="ListBullet"/>
      </w:pPr>
      <w:r w:rsidRPr="00567AE2">
        <w:t>Where possible, assessment must occur in operational workplace situations. Where t</w:t>
      </w:r>
      <w:r w:rsidRPr="00567AE2">
        <w:t>his is not possible or where personal safety or environmental damage are limiting factors, assessment must occur in a sufficiently rigorous simulated environment that reflects realistic operational workplace conditions that cover all aspects of workplace p</w:t>
      </w:r>
      <w:r w:rsidRPr="00567AE2">
        <w:t>erformance, including environment, task skills, task management skills, contingency management skills and job role environment skills.</w:t>
      </w:r>
    </w:p>
    <w:p w:rsidR="00000000" w:rsidRPr="00567AE2" w:rsidP="00567AE2">
      <w:pPr>
        <w:pStyle w:val="ListBullet"/>
      </w:pPr>
      <w:r w:rsidRPr="00567AE2">
        <w:t>There must be suitable access to an operating plant or equipment that allows for appropriate and realistic simulation and</w:t>
      </w:r>
      <w:r w:rsidRPr="00567AE2">
        <w:t xml:space="preserve"> documentation including relevant workplace procedures, industry codes and standards.</w:t>
      </w:r>
    </w:p>
    <w:p w:rsidR="00AB79FE" w:rsidP="00567AE2">
      <w:pPr>
        <w:pStyle w:val="ListBullet"/>
      </w:pPr>
      <w:r w:rsidRPr="00567AE2">
        <w:t xml:space="preserve">Assessment processes and techniques must be appropriate to the language, literacy and numeracy requirements of the work being performed and the needs of the candidate. </w:t>
      </w:r>
    </w:p>
    <w:p w:rsidR="00AB79FE" w:rsidP="00567AE2">
      <w:pPr>
        <w:pStyle w:val="ListBullet"/>
      </w:pPr>
    </w:p>
    <w:p w:rsidR="00000000" w:rsidRPr="00567AE2" w:rsidP="00567AE2">
      <w:pPr>
        <w:pStyle w:val="Heading1"/>
      </w:pPr>
      <w:bookmarkStart w:id="5" w:name="O_1274232"/>
      <w:bookmarkEnd w:id="5"/>
      <w:r w:rsidRPr="00567AE2">
        <w:t>Links</w:t>
      </w:r>
    </w:p>
    <w:p w:rsidR="00000000" w:rsidRPr="00567AE2" w:rsidP="00AB79FE">
      <w:pPr>
        <w:pStyle w:val="BodyText"/>
      </w:pPr>
      <w:r w:rsidRPr="00567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E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67AE2" w:rsidP="00567AE2"/>
    <w:sectPr w:rsidSect="00567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 w:rsidRPr="00AB79FE" w:rsidP="00AB7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FE" w:rsidP="0056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79FE" w:rsidP="0056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79FE" w:rsidP="00567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AE2" w:rsidRPr="00AB79FE" w:rsidP="00AB7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FE" w:rsidRPr="002D2AF8" w:rsidP="0056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MEM48031 Select ceramic and glass materials for engineering and manufacturing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AB79FE" w:rsidP="00567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05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07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25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AE2"/>
  </w:style>
  <w:style w:type="character" w:customStyle="1" w:styleId="Heading1Char">
    <w:name w:val="Heading 1 Char"/>
    <w:basedOn w:val="DefaultParagraphFont"/>
    <w:link w:val="Heading1"/>
    <w:rsid w:val="00567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A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A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7AE2"/>
    <w:rPr>
      <w:i/>
    </w:rPr>
  </w:style>
  <w:style w:type="paragraph" w:customStyle="1" w:styleId="SuperHeading">
    <w:name w:val="SuperHeading"/>
    <w:basedOn w:val="Normal"/>
    <w:rsid w:val="00567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567AE2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7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AE2"/>
    <w:rPr>
      <w:b/>
      <w:spacing w:val="0"/>
    </w:rPr>
  </w:style>
  <w:style w:type="paragraph" w:customStyle="1" w:styleId="SuperTitle">
    <w:name w:val="SuperTitle"/>
    <w:basedOn w:val="Title"/>
    <w:rsid w:val="00567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A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AE2"/>
  </w:style>
  <w:style w:type="paragraph" w:styleId="TableofFigures">
    <w:name w:val="table of figures"/>
    <w:basedOn w:val="Normal"/>
    <w:next w:val="Normal"/>
    <w:semiHidden/>
    <w:rsid w:val="00567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A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AE2"/>
    <w:rPr>
      <w:rFonts w:ascii="Wingdings" w:hAnsi="Wingdings"/>
    </w:rPr>
  </w:style>
  <w:style w:type="paragraph" w:customStyle="1" w:styleId="TableHeading">
    <w:name w:val="Table Heading"/>
    <w:basedOn w:val="HeadingBase"/>
    <w:rsid w:val="00567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AE2"/>
    <w:rPr>
      <w:color w:val="0033CC"/>
      <w:u w:val="none"/>
    </w:rPr>
  </w:style>
  <w:style w:type="paragraph" w:customStyle="1" w:styleId="BodyTextRight">
    <w:name w:val="Body Text Right"/>
    <w:basedOn w:val="BodyText"/>
    <w:rsid w:val="00567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A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AE2"/>
    <w:rPr>
      <w:sz w:val="32"/>
    </w:rPr>
  </w:style>
  <w:style w:type="paragraph" w:customStyle="1" w:styleId="HeadingProcedure">
    <w:name w:val="Heading Procedure"/>
    <w:basedOn w:val="HeadingBase"/>
    <w:next w:val="Normal"/>
    <w:rsid w:val="00567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AE2"/>
    <w:pPr>
      <w:spacing w:before="60" w:after="60"/>
    </w:pPr>
  </w:style>
  <w:style w:type="paragraph" w:styleId="ListContinue">
    <w:name w:val="List Continue"/>
    <w:basedOn w:val="List"/>
    <w:rsid w:val="00567AE2"/>
    <w:pPr>
      <w:ind w:firstLine="0"/>
    </w:pPr>
  </w:style>
  <w:style w:type="paragraph" w:customStyle="1" w:styleId="ListNote">
    <w:name w:val="List Note"/>
    <w:basedOn w:val="List"/>
    <w:rsid w:val="00567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AE2"/>
    <w:rPr>
      <w:rFonts w:ascii="Courier New" w:hAnsi="Courier New"/>
    </w:rPr>
  </w:style>
  <w:style w:type="paragraph" w:customStyle="1" w:styleId="NoteBullet">
    <w:name w:val="Note Bullet"/>
    <w:basedOn w:val="Note"/>
    <w:rsid w:val="00567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AE2"/>
    <w:rPr>
      <w:b/>
      <w:smallCaps/>
    </w:rPr>
  </w:style>
  <w:style w:type="paragraph" w:customStyle="1" w:styleId="TableListNumber">
    <w:name w:val="Table List Number"/>
    <w:basedOn w:val="ListNumber"/>
    <w:rsid w:val="00567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AE2"/>
    <w:pPr>
      <w:numPr>
        <w:numId w:val="9"/>
      </w:numPr>
    </w:pPr>
  </w:style>
  <w:style w:type="paragraph" w:customStyle="1" w:styleId="ListAlpha2">
    <w:name w:val="List Alpha 2"/>
    <w:basedOn w:val="List2"/>
    <w:rsid w:val="00567AE2"/>
    <w:pPr>
      <w:numPr>
        <w:numId w:val="8"/>
      </w:numPr>
    </w:pPr>
  </w:style>
  <w:style w:type="paragraph" w:styleId="List2">
    <w:name w:val="List 2"/>
    <w:basedOn w:val="BodyText"/>
    <w:rsid w:val="00567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A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AE2"/>
    <w:pPr>
      <w:numPr>
        <w:numId w:val="4"/>
      </w:numPr>
    </w:pPr>
  </w:style>
  <w:style w:type="paragraph" w:styleId="ListContinue2">
    <w:name w:val="List Continue 2"/>
    <w:basedOn w:val="List2"/>
    <w:rsid w:val="00567AE2"/>
    <w:pPr>
      <w:ind w:firstLine="0"/>
    </w:pPr>
  </w:style>
  <w:style w:type="paragraph" w:styleId="ListContinue3">
    <w:name w:val="List Continue 3"/>
    <w:basedOn w:val="List3"/>
    <w:rsid w:val="00567AE2"/>
    <w:pPr>
      <w:ind w:left="1021" w:firstLine="0"/>
    </w:pPr>
  </w:style>
  <w:style w:type="paragraph" w:styleId="ListContinue4">
    <w:name w:val="List Continue 4"/>
    <w:basedOn w:val="List4"/>
    <w:rsid w:val="00567AE2"/>
    <w:pPr>
      <w:ind w:firstLine="0"/>
    </w:pPr>
  </w:style>
  <w:style w:type="paragraph" w:styleId="ListContinue5">
    <w:name w:val="List Continue 5"/>
    <w:basedOn w:val="List5"/>
    <w:rsid w:val="00567AE2"/>
    <w:pPr>
      <w:ind w:firstLine="0"/>
    </w:pPr>
  </w:style>
  <w:style w:type="paragraph" w:styleId="ListNumber3">
    <w:name w:val="List Number 3"/>
    <w:basedOn w:val="List3"/>
    <w:rsid w:val="00567AE2"/>
    <w:pPr>
      <w:numPr>
        <w:numId w:val="5"/>
      </w:numPr>
    </w:pPr>
  </w:style>
  <w:style w:type="paragraph" w:styleId="ListNumber4">
    <w:name w:val="List Number 4"/>
    <w:basedOn w:val="List4"/>
    <w:rsid w:val="00567AE2"/>
    <w:pPr>
      <w:numPr>
        <w:numId w:val="6"/>
      </w:numPr>
    </w:pPr>
  </w:style>
  <w:style w:type="paragraph" w:styleId="ListNumber5">
    <w:name w:val="List Number 5"/>
    <w:basedOn w:val="List5"/>
    <w:rsid w:val="00567AE2"/>
    <w:pPr>
      <w:numPr>
        <w:numId w:val="7"/>
      </w:numPr>
    </w:pPr>
  </w:style>
  <w:style w:type="paragraph" w:styleId="BlockText">
    <w:name w:val="Block Text"/>
    <w:basedOn w:val="Normal"/>
    <w:rsid w:val="00567AE2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567AE2"/>
    <w:rPr>
      <w:sz w:val="16"/>
      <w:vertAlign w:val="superscript"/>
    </w:rPr>
  </w:style>
  <w:style w:type="character" w:customStyle="1" w:styleId="Symbols">
    <w:name w:val="Symbols"/>
    <w:basedOn w:val="DefaultParagraphFont"/>
    <w:rsid w:val="00567AE2"/>
    <w:rPr>
      <w:rFonts w:ascii="Symbol" w:hAnsi="Symbol"/>
    </w:rPr>
  </w:style>
  <w:style w:type="character" w:customStyle="1" w:styleId="MenuOptions">
    <w:name w:val="Menu Options"/>
    <w:basedOn w:val="DefaultParagraphFont"/>
    <w:rsid w:val="00567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AE2"/>
    <w:rPr>
      <w:b/>
    </w:rPr>
  </w:style>
  <w:style w:type="character" w:customStyle="1" w:styleId="Underlined">
    <w:name w:val="Underlined"/>
    <w:basedOn w:val="DefaultParagraphFont"/>
    <w:rsid w:val="00567AE2"/>
    <w:rPr>
      <w:u w:val="single"/>
    </w:rPr>
  </w:style>
  <w:style w:type="paragraph" w:customStyle="1" w:styleId="TableBodyTextRight">
    <w:name w:val="Table Body Text Right"/>
    <w:basedOn w:val="TableBodyText"/>
    <w:rsid w:val="00567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AE2"/>
    <w:rPr>
      <w:sz w:val="18"/>
    </w:rPr>
  </w:style>
  <w:style w:type="paragraph" w:customStyle="1" w:styleId="BodySmallRight">
    <w:name w:val="Body Small Right"/>
    <w:basedOn w:val="BodyTextRight"/>
    <w:rsid w:val="00567AE2"/>
    <w:rPr>
      <w:sz w:val="18"/>
      <w:szCs w:val="18"/>
    </w:rPr>
  </w:style>
  <w:style w:type="paragraph" w:customStyle="1" w:styleId="MarginEdition">
    <w:name w:val="Margin Edition"/>
    <w:basedOn w:val="MarginNote"/>
    <w:rsid w:val="00567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AE2"/>
    <w:rPr>
      <w:sz w:val="2"/>
      <w:szCs w:val="2"/>
    </w:rPr>
  </w:style>
  <w:style w:type="character" w:customStyle="1" w:styleId="Small">
    <w:name w:val="Small"/>
    <w:basedOn w:val="DefaultParagraphFont"/>
    <w:rsid w:val="00567AE2"/>
    <w:rPr>
      <w:sz w:val="16"/>
    </w:rPr>
  </w:style>
  <w:style w:type="paragraph" w:customStyle="1" w:styleId="WideTable">
    <w:name w:val="Wide Table"/>
    <w:basedOn w:val="Normal"/>
    <w:rsid w:val="00567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AE2"/>
  </w:style>
  <w:style w:type="paragraph" w:styleId="Quote">
    <w:name w:val="Quote"/>
    <w:basedOn w:val="Heading1"/>
    <w:link w:val="QuoteChar"/>
    <w:qFormat/>
    <w:rsid w:val="00567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AE2"/>
    <w:pPr>
      <w:pageBreakBefore/>
    </w:pPr>
  </w:style>
  <w:style w:type="paragraph" w:customStyle="1" w:styleId="Border">
    <w:name w:val="Border"/>
    <w:basedOn w:val="Normal"/>
    <w:qFormat/>
    <w:rsid w:val="00567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AE2"/>
    <w:rPr>
      <w:u w:val="single"/>
    </w:rPr>
  </w:style>
  <w:style w:type="character" w:customStyle="1" w:styleId="BoldandItalics">
    <w:name w:val="Bold and Italics"/>
    <w:qFormat/>
    <w:rsid w:val="00567AE2"/>
    <w:rPr>
      <w:b/>
      <w:i/>
      <w:u w:val="none"/>
    </w:rPr>
  </w:style>
  <w:style w:type="paragraph" w:styleId="BalloonText">
    <w:name w:val="Balloon Text"/>
    <w:basedOn w:val="Normal"/>
    <w:link w:val="BalloonTextChar"/>
    <w:rsid w:val="00567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AE2"/>
    <w:pPr>
      <w:spacing w:before="0" w:after="0"/>
    </w:pPr>
  </w:style>
  <w:style w:type="paragraph" w:customStyle="1" w:styleId="BodyTextBold">
    <w:name w:val="Body Text Bold"/>
    <w:basedOn w:val="BodyText"/>
    <w:qFormat/>
    <w:rsid w:val="00567AE2"/>
    <w:rPr>
      <w:b/>
    </w:rPr>
  </w:style>
  <w:style w:type="character" w:styleId="Hyperlink">
    <w:name w:val="Hyperlink"/>
    <w:basedOn w:val="DefaultParagraphFont"/>
    <w:uiPriority w:val="99"/>
    <w:unhideWhenUsed/>
    <w:rsid w:val="00AB7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3487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MEM48031 Select ceramic and glass materials for engineering and manufacturing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2023-03-15T08:05:00Z</dcterms:created>
  <dcterms:modified xsi:type="dcterms:W3CDTF">2023-03-15T08:05:00Z</dcterms:modified>
</cp:coreProperties>
</file>