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FAC" w:rsidP="005E6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MEM48027 Select non-metallic materials for engineering applications</w:t>
      </w:r>
      <w:r>
        <w:fldChar w:fldCharType="end"/>
      </w:r>
    </w:p>
    <w:p w:rsidR="005E6FAC" w:rsidP="005E6FAC">
      <w:pPr>
        <w:pStyle w:val="Version"/>
        <w:sectPr w:rsidSect="00DF7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5CE" w:rsidP="00DF75CE">
      <w:pPr>
        <w:pStyle w:val="SuperHeading"/>
      </w:pPr>
      <w:r w:rsidRPr="00DF75CE">
        <w:t>MEM48027 Select non-metallic materials for engi</w:t>
      </w:r>
      <w:r w:rsidRPr="00DF75CE">
        <w:t>neering applications</w:t>
      </w:r>
    </w:p>
    <w:p w:rsidR="00000000" w:rsidRPr="00DF75CE" w:rsidP="00DF75CE">
      <w:pPr>
        <w:pStyle w:val="Heading1"/>
      </w:pPr>
      <w:bookmarkStart w:id="1" w:name="O_950226"/>
      <w:bookmarkEnd w:id="1"/>
      <w:r w:rsidRPr="00DF75CE">
        <w:t>Modification History</w:t>
      </w:r>
    </w:p>
    <w:p w:rsidR="005E6FAC" w:rsidP="005E6FAC">
      <w:pPr>
        <w:pStyle w:val="BodyText"/>
      </w:pPr>
      <w:r w:rsidRPr="00DF75CE">
        <w:t>Release 1. Supersedes and is equivalent to MSATCM516A Select non-metallic materials for engineering applications.</w:t>
      </w:r>
    </w:p>
    <w:p w:rsidR="00000000" w:rsidRPr="00DF75CE" w:rsidP="00DF75CE">
      <w:pPr>
        <w:pStyle w:val="Heading1"/>
      </w:pPr>
      <w:bookmarkStart w:id="2" w:name="O_950234"/>
      <w:bookmarkEnd w:id="2"/>
      <w:r w:rsidRPr="00DF75CE">
        <w:t>Application</w:t>
      </w:r>
    </w:p>
    <w:p w:rsidR="00000000" w:rsidRPr="00DF75CE" w:rsidP="005E6FAC">
      <w:pPr>
        <w:pStyle w:val="BodyText"/>
      </w:pPr>
      <w:r w:rsidRPr="00DF75CE">
        <w:t>This unit of competency defines the skills and knowledge required to recognise common non-metallic materials used in engineering, assist in the selection of a material for a specific application, and use test results to evaluate the properties of materials</w:t>
      </w:r>
      <w:r w:rsidRPr="00DF75CE">
        <w:t>.</w:t>
      </w:r>
    </w:p>
    <w:p w:rsidR="00000000" w:rsidRPr="00DF75CE" w:rsidP="005E6FAC">
      <w:pPr>
        <w:pStyle w:val="BodyText"/>
      </w:pPr>
      <w:r w:rsidRPr="00DF75CE">
        <w:t>It applies to metallurgist technician level activities in manufacturing and engineering environments where the metallurgist.</w:t>
      </w:r>
    </w:p>
    <w:p w:rsidR="005E6FAC" w:rsidP="005E6FAC">
      <w:pPr>
        <w:pStyle w:val="BodyText"/>
      </w:pPr>
      <w:r w:rsidRPr="00DF75CE">
        <w:t>No licensing, legislative or certification requirements apply to this unit at the time of publication.</w:t>
      </w:r>
    </w:p>
    <w:p w:rsidR="00000000" w:rsidRPr="00DF75CE" w:rsidP="00DF75CE">
      <w:pPr>
        <w:pStyle w:val="Heading1"/>
      </w:pPr>
      <w:bookmarkStart w:id="3" w:name="O_950233"/>
      <w:bookmarkEnd w:id="3"/>
      <w:r w:rsidRPr="00DF75CE">
        <w:t>Pre-requ</w:t>
      </w:r>
      <w:r w:rsidRPr="00DF75CE">
        <w:t>isite Unit</w:t>
      </w:r>
    </w:p>
    <w:p w:rsidR="00000000" w:rsidRPr="00DF75CE" w:rsidP="005E6FAC">
      <w:pPr>
        <w:pStyle w:val="BodyText"/>
      </w:pPr>
      <w:r w:rsidRPr="00DF75CE">
        <w:t>Nil</w:t>
      </w:r>
    </w:p>
    <w:p w:rsidR="00000000" w:rsidRPr="00DF75CE" w:rsidP="00DF75CE">
      <w:pPr>
        <w:pStyle w:val="Heading1"/>
      </w:pPr>
      <w:bookmarkStart w:id="4" w:name="O_950232"/>
      <w:bookmarkEnd w:id="4"/>
      <w:r w:rsidRPr="00DF75CE">
        <w:t>Competency Field</w:t>
      </w:r>
    </w:p>
    <w:p w:rsidR="00000000" w:rsidRPr="00DF75CE" w:rsidP="005E6FAC">
      <w:pPr>
        <w:pStyle w:val="BodyText"/>
      </w:pPr>
      <w:r w:rsidRPr="00DF75CE">
        <w:t>Metallurgy</w:t>
      </w:r>
    </w:p>
    <w:p w:rsidR="00000000" w:rsidRPr="00DF75CE" w:rsidP="00DF75CE">
      <w:pPr>
        <w:pStyle w:val="Heading1"/>
      </w:pPr>
      <w:bookmarkStart w:id="5" w:name="O_950230"/>
      <w:bookmarkEnd w:id="5"/>
      <w:r w:rsidRPr="00DF75C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E6F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CE" w:rsidP="00DF75CE">
            <w:pPr>
              <w:pStyle w:val="BodyText"/>
            </w:pPr>
            <w:r w:rsidRPr="00DF75C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rPr>
                <w:rStyle w:val="SpecialBold"/>
              </w:rPr>
              <w:t>Performance Criteria</w:t>
            </w:r>
          </w:p>
        </w:tc>
      </w:tr>
      <w:tr w:rsidTr="005E6F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CE" w:rsidP="00DF75CE">
            <w:pPr>
              <w:pStyle w:val="BodyText"/>
            </w:pPr>
            <w:r w:rsidRPr="00DF75CE">
              <w:rPr>
                <w:rStyle w:val="Emphasis"/>
              </w:rPr>
              <w:t xml:space="preserve">Elements describe the </w:t>
            </w:r>
            <w:r w:rsidRPr="00DF75CE">
              <w:t xml:space="preserve">essential </w:t>
            </w:r>
            <w:r w:rsidRPr="00DF75C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F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CE" w:rsidP="00DF75CE">
            <w:pPr>
              <w:pStyle w:val="BodyText"/>
            </w:pPr>
            <w:r w:rsidRPr="00DF75CE">
              <w:t>1.1 Follow standard operating procedures (SOPs)</w:t>
            </w:r>
          </w:p>
          <w:p w:rsidR="00000000" w:rsidRPr="00DF75CE" w:rsidP="00DF75CE">
            <w:pPr>
              <w:pStyle w:val="BodyText"/>
            </w:pPr>
            <w:r w:rsidRPr="00DF75CE">
              <w:t>1.2 Comply with work health and safety (WHS) requirements at all times</w:t>
            </w:r>
          </w:p>
          <w:p w:rsidR="00000000" w:rsidRPr="00DF75CE" w:rsidP="00DF75CE">
            <w:pPr>
              <w:pStyle w:val="BodyText"/>
            </w:pPr>
            <w:r w:rsidRPr="00DF75CE">
              <w:t>1.3 Use ap</w:t>
            </w:r>
            <w:r w:rsidRPr="00DF75CE">
              <w:t>propriate personal protective equipment (PPE) in accordance with SOPs</w:t>
            </w:r>
          </w:p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t>1.4 Identify job requirements from work information</w:t>
            </w:r>
          </w:p>
        </w:tc>
      </w:tr>
      <w:tr w:rsidTr="005E6F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t>2. Select non-metallic materials for specific applications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CE" w:rsidP="00DF75CE">
            <w:pPr>
              <w:pStyle w:val="BodyText"/>
            </w:pPr>
            <w:r w:rsidRPr="00DF75CE">
              <w:t>2.1 Determine the engineering requirement for the specific application in consultation with others</w:t>
            </w:r>
          </w:p>
          <w:p w:rsidR="00000000" w:rsidRPr="00DF75CE" w:rsidP="00DF75CE">
            <w:pPr>
              <w:pStyle w:val="BodyText"/>
            </w:pPr>
            <w:r w:rsidRPr="00DF75CE">
              <w:t>2.2 Select material based on the requirement and consideration of principal properties and further processing</w:t>
            </w:r>
          </w:p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t>2.3 Confirm selection according to standard ope</w:t>
            </w:r>
            <w:r w:rsidRPr="00DF75CE">
              <w:t>rating procedures (SOPs)</w:t>
            </w:r>
          </w:p>
        </w:tc>
      </w:tr>
      <w:tr w:rsidTr="005E6F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CE">
            <w:pPr>
              <w:pStyle w:val="BodyText"/>
              <w:rPr>
                <w:lang w:val="en-NZ"/>
              </w:rPr>
            </w:pPr>
            <w:r w:rsidRPr="00DF75CE">
              <w:t>3. Verify selected non- metallic material as fit for purpose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CE" w:rsidP="00DF75CE">
            <w:pPr>
              <w:pStyle w:val="BodyText"/>
            </w:pPr>
            <w:r w:rsidRPr="00DF75CE">
              <w:t>3.1 Identify appropriate tests for the required properties</w:t>
            </w:r>
          </w:p>
          <w:p w:rsidR="00000000" w:rsidRPr="00DF75CE" w:rsidP="00DF75CE">
            <w:pPr>
              <w:pStyle w:val="BodyText"/>
            </w:pPr>
            <w:r w:rsidRPr="00DF75CE">
              <w:t>3.2 Arrange testing of materials with internal or external parties based on testing requirements</w:t>
            </w:r>
          </w:p>
          <w:p w:rsidR="00000000" w:rsidRPr="00DF75CE" w:rsidP="00DF75CE">
            <w:pPr>
              <w:pStyle w:val="BodyText"/>
            </w:pPr>
            <w:r w:rsidRPr="00DF75CE">
              <w:t>3.3 Analyse t</w:t>
            </w:r>
            <w:r w:rsidRPr="00DF75CE">
              <w:t>est results and confirm or modify material choices based on test outcomes</w:t>
            </w:r>
          </w:p>
        </w:tc>
      </w:tr>
    </w:tbl>
    <w:p w:rsidR="005E6FAC" w:rsidP="00DF75CE">
      <w:pPr>
        <w:pStyle w:val="BodyText"/>
      </w:pPr>
    </w:p>
    <w:p w:rsidR="005E6FAC" w:rsidP="00DF75CE">
      <w:pPr>
        <w:pStyle w:val="BodyText"/>
      </w:pPr>
    </w:p>
    <w:p w:rsidR="00000000" w:rsidRPr="00DF75CE" w:rsidP="00DF75CE">
      <w:pPr>
        <w:pStyle w:val="Heading1"/>
      </w:pPr>
      <w:bookmarkStart w:id="6" w:name="O_950229"/>
      <w:bookmarkEnd w:id="6"/>
      <w:r w:rsidRPr="00DF75CE">
        <w:t>Foundation Skills</w:t>
      </w:r>
    </w:p>
    <w:p w:rsidR="00000000" w:rsidRPr="00DF75CE" w:rsidP="005E6FAC">
      <w:pPr>
        <w:pStyle w:val="BodyText"/>
      </w:pPr>
      <w:r w:rsidRPr="00DF75CE">
        <w:t>This section describes those language, literacy, numeracy and employment skills that are essential to performance.</w:t>
      </w:r>
    </w:p>
    <w:p w:rsidR="005E6FAC" w:rsidP="005E6FAC">
      <w:pPr>
        <w:pStyle w:val="BodyText"/>
      </w:pPr>
      <w:r w:rsidRPr="00DF75CE">
        <w:t>Foundation skills essential t</w:t>
      </w:r>
      <w:r w:rsidRPr="00DF75CE">
        <w:t>o performance are explicit in the performance criteria of this unit of competency.</w:t>
      </w:r>
    </w:p>
    <w:p w:rsidR="00000000" w:rsidRPr="00DF75CE" w:rsidP="00DF75CE">
      <w:pPr>
        <w:pStyle w:val="Heading1"/>
      </w:pPr>
      <w:bookmarkStart w:id="7" w:name="O_950228"/>
      <w:bookmarkEnd w:id="7"/>
      <w:r w:rsidRPr="00DF75CE">
        <w:t>Range of Conditions</w:t>
      </w:r>
    </w:p>
    <w:p w:rsidR="00000000" w:rsidRPr="00DF75CE" w:rsidP="005E6FAC">
      <w:pPr>
        <w:pStyle w:val="BodyText"/>
      </w:pPr>
      <w:r w:rsidRPr="00DF75CE">
        <w:t>This field allows for different work environments and conditions that may affect performance. Essential operating conditions that may b</w:t>
      </w:r>
      <w:r w:rsidRPr="00DF75CE">
        <w:t>e present (depending on the work situation, needs of the candidate, accessibility of the item, and local industry and regional contexts) are included.</w:t>
      </w:r>
    </w:p>
    <w:p w:rsidR="005E6FAC" w:rsidP="005E6FAC">
      <w:pPr>
        <w:pStyle w:val="BodyText"/>
      </w:pPr>
      <w:r w:rsidRPr="00DF75CE">
        <w:t>There is no Range of Conditions for this unit of competency.</w:t>
      </w:r>
    </w:p>
    <w:p w:rsidR="00000000" w:rsidRPr="00DF75CE" w:rsidP="00DF75CE">
      <w:pPr>
        <w:pStyle w:val="Heading1"/>
      </w:pPr>
      <w:bookmarkStart w:id="8" w:name="O_950227"/>
      <w:bookmarkEnd w:id="8"/>
      <w:r w:rsidRPr="00DF75CE">
        <w:t>Unit Mapping Information</w:t>
      </w:r>
    </w:p>
    <w:p w:rsidR="005E6FAC" w:rsidP="005E6FAC">
      <w:pPr>
        <w:pStyle w:val="BodyText"/>
      </w:pPr>
      <w:r w:rsidRPr="00DF75CE">
        <w:t>Release 1. Supersedes and is equivalent to MSATCM516A Select non metallic materials for engineering applications.</w:t>
      </w:r>
    </w:p>
    <w:p w:rsidR="00000000" w:rsidRPr="00DF75CE" w:rsidP="00DF75CE">
      <w:pPr>
        <w:pStyle w:val="Heading1"/>
      </w:pPr>
      <w:bookmarkStart w:id="9" w:name="O_950220"/>
      <w:bookmarkEnd w:id="9"/>
      <w:r w:rsidRPr="00DF75CE">
        <w:t>Links</w:t>
      </w:r>
    </w:p>
    <w:p w:rsidR="00000000" w:rsidRPr="00DF75CE" w:rsidP="005E6FAC">
      <w:pPr>
        <w:pStyle w:val="BodyText"/>
      </w:pPr>
      <w:r w:rsidRPr="00DF7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7E1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F75CE" w:rsidP="00DF75CE"/>
    <w:sectPr w:rsidSect="00DF7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CE" w:rsidRPr="005E6FAC" w:rsidP="005E6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C" w:rsidP="00DF7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FAC" w:rsidP="00DF7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6FAC" w:rsidP="00DF7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5CE" w:rsidRPr="005E6FAC" w:rsidP="005E6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C" w:rsidRPr="002D2AF8" w:rsidP="00DF7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MEM48027 Select non-metallic materials for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6FAC" w:rsidP="00DF7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5CE"/>
  </w:style>
  <w:style w:type="character" w:customStyle="1" w:styleId="Heading1Char">
    <w:name w:val="Heading 1 Char"/>
    <w:basedOn w:val="DefaultParagraphFont"/>
    <w:link w:val="Heading1"/>
    <w:rsid w:val="00DF7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5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75CE"/>
    <w:rPr>
      <w:b/>
      <w:spacing w:val="0"/>
    </w:rPr>
  </w:style>
  <w:style w:type="character" w:styleId="Emphasis">
    <w:name w:val="Emphasis"/>
    <w:basedOn w:val="DefaultParagraphFont"/>
    <w:qFormat/>
    <w:rsid w:val="00DF75CE"/>
    <w:rPr>
      <w:i/>
    </w:rPr>
  </w:style>
  <w:style w:type="paragraph" w:customStyle="1" w:styleId="SuperHeading">
    <w:name w:val="SuperHeading"/>
    <w:basedOn w:val="Normal"/>
    <w:rsid w:val="00DF7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5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75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7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5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5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5CE"/>
  </w:style>
  <w:style w:type="paragraph" w:styleId="TableofFigures">
    <w:name w:val="table of figures"/>
    <w:basedOn w:val="Normal"/>
    <w:next w:val="Normal"/>
    <w:semiHidden/>
    <w:rsid w:val="00DF7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5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75CE"/>
    <w:rPr>
      <w:rFonts w:ascii="Wingdings" w:hAnsi="Wingdings"/>
    </w:rPr>
  </w:style>
  <w:style w:type="paragraph" w:customStyle="1" w:styleId="TableHeading">
    <w:name w:val="Table Heading"/>
    <w:basedOn w:val="HeadingBase"/>
    <w:rsid w:val="00DF7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5CE"/>
    <w:rPr>
      <w:color w:val="0033CC"/>
      <w:u w:val="none"/>
    </w:rPr>
  </w:style>
  <w:style w:type="paragraph" w:customStyle="1" w:styleId="BodyTextRight">
    <w:name w:val="Body Text Right"/>
    <w:basedOn w:val="BodyText"/>
    <w:rsid w:val="00DF7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5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5CE"/>
    <w:rPr>
      <w:sz w:val="32"/>
    </w:rPr>
  </w:style>
  <w:style w:type="paragraph" w:customStyle="1" w:styleId="HeadingProcedure">
    <w:name w:val="Heading Procedure"/>
    <w:basedOn w:val="HeadingBase"/>
    <w:next w:val="Normal"/>
    <w:rsid w:val="00DF7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5CE"/>
    <w:pPr>
      <w:spacing w:before="60" w:after="60"/>
    </w:pPr>
  </w:style>
  <w:style w:type="paragraph" w:styleId="ListContinue">
    <w:name w:val="List Continue"/>
    <w:basedOn w:val="List"/>
    <w:rsid w:val="00DF75CE"/>
    <w:pPr>
      <w:ind w:firstLine="0"/>
    </w:pPr>
  </w:style>
  <w:style w:type="paragraph" w:customStyle="1" w:styleId="ListNote">
    <w:name w:val="List Note"/>
    <w:basedOn w:val="List"/>
    <w:rsid w:val="00DF7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5CE"/>
    <w:rPr>
      <w:rFonts w:ascii="Courier New" w:hAnsi="Courier New"/>
    </w:rPr>
  </w:style>
  <w:style w:type="paragraph" w:customStyle="1" w:styleId="NoteBullet">
    <w:name w:val="Note Bullet"/>
    <w:basedOn w:val="Note"/>
    <w:rsid w:val="00DF7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5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7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5CE"/>
    <w:rPr>
      <w:b/>
      <w:smallCaps/>
    </w:rPr>
  </w:style>
  <w:style w:type="paragraph" w:customStyle="1" w:styleId="TableListNumber">
    <w:name w:val="Table List Number"/>
    <w:basedOn w:val="ListNumber"/>
    <w:rsid w:val="00DF7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5CE"/>
    <w:pPr>
      <w:numPr>
        <w:numId w:val="7"/>
      </w:numPr>
    </w:pPr>
  </w:style>
  <w:style w:type="paragraph" w:customStyle="1" w:styleId="ListAlpha2">
    <w:name w:val="List Alpha 2"/>
    <w:basedOn w:val="List2"/>
    <w:rsid w:val="00DF75CE"/>
    <w:pPr>
      <w:numPr>
        <w:numId w:val="6"/>
      </w:numPr>
    </w:pPr>
  </w:style>
  <w:style w:type="paragraph" w:styleId="List2">
    <w:name w:val="List 2"/>
    <w:basedOn w:val="BodyText"/>
    <w:rsid w:val="00DF7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5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5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75CE"/>
    <w:pPr>
      <w:numPr>
        <w:numId w:val="2"/>
      </w:numPr>
    </w:pPr>
  </w:style>
  <w:style w:type="paragraph" w:styleId="ListContinue2">
    <w:name w:val="List Continue 2"/>
    <w:basedOn w:val="List2"/>
    <w:rsid w:val="00DF75CE"/>
    <w:pPr>
      <w:ind w:firstLine="0"/>
    </w:pPr>
  </w:style>
  <w:style w:type="paragraph" w:styleId="ListContinue3">
    <w:name w:val="List Continue 3"/>
    <w:basedOn w:val="List3"/>
    <w:rsid w:val="00DF75CE"/>
    <w:pPr>
      <w:ind w:left="1021" w:firstLine="0"/>
    </w:pPr>
  </w:style>
  <w:style w:type="paragraph" w:styleId="ListContinue4">
    <w:name w:val="List Continue 4"/>
    <w:basedOn w:val="List4"/>
    <w:rsid w:val="00DF75CE"/>
    <w:pPr>
      <w:ind w:firstLine="0"/>
    </w:pPr>
  </w:style>
  <w:style w:type="paragraph" w:styleId="ListContinue5">
    <w:name w:val="List Continue 5"/>
    <w:basedOn w:val="List5"/>
    <w:rsid w:val="00DF75CE"/>
    <w:pPr>
      <w:ind w:firstLine="0"/>
    </w:pPr>
  </w:style>
  <w:style w:type="paragraph" w:styleId="ListNumber3">
    <w:name w:val="List Number 3"/>
    <w:basedOn w:val="List3"/>
    <w:rsid w:val="00DF75CE"/>
    <w:pPr>
      <w:numPr>
        <w:numId w:val="3"/>
      </w:numPr>
    </w:pPr>
  </w:style>
  <w:style w:type="paragraph" w:styleId="ListNumber4">
    <w:name w:val="List Number 4"/>
    <w:basedOn w:val="List4"/>
    <w:rsid w:val="00DF75CE"/>
    <w:pPr>
      <w:numPr>
        <w:numId w:val="4"/>
      </w:numPr>
    </w:pPr>
  </w:style>
  <w:style w:type="paragraph" w:styleId="ListNumber5">
    <w:name w:val="List Number 5"/>
    <w:basedOn w:val="List5"/>
    <w:rsid w:val="00DF75CE"/>
    <w:pPr>
      <w:numPr>
        <w:numId w:val="5"/>
      </w:numPr>
    </w:pPr>
  </w:style>
  <w:style w:type="paragraph" w:styleId="BlockText">
    <w:name w:val="Block Text"/>
    <w:basedOn w:val="Normal"/>
    <w:rsid w:val="00DF7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5CE"/>
    <w:rPr>
      <w:sz w:val="16"/>
      <w:vertAlign w:val="superscript"/>
    </w:rPr>
  </w:style>
  <w:style w:type="character" w:customStyle="1" w:styleId="Symbols">
    <w:name w:val="Symbols"/>
    <w:basedOn w:val="DefaultParagraphFont"/>
    <w:rsid w:val="00DF75CE"/>
    <w:rPr>
      <w:rFonts w:ascii="Symbol" w:hAnsi="Symbol"/>
    </w:rPr>
  </w:style>
  <w:style w:type="character" w:customStyle="1" w:styleId="MenuOptions">
    <w:name w:val="Menu Options"/>
    <w:basedOn w:val="DefaultParagraphFont"/>
    <w:rsid w:val="00DF7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5CE"/>
    <w:rPr>
      <w:b/>
    </w:rPr>
  </w:style>
  <w:style w:type="character" w:customStyle="1" w:styleId="Underlined">
    <w:name w:val="Underlined"/>
    <w:basedOn w:val="DefaultParagraphFont"/>
    <w:rsid w:val="00DF75CE"/>
    <w:rPr>
      <w:u w:val="single"/>
    </w:rPr>
  </w:style>
  <w:style w:type="paragraph" w:customStyle="1" w:styleId="TableBodyTextRight">
    <w:name w:val="Table Body Text Right"/>
    <w:basedOn w:val="TableBodyText"/>
    <w:rsid w:val="00DF7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5CE"/>
    <w:rPr>
      <w:sz w:val="18"/>
    </w:rPr>
  </w:style>
  <w:style w:type="paragraph" w:customStyle="1" w:styleId="BodySmallRight">
    <w:name w:val="Body Small Right"/>
    <w:basedOn w:val="BodyTextRight"/>
    <w:rsid w:val="00DF75CE"/>
    <w:rPr>
      <w:sz w:val="18"/>
      <w:szCs w:val="18"/>
    </w:rPr>
  </w:style>
  <w:style w:type="paragraph" w:customStyle="1" w:styleId="MarginEdition">
    <w:name w:val="Margin Edition"/>
    <w:basedOn w:val="MarginNote"/>
    <w:rsid w:val="00DF7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5CE"/>
    <w:rPr>
      <w:sz w:val="2"/>
      <w:szCs w:val="2"/>
    </w:rPr>
  </w:style>
  <w:style w:type="character" w:customStyle="1" w:styleId="Small">
    <w:name w:val="Small"/>
    <w:basedOn w:val="DefaultParagraphFont"/>
    <w:rsid w:val="00DF75CE"/>
    <w:rPr>
      <w:sz w:val="16"/>
    </w:rPr>
  </w:style>
  <w:style w:type="paragraph" w:customStyle="1" w:styleId="WideTable">
    <w:name w:val="Wide Table"/>
    <w:basedOn w:val="Normal"/>
    <w:rsid w:val="00DF7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5CE"/>
  </w:style>
  <w:style w:type="paragraph" w:styleId="Quote">
    <w:name w:val="Quote"/>
    <w:basedOn w:val="Heading1"/>
    <w:link w:val="QuoteChar"/>
    <w:qFormat/>
    <w:rsid w:val="00DF7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5CE"/>
    <w:pPr>
      <w:pageBreakBefore/>
    </w:pPr>
  </w:style>
  <w:style w:type="paragraph" w:customStyle="1" w:styleId="Border">
    <w:name w:val="Border"/>
    <w:basedOn w:val="Normal"/>
    <w:qFormat/>
    <w:rsid w:val="00DF7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5CE"/>
    <w:rPr>
      <w:u w:val="single"/>
    </w:rPr>
  </w:style>
  <w:style w:type="character" w:customStyle="1" w:styleId="BoldandItalics">
    <w:name w:val="Bold and Italics"/>
    <w:qFormat/>
    <w:rsid w:val="00DF75CE"/>
    <w:rPr>
      <w:b/>
      <w:i/>
      <w:u w:val="none"/>
    </w:rPr>
  </w:style>
  <w:style w:type="paragraph" w:styleId="BalloonText">
    <w:name w:val="Balloon Text"/>
    <w:basedOn w:val="Normal"/>
    <w:link w:val="BalloonTextChar"/>
    <w:rsid w:val="00DF7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5CE"/>
    <w:pPr>
      <w:spacing w:before="0" w:after="0"/>
    </w:pPr>
  </w:style>
  <w:style w:type="paragraph" w:customStyle="1" w:styleId="BodyTextBold">
    <w:name w:val="Body Text Bold"/>
    <w:basedOn w:val="BodyText"/>
    <w:qFormat/>
    <w:rsid w:val="00DF75CE"/>
    <w:rPr>
      <w:b/>
    </w:rPr>
  </w:style>
  <w:style w:type="character" w:styleId="Hyperlink">
    <w:name w:val="Hyperlink"/>
    <w:basedOn w:val="DefaultParagraphFont"/>
    <w:uiPriority w:val="99"/>
    <w:unhideWhenUsed/>
    <w:rsid w:val="005E6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2636</Characters>
  <Application>Microsoft Office Word</Application>
  <DocSecurity>0</DocSecurity>
  <Lines>85</Lines>
  <Paragraphs>49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MEM48027 Select non-metallic materials for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