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215" w:rsidP="00FF1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MEM48027 Select non-metallic materials for engineering applications</w:t>
      </w:r>
      <w:r>
        <w:fldChar w:fldCharType="end"/>
      </w:r>
    </w:p>
    <w:p w:rsidR="00FF1215" w:rsidP="00FF1215">
      <w:pPr>
        <w:pStyle w:val="Version"/>
        <w:sectPr w:rsidSect="008C0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CB8" w:rsidP="008C0CB8">
      <w:pPr>
        <w:pStyle w:val="SuperHeading"/>
      </w:pPr>
      <w:r w:rsidRPr="008C0CB8">
        <w:t>Assessment Requirements for MEM48027 Select non-metallic materials for engineering applications</w:t>
      </w:r>
    </w:p>
    <w:p w:rsidR="00000000" w:rsidRPr="008C0CB8" w:rsidP="008C0CB8">
      <w:pPr>
        <w:pStyle w:val="Heading1"/>
      </w:pPr>
      <w:bookmarkStart w:id="1" w:name="O_950222"/>
      <w:bookmarkEnd w:id="1"/>
      <w:r w:rsidRPr="008C0CB8">
        <w:t>Modification History</w:t>
      </w:r>
    </w:p>
    <w:p w:rsidR="00FF1215" w:rsidP="00FF1215">
      <w:pPr>
        <w:pStyle w:val="BodyText"/>
      </w:pPr>
      <w:r w:rsidRPr="008C0CB8">
        <w:t>Release 1. Supersedes and is equivalent to MSATCM516A Select non-metallic materials for engineering applications.</w:t>
      </w:r>
    </w:p>
    <w:p w:rsidR="00000000" w:rsidRPr="008C0CB8" w:rsidP="008C0CB8">
      <w:pPr>
        <w:pStyle w:val="Heading1"/>
      </w:pPr>
      <w:bookmarkStart w:id="2" w:name="O_950225"/>
      <w:bookmarkEnd w:id="2"/>
      <w:r w:rsidRPr="008C0CB8">
        <w:t>Performance Evidence</w:t>
      </w:r>
    </w:p>
    <w:p w:rsidR="00000000" w:rsidRPr="008C0CB8" w:rsidP="00FF1215">
      <w:pPr>
        <w:pStyle w:val="BodyText"/>
      </w:pPr>
      <w:r w:rsidRPr="008C0CB8">
        <w:t>Evidence required to demonstrate competence in this unit must be relevant to and satisfy the requirements of the elements and performance criteria and include:</w:t>
      </w:r>
    </w:p>
    <w:p w:rsidR="00000000" w:rsidRPr="008C0CB8" w:rsidP="008C0CB8">
      <w:pPr>
        <w:pStyle w:val="ListBullet"/>
      </w:pPr>
      <w:r w:rsidRPr="008C0CB8">
        <w:t>following work instructions, standard operating procedures</w:t>
      </w:r>
      <w:r w:rsidRPr="008C0CB8">
        <w:t xml:space="preserve"> (SOPs) and safe work practices</w:t>
      </w:r>
    </w:p>
    <w:p w:rsidR="00000000" w:rsidRPr="008C0CB8" w:rsidP="008C0CB8">
      <w:pPr>
        <w:pStyle w:val="ListBullet"/>
      </w:pPr>
      <w:r w:rsidRPr="008C0CB8">
        <w:t>identifying and interpreting specifications, charts, lists, drawings and other applicable reference documents in selecting non-metallic materials for engineering applications</w:t>
      </w:r>
    </w:p>
    <w:p w:rsidR="00000000" w:rsidRPr="008C0CB8" w:rsidP="008C0CB8">
      <w:pPr>
        <w:pStyle w:val="ListBullet"/>
      </w:pPr>
      <w:r w:rsidRPr="008C0CB8">
        <w:t>researching common engineering non-metallic mater</w:t>
      </w:r>
      <w:r w:rsidRPr="008C0CB8">
        <w:t>ials by their required properties specific for the application on at least two occasions</w:t>
      </w:r>
    </w:p>
    <w:p w:rsidR="00000000" w:rsidRPr="008C0CB8" w:rsidP="008C0CB8">
      <w:pPr>
        <w:pStyle w:val="ListBullet"/>
      </w:pPr>
      <w:r w:rsidRPr="008C0CB8">
        <w:t>selecting or carrying out tests appropriate to the material</w:t>
      </w:r>
    </w:p>
    <w:p w:rsidR="00000000" w:rsidRPr="008C0CB8" w:rsidP="008C0CB8">
      <w:pPr>
        <w:pStyle w:val="ListBullet"/>
      </w:pPr>
      <w:r w:rsidRPr="008C0CB8">
        <w:t>arranging tests appropriate to the non-metallic material and analysing the results on at least two occasion</w:t>
      </w:r>
      <w:r w:rsidRPr="008C0CB8">
        <w:t>s</w:t>
      </w:r>
    </w:p>
    <w:p w:rsidR="00000000" w:rsidRPr="008C0CB8" w:rsidP="008C0CB8">
      <w:pPr>
        <w:pStyle w:val="ListBullet"/>
      </w:pPr>
      <w:r w:rsidRPr="008C0CB8">
        <w:t>verifying selection of materials.</w:t>
      </w:r>
    </w:p>
    <w:p w:rsidR="00FF1215" w:rsidP="00FF1215">
      <w:pPr>
        <w:pStyle w:val="BodyText"/>
      </w:pPr>
      <w:r w:rsidRPr="008C0CB8">
        <w:t>Note: Where a volume and/or frequency is not specified, demonstration must be provided at least once.</w:t>
      </w:r>
    </w:p>
    <w:p w:rsidR="00000000" w:rsidRPr="008C0CB8" w:rsidP="008C0CB8">
      <w:pPr>
        <w:pStyle w:val="Heading1"/>
      </w:pPr>
      <w:bookmarkStart w:id="3" w:name="O_950224"/>
      <w:bookmarkEnd w:id="3"/>
      <w:r w:rsidRPr="008C0CB8">
        <w:t>Knowledge Evidence</w:t>
      </w:r>
    </w:p>
    <w:p w:rsidR="00000000" w:rsidRPr="008C0CB8" w:rsidP="00FF1215">
      <w:pPr>
        <w:pStyle w:val="BodyText"/>
      </w:pPr>
      <w:r w:rsidRPr="008C0CB8">
        <w:t>Evidence required to demonstrate the required knowledge for this unit must be rel</w:t>
      </w:r>
      <w:r w:rsidRPr="008C0CB8">
        <w:t>evant to and satisfy the requirements of the elements and performance criteria and include knowledge of:</w:t>
      </w:r>
    </w:p>
    <w:p w:rsidR="00000000" w:rsidRPr="008C0CB8" w:rsidP="008C0CB8">
      <w:pPr>
        <w:pStyle w:val="ListBullet"/>
      </w:pPr>
      <w:r w:rsidRPr="008C0CB8">
        <w:t>safe work practices and procedures and use of personal protective equipment (PPE)</w:t>
      </w:r>
    </w:p>
    <w:p w:rsidR="00000000" w:rsidRPr="008C0CB8" w:rsidP="008C0CB8">
      <w:pPr>
        <w:pStyle w:val="ListBullet"/>
      </w:pPr>
      <w:r w:rsidRPr="008C0CB8">
        <w:t>principles involved in selecting non-metallic materials</w:t>
      </w:r>
    </w:p>
    <w:p w:rsidR="00000000" w:rsidRPr="008C0CB8" w:rsidP="008C0CB8">
      <w:pPr>
        <w:pStyle w:val="ListBullet"/>
      </w:pPr>
      <w:r w:rsidRPr="008C0CB8">
        <w:t>common engin</w:t>
      </w:r>
      <w:r w:rsidRPr="008C0CB8">
        <w:t>eering non-metallic materials and properties including:</w:t>
      </w:r>
    </w:p>
    <w:p w:rsidR="00000000" w:rsidRPr="008C0CB8" w:rsidP="008C0CB8">
      <w:pPr>
        <w:pStyle w:val="ListBullet2"/>
      </w:pPr>
      <w:r w:rsidRPr="008C0CB8">
        <w:t>structure of materials</w:t>
      </w:r>
    </w:p>
    <w:p w:rsidR="00000000" w:rsidRPr="008C0CB8" w:rsidP="008C0CB8">
      <w:pPr>
        <w:pStyle w:val="ListBullet2"/>
      </w:pPr>
      <w:r w:rsidRPr="008C0CB8">
        <w:t>general non-crystalline features and short-range order</w:t>
      </w:r>
    </w:p>
    <w:p w:rsidR="00000000" w:rsidRPr="008C0CB8" w:rsidP="008C0CB8">
      <w:pPr>
        <w:pStyle w:val="ListBullet2"/>
      </w:pPr>
      <w:r w:rsidRPr="008C0CB8">
        <w:t xml:space="preserve">polymers and plastics </w:t>
      </w:r>
    </w:p>
    <w:p w:rsidR="00000000" w:rsidRPr="008C0CB8" w:rsidP="008C0CB8">
      <w:pPr>
        <w:pStyle w:val="ListBullet2"/>
      </w:pPr>
      <w:r w:rsidRPr="008C0CB8">
        <w:t xml:space="preserve">plastics and polymers processing and use </w:t>
      </w:r>
    </w:p>
    <w:p w:rsidR="00000000" w:rsidRPr="008C0CB8" w:rsidP="008C0CB8">
      <w:pPr>
        <w:pStyle w:val="ListBullet2"/>
      </w:pPr>
      <w:r w:rsidRPr="008C0CB8">
        <w:t xml:space="preserve">ceramic materials </w:t>
      </w:r>
    </w:p>
    <w:p w:rsidR="00000000" w:rsidRPr="008C0CB8" w:rsidP="008C0CB8">
      <w:pPr>
        <w:pStyle w:val="ListBullet2"/>
      </w:pPr>
      <w:r w:rsidRPr="008C0CB8">
        <w:t xml:space="preserve">manufacture of ceramic articles </w:t>
      </w:r>
    </w:p>
    <w:p w:rsidR="00000000" w:rsidRPr="008C0CB8" w:rsidP="008C0CB8">
      <w:pPr>
        <w:pStyle w:val="ListBullet2"/>
      </w:pPr>
      <w:r w:rsidRPr="008C0CB8">
        <w:t>glass</w:t>
      </w:r>
    </w:p>
    <w:p w:rsidR="00000000" w:rsidRPr="008C0CB8" w:rsidP="008C0CB8">
      <w:pPr>
        <w:pStyle w:val="ListBullet2"/>
      </w:pPr>
      <w:r w:rsidRPr="008C0CB8">
        <w:t>fibres</w:t>
      </w:r>
    </w:p>
    <w:p w:rsidR="00000000" w:rsidRPr="008C0CB8" w:rsidP="008C0CB8">
      <w:pPr>
        <w:pStyle w:val="ListBullet2"/>
      </w:pPr>
      <w:r w:rsidRPr="008C0CB8">
        <w:t>composite materials</w:t>
      </w:r>
    </w:p>
    <w:p w:rsidR="00000000" w:rsidRPr="008C0CB8" w:rsidP="008C0CB8">
      <w:pPr>
        <w:pStyle w:val="ListBullet2"/>
      </w:pPr>
      <w:r w:rsidRPr="008C0CB8">
        <w:t>adhesives</w:t>
      </w:r>
    </w:p>
    <w:p w:rsidR="00000000" w:rsidRPr="008C0CB8" w:rsidP="008C0CB8">
      <w:pPr>
        <w:pStyle w:val="ListBullet"/>
      </w:pPr>
      <w:r w:rsidRPr="008C0CB8">
        <w:t>typical properties to be tested including:</w:t>
      </w:r>
    </w:p>
    <w:p w:rsidR="00000000" w:rsidRPr="008C0CB8" w:rsidP="008C0CB8">
      <w:pPr>
        <w:pStyle w:val="ListBullet2"/>
      </w:pPr>
      <w:r w:rsidRPr="008C0CB8">
        <w:t>tensile strength</w:t>
      </w:r>
    </w:p>
    <w:p w:rsidR="00000000" w:rsidRPr="008C0CB8" w:rsidP="008C0CB8">
      <w:pPr>
        <w:pStyle w:val="ListBullet2"/>
      </w:pPr>
      <w:r w:rsidRPr="008C0CB8">
        <w:t>compression</w:t>
      </w:r>
    </w:p>
    <w:p w:rsidR="00000000" w:rsidRPr="008C0CB8" w:rsidP="008C0CB8">
      <w:pPr>
        <w:pStyle w:val="ListBullet2"/>
      </w:pPr>
      <w:r w:rsidRPr="008C0CB8">
        <w:t>shear characteristics</w:t>
      </w:r>
    </w:p>
    <w:p w:rsidR="00000000" w:rsidRPr="008C0CB8" w:rsidP="008C0CB8">
      <w:pPr>
        <w:pStyle w:val="ListBullet2"/>
      </w:pPr>
      <w:r w:rsidRPr="008C0CB8">
        <w:t>torsion</w:t>
      </w:r>
    </w:p>
    <w:p w:rsidR="00000000" w:rsidRPr="008C0CB8" w:rsidP="008C0CB8">
      <w:pPr>
        <w:pStyle w:val="ListBullet2"/>
      </w:pPr>
      <w:r w:rsidRPr="008C0CB8">
        <w:t>hardness</w:t>
      </w:r>
    </w:p>
    <w:p w:rsidR="00000000" w:rsidRPr="008C0CB8" w:rsidP="008C0CB8">
      <w:pPr>
        <w:pStyle w:val="ListBullet2"/>
      </w:pPr>
      <w:r w:rsidRPr="008C0CB8">
        <w:t>impact resistance</w:t>
      </w:r>
    </w:p>
    <w:p w:rsidR="00000000" w:rsidRPr="008C0CB8" w:rsidP="008C0CB8">
      <w:pPr>
        <w:pStyle w:val="ListBullet2"/>
      </w:pPr>
      <w:r w:rsidRPr="008C0CB8">
        <w:t>fatigue resistance</w:t>
      </w:r>
    </w:p>
    <w:p w:rsidR="00000000" w:rsidRPr="008C0CB8" w:rsidP="008C0CB8">
      <w:pPr>
        <w:pStyle w:val="ListBullet2"/>
      </w:pPr>
      <w:r w:rsidRPr="008C0CB8">
        <w:t>creep resistance</w:t>
      </w:r>
    </w:p>
    <w:p w:rsidR="00000000" w:rsidRPr="008C0CB8" w:rsidP="008C0CB8">
      <w:pPr>
        <w:pStyle w:val="ListBullet2"/>
      </w:pPr>
      <w:r w:rsidRPr="008C0CB8">
        <w:t>visual appearance and colour</w:t>
      </w:r>
    </w:p>
    <w:p w:rsidR="00000000" w:rsidRPr="008C0CB8" w:rsidP="008C0CB8">
      <w:pPr>
        <w:pStyle w:val="ListBullet2"/>
      </w:pPr>
      <w:r w:rsidRPr="008C0CB8">
        <w:t>magnetic properties</w:t>
      </w:r>
    </w:p>
    <w:p w:rsidR="00000000" w:rsidRPr="008C0CB8" w:rsidP="008C0CB8">
      <w:pPr>
        <w:pStyle w:val="ListBullet2"/>
      </w:pPr>
      <w:r w:rsidRPr="008C0CB8">
        <w:t>corrosion resistance</w:t>
      </w:r>
    </w:p>
    <w:p w:rsidR="00FF1215" w:rsidP="008C0CB8">
      <w:pPr>
        <w:pStyle w:val="ListBullet"/>
      </w:pPr>
      <w:r w:rsidRPr="008C0CB8">
        <w:t>compromises made to accommodate cost against properties.</w:t>
      </w:r>
    </w:p>
    <w:p w:rsidR="00FF1215" w:rsidP="008C0CB8">
      <w:pPr>
        <w:pStyle w:val="ListBullet"/>
      </w:pPr>
    </w:p>
    <w:p w:rsidR="00000000" w:rsidRPr="008C0CB8" w:rsidP="008C0CB8">
      <w:pPr>
        <w:pStyle w:val="Heading1"/>
      </w:pPr>
      <w:bookmarkStart w:id="4" w:name="O_950223"/>
      <w:bookmarkEnd w:id="4"/>
      <w:r w:rsidRPr="008C0CB8">
        <w:t>Assessment Conditions</w:t>
      </w:r>
    </w:p>
    <w:p w:rsidR="00000000" w:rsidRPr="008C0CB8" w:rsidP="008C0CB8">
      <w:pPr>
        <w:pStyle w:val="ListBullet"/>
      </w:pPr>
      <w:r w:rsidRPr="008C0CB8">
        <w:t>Assessors must:</w:t>
      </w:r>
    </w:p>
    <w:p w:rsidR="00000000" w:rsidRPr="008C0CB8" w:rsidP="008C0CB8">
      <w:pPr>
        <w:pStyle w:val="ListBullet2"/>
      </w:pPr>
      <w:r w:rsidRPr="008C0CB8">
        <w:t>have vocational competency in selecting non-metallic materials for engineering applications at leas</w:t>
      </w:r>
      <w:r w:rsidRPr="008C0CB8">
        <w:t>t to the level being assessed with relevant industry knowledge and experience</w:t>
      </w:r>
    </w:p>
    <w:p w:rsidR="00000000" w:rsidRPr="008C0CB8" w:rsidP="008C0CB8">
      <w:pPr>
        <w:pStyle w:val="ListBullet2"/>
      </w:pPr>
      <w:r w:rsidRPr="008C0CB8">
        <w:t xml:space="preserve">satisfy the assessor requirements in the </w:t>
      </w:r>
      <w:r w:rsidRPr="008C0CB8">
        <w:rPr>
          <w:rStyle w:val="Emphasis"/>
        </w:rPr>
        <w:t xml:space="preserve">Standards for Registered Training Organisations 2015 </w:t>
      </w:r>
      <w:r w:rsidRPr="008C0CB8">
        <w:t>or its replacement</w:t>
      </w:r>
      <w:r w:rsidRPr="008C0CB8">
        <w:rPr>
          <w:rStyle w:val="Emphasis"/>
        </w:rPr>
        <w:t xml:space="preserve"> </w:t>
      </w:r>
      <w:r w:rsidRPr="008C0CB8">
        <w:t xml:space="preserve">and comply with the </w:t>
      </w:r>
      <w:r w:rsidRPr="008C0CB8">
        <w:rPr>
          <w:rStyle w:val="Emphasis"/>
        </w:rPr>
        <w:t>National Vocational Education and Training Re</w:t>
      </w:r>
      <w:r w:rsidRPr="008C0CB8">
        <w:rPr>
          <w:rStyle w:val="Emphasis"/>
        </w:rPr>
        <w:t xml:space="preserve">gulator Act 2011, </w:t>
      </w:r>
      <w:r w:rsidRPr="008C0CB8">
        <w:t>its replacement</w:t>
      </w:r>
      <w:r w:rsidRPr="008C0CB8">
        <w:rPr>
          <w:rStyle w:val="Emphasis"/>
        </w:rPr>
        <w:t xml:space="preserve"> </w:t>
      </w:r>
      <w:r w:rsidRPr="008C0CB8">
        <w:t>or equivalent legislation covering VET regulation in a non-referring state/territory as the case requires.</w:t>
      </w:r>
    </w:p>
    <w:p w:rsidR="00000000" w:rsidRPr="008C0CB8" w:rsidP="008C0CB8">
      <w:pPr>
        <w:pStyle w:val="ListBullet"/>
      </w:pPr>
      <w:r w:rsidRPr="008C0CB8">
        <w:t>Where possible, assessment must occur in operational workplace situations. Where this is not possible or where per</w:t>
      </w:r>
      <w:r w:rsidRPr="008C0CB8">
        <w:t>sonal safety or environmental damage are limiting factors, assessment must occur in a sufficiently rigorous simulated environment that reflects realistic operational workplace conditions that cover all aspects of workplace performance, including environmen</w:t>
      </w:r>
      <w:r w:rsidRPr="008C0CB8">
        <w:t>t, task skills, task management skills, contingency management skills and job role environment skills.</w:t>
      </w:r>
    </w:p>
    <w:p w:rsidR="00000000" w:rsidRPr="008C0CB8" w:rsidP="008C0CB8">
      <w:pPr>
        <w:pStyle w:val="ListBullet"/>
      </w:pPr>
      <w:r w:rsidRPr="008C0CB8">
        <w:t>Conditions for assessment must include access to all tools, equipment, materials and documentation required including relevant workplace procedure</w:t>
      </w:r>
      <w:r w:rsidRPr="008C0CB8">
        <w:t>s, product and manufacturing specifications.</w:t>
      </w:r>
    </w:p>
    <w:p w:rsidR="00FF1215" w:rsidP="008C0CB8">
      <w:pPr>
        <w:pStyle w:val="ListBullet"/>
      </w:pPr>
      <w:r w:rsidRPr="008C0CB8">
        <w:t>Assessment processes and techniques must be appropriate to the language, literacy and numeracy requirements of the work being performed and the needs of the candidate.</w:t>
      </w:r>
    </w:p>
    <w:p w:rsidR="00FF1215" w:rsidP="008C0CB8">
      <w:pPr>
        <w:pStyle w:val="ListBullet"/>
      </w:pPr>
    </w:p>
    <w:p w:rsidR="00000000" w:rsidRPr="008C0CB8" w:rsidP="008C0CB8">
      <w:pPr>
        <w:pStyle w:val="Heading1"/>
      </w:pPr>
      <w:bookmarkStart w:id="5" w:name="O_950221"/>
      <w:bookmarkEnd w:id="5"/>
      <w:r w:rsidRPr="008C0CB8">
        <w:t>Links</w:t>
      </w:r>
    </w:p>
    <w:p w:rsidR="00000000" w:rsidRPr="008C0CB8" w:rsidP="00FF1215">
      <w:pPr>
        <w:pStyle w:val="BodyText"/>
      </w:pPr>
      <w:r w:rsidRPr="008C0CB8">
        <w:t>Companion Volume im</w:t>
      </w:r>
      <w:r w:rsidRPr="008C0CB8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56E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0CB8" w:rsidP="008C0CB8"/>
    <w:sectPr w:rsidSect="008C0C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B8" w:rsidRPr="00FF1215" w:rsidP="00FF1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15" w:rsidP="008C0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215" w:rsidP="008C0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1215" w:rsidP="008C0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CB8" w:rsidRPr="00FF1215" w:rsidP="00FF1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15" w:rsidRPr="002D2AF8" w:rsidP="008C0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MEM48027 Select non-metallic materials for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F1215" w:rsidP="008C0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406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400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D68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CB8"/>
  </w:style>
  <w:style w:type="character" w:customStyle="1" w:styleId="Heading1Char">
    <w:name w:val="Heading 1 Char"/>
    <w:basedOn w:val="DefaultParagraphFont"/>
    <w:link w:val="Heading1"/>
    <w:rsid w:val="008C0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C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C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CB8"/>
    <w:rPr>
      <w:i/>
    </w:rPr>
  </w:style>
  <w:style w:type="paragraph" w:customStyle="1" w:styleId="SuperHeading">
    <w:name w:val="SuperHeading"/>
    <w:basedOn w:val="Normal"/>
    <w:rsid w:val="008C0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CB8"/>
    <w:rPr>
      <w:b/>
      <w:spacing w:val="0"/>
    </w:rPr>
  </w:style>
  <w:style w:type="paragraph" w:customStyle="1" w:styleId="SuperTitle">
    <w:name w:val="SuperTitle"/>
    <w:basedOn w:val="Title"/>
    <w:rsid w:val="008C0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C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CB8"/>
  </w:style>
  <w:style w:type="paragraph" w:styleId="TableofFigures">
    <w:name w:val="table of figures"/>
    <w:basedOn w:val="Normal"/>
    <w:next w:val="Normal"/>
    <w:semiHidden/>
    <w:rsid w:val="008C0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C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CB8"/>
    <w:rPr>
      <w:rFonts w:ascii="Wingdings" w:hAnsi="Wingdings"/>
    </w:rPr>
  </w:style>
  <w:style w:type="paragraph" w:customStyle="1" w:styleId="TableHeading">
    <w:name w:val="Table Heading"/>
    <w:basedOn w:val="HeadingBase"/>
    <w:rsid w:val="008C0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CB8"/>
    <w:rPr>
      <w:color w:val="0033CC"/>
      <w:u w:val="none"/>
    </w:rPr>
  </w:style>
  <w:style w:type="paragraph" w:customStyle="1" w:styleId="BodyTextRight">
    <w:name w:val="Body Text Right"/>
    <w:basedOn w:val="BodyText"/>
    <w:rsid w:val="008C0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C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CB8"/>
    <w:rPr>
      <w:sz w:val="32"/>
    </w:rPr>
  </w:style>
  <w:style w:type="paragraph" w:customStyle="1" w:styleId="HeadingProcedure">
    <w:name w:val="Heading Procedure"/>
    <w:basedOn w:val="HeadingBase"/>
    <w:next w:val="Normal"/>
    <w:rsid w:val="008C0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CB8"/>
    <w:pPr>
      <w:spacing w:before="60" w:after="60"/>
    </w:pPr>
  </w:style>
  <w:style w:type="paragraph" w:styleId="ListContinue">
    <w:name w:val="List Continue"/>
    <w:basedOn w:val="List"/>
    <w:rsid w:val="008C0CB8"/>
    <w:pPr>
      <w:ind w:firstLine="0"/>
    </w:pPr>
  </w:style>
  <w:style w:type="paragraph" w:customStyle="1" w:styleId="ListNote">
    <w:name w:val="List Note"/>
    <w:basedOn w:val="List"/>
    <w:rsid w:val="008C0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CB8"/>
    <w:rPr>
      <w:rFonts w:ascii="Courier New" w:hAnsi="Courier New"/>
    </w:rPr>
  </w:style>
  <w:style w:type="paragraph" w:customStyle="1" w:styleId="NoteBullet">
    <w:name w:val="Note Bullet"/>
    <w:basedOn w:val="Note"/>
    <w:rsid w:val="008C0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C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CB8"/>
    <w:rPr>
      <w:b/>
      <w:smallCaps/>
    </w:rPr>
  </w:style>
  <w:style w:type="paragraph" w:customStyle="1" w:styleId="TableListNumber">
    <w:name w:val="Table List Number"/>
    <w:basedOn w:val="ListNumber"/>
    <w:rsid w:val="008C0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CB8"/>
    <w:pPr>
      <w:numPr>
        <w:numId w:val="9"/>
      </w:numPr>
    </w:pPr>
  </w:style>
  <w:style w:type="paragraph" w:customStyle="1" w:styleId="ListAlpha2">
    <w:name w:val="List Alpha 2"/>
    <w:basedOn w:val="List2"/>
    <w:rsid w:val="008C0CB8"/>
    <w:pPr>
      <w:numPr>
        <w:numId w:val="8"/>
      </w:numPr>
    </w:pPr>
  </w:style>
  <w:style w:type="paragraph" w:styleId="List2">
    <w:name w:val="List 2"/>
    <w:basedOn w:val="BodyText"/>
    <w:rsid w:val="008C0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C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C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CB8"/>
    <w:pPr>
      <w:numPr>
        <w:numId w:val="4"/>
      </w:numPr>
    </w:pPr>
  </w:style>
  <w:style w:type="paragraph" w:styleId="ListContinue2">
    <w:name w:val="List Continue 2"/>
    <w:basedOn w:val="List2"/>
    <w:rsid w:val="008C0CB8"/>
    <w:pPr>
      <w:ind w:firstLine="0"/>
    </w:pPr>
  </w:style>
  <w:style w:type="paragraph" w:styleId="ListContinue3">
    <w:name w:val="List Continue 3"/>
    <w:basedOn w:val="List3"/>
    <w:rsid w:val="008C0CB8"/>
    <w:pPr>
      <w:ind w:left="1021" w:firstLine="0"/>
    </w:pPr>
  </w:style>
  <w:style w:type="paragraph" w:styleId="ListContinue4">
    <w:name w:val="List Continue 4"/>
    <w:basedOn w:val="List4"/>
    <w:rsid w:val="008C0CB8"/>
    <w:pPr>
      <w:ind w:firstLine="0"/>
    </w:pPr>
  </w:style>
  <w:style w:type="paragraph" w:styleId="ListContinue5">
    <w:name w:val="List Continue 5"/>
    <w:basedOn w:val="List5"/>
    <w:rsid w:val="008C0CB8"/>
    <w:pPr>
      <w:ind w:firstLine="0"/>
    </w:pPr>
  </w:style>
  <w:style w:type="paragraph" w:styleId="ListNumber3">
    <w:name w:val="List Number 3"/>
    <w:basedOn w:val="List3"/>
    <w:rsid w:val="008C0CB8"/>
    <w:pPr>
      <w:numPr>
        <w:numId w:val="5"/>
      </w:numPr>
    </w:pPr>
  </w:style>
  <w:style w:type="paragraph" w:styleId="ListNumber4">
    <w:name w:val="List Number 4"/>
    <w:basedOn w:val="List4"/>
    <w:rsid w:val="008C0CB8"/>
    <w:pPr>
      <w:numPr>
        <w:numId w:val="6"/>
      </w:numPr>
    </w:pPr>
  </w:style>
  <w:style w:type="paragraph" w:styleId="ListNumber5">
    <w:name w:val="List Number 5"/>
    <w:basedOn w:val="List5"/>
    <w:rsid w:val="008C0CB8"/>
    <w:pPr>
      <w:numPr>
        <w:numId w:val="7"/>
      </w:numPr>
    </w:pPr>
  </w:style>
  <w:style w:type="paragraph" w:styleId="BlockText">
    <w:name w:val="Block Text"/>
    <w:basedOn w:val="Normal"/>
    <w:rsid w:val="008C0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CB8"/>
    <w:rPr>
      <w:sz w:val="16"/>
      <w:vertAlign w:val="superscript"/>
    </w:rPr>
  </w:style>
  <w:style w:type="character" w:customStyle="1" w:styleId="Symbols">
    <w:name w:val="Symbols"/>
    <w:basedOn w:val="DefaultParagraphFont"/>
    <w:rsid w:val="008C0CB8"/>
    <w:rPr>
      <w:rFonts w:ascii="Symbol" w:hAnsi="Symbol"/>
    </w:rPr>
  </w:style>
  <w:style w:type="character" w:customStyle="1" w:styleId="MenuOptions">
    <w:name w:val="Menu Options"/>
    <w:basedOn w:val="DefaultParagraphFont"/>
    <w:rsid w:val="008C0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CB8"/>
    <w:rPr>
      <w:b/>
    </w:rPr>
  </w:style>
  <w:style w:type="character" w:customStyle="1" w:styleId="Underlined">
    <w:name w:val="Underlined"/>
    <w:basedOn w:val="DefaultParagraphFont"/>
    <w:rsid w:val="008C0CB8"/>
    <w:rPr>
      <w:u w:val="single"/>
    </w:rPr>
  </w:style>
  <w:style w:type="paragraph" w:customStyle="1" w:styleId="TableBodyTextRight">
    <w:name w:val="Table Body Text Right"/>
    <w:basedOn w:val="TableBodyText"/>
    <w:rsid w:val="008C0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CB8"/>
    <w:rPr>
      <w:sz w:val="18"/>
    </w:rPr>
  </w:style>
  <w:style w:type="paragraph" w:customStyle="1" w:styleId="BodySmallRight">
    <w:name w:val="Body Small Right"/>
    <w:basedOn w:val="BodyTextRight"/>
    <w:rsid w:val="008C0CB8"/>
    <w:rPr>
      <w:sz w:val="18"/>
      <w:szCs w:val="18"/>
    </w:rPr>
  </w:style>
  <w:style w:type="paragraph" w:customStyle="1" w:styleId="MarginEdition">
    <w:name w:val="Margin Edition"/>
    <w:basedOn w:val="MarginNote"/>
    <w:rsid w:val="008C0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CB8"/>
    <w:rPr>
      <w:sz w:val="2"/>
      <w:szCs w:val="2"/>
    </w:rPr>
  </w:style>
  <w:style w:type="character" w:customStyle="1" w:styleId="Small">
    <w:name w:val="Small"/>
    <w:basedOn w:val="DefaultParagraphFont"/>
    <w:rsid w:val="008C0CB8"/>
    <w:rPr>
      <w:sz w:val="16"/>
    </w:rPr>
  </w:style>
  <w:style w:type="paragraph" w:customStyle="1" w:styleId="WideTable">
    <w:name w:val="Wide Table"/>
    <w:basedOn w:val="Normal"/>
    <w:rsid w:val="008C0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CB8"/>
  </w:style>
  <w:style w:type="paragraph" w:styleId="Quote">
    <w:name w:val="Quote"/>
    <w:basedOn w:val="Heading1"/>
    <w:link w:val="QuoteChar"/>
    <w:qFormat/>
    <w:rsid w:val="008C0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CB8"/>
    <w:pPr>
      <w:pageBreakBefore/>
    </w:pPr>
  </w:style>
  <w:style w:type="paragraph" w:customStyle="1" w:styleId="Border">
    <w:name w:val="Border"/>
    <w:basedOn w:val="Normal"/>
    <w:qFormat/>
    <w:rsid w:val="008C0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CB8"/>
    <w:rPr>
      <w:u w:val="single"/>
    </w:rPr>
  </w:style>
  <w:style w:type="character" w:customStyle="1" w:styleId="BoldandItalics">
    <w:name w:val="Bold and Italics"/>
    <w:qFormat/>
    <w:rsid w:val="008C0CB8"/>
    <w:rPr>
      <w:b/>
      <w:i/>
      <w:u w:val="none"/>
    </w:rPr>
  </w:style>
  <w:style w:type="paragraph" w:styleId="BalloonText">
    <w:name w:val="Balloon Text"/>
    <w:basedOn w:val="Normal"/>
    <w:link w:val="BalloonTextChar"/>
    <w:rsid w:val="008C0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CB8"/>
    <w:pPr>
      <w:spacing w:before="0" w:after="0"/>
    </w:pPr>
  </w:style>
  <w:style w:type="paragraph" w:customStyle="1" w:styleId="BodyTextBold">
    <w:name w:val="Body Text Bold"/>
    <w:basedOn w:val="BodyText"/>
    <w:qFormat/>
    <w:rsid w:val="008C0CB8"/>
    <w:rPr>
      <w:b/>
    </w:rPr>
  </w:style>
  <w:style w:type="character" w:styleId="Hyperlink">
    <w:name w:val="Hyperlink"/>
    <w:basedOn w:val="DefaultParagraphFont"/>
    <w:uiPriority w:val="99"/>
    <w:unhideWhenUsed/>
    <w:rsid w:val="00FF1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3378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MEM48027 Select non-metallic materials for engineering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