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7C7A" w:rsidP="002D7C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MEM48026 Analyse metallurgical failures of components and recommend preventative measures</w:t>
      </w:r>
      <w:r>
        <w:fldChar w:fldCharType="end"/>
      </w:r>
    </w:p>
    <w:p w:rsidR="002D7C7A" w:rsidP="002D7C7A">
      <w:pPr>
        <w:pStyle w:val="Version"/>
        <w:sectPr w:rsidSect="00BC2C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2C05" w:rsidP="00BC2C05">
      <w:pPr>
        <w:pStyle w:val="SuperHeading"/>
      </w:pPr>
      <w:r w:rsidRPr="00BC2C05">
        <w:t>MEM48026 Analyse metallurgical failures of components and recommend preventative measures</w:t>
      </w:r>
    </w:p>
    <w:p w:rsidR="00000000" w:rsidRPr="00BC2C05" w:rsidP="00BC2C05">
      <w:pPr>
        <w:pStyle w:val="Heading1"/>
      </w:pPr>
      <w:bookmarkStart w:id="1" w:name="O_950207"/>
      <w:bookmarkEnd w:id="1"/>
      <w:r w:rsidRPr="00BC2C05">
        <w:t>Modification History</w:t>
      </w:r>
    </w:p>
    <w:p w:rsidR="002D7C7A" w:rsidP="002D7C7A">
      <w:pPr>
        <w:pStyle w:val="BodyText"/>
      </w:pPr>
      <w:r w:rsidRPr="00BC2C05">
        <w:t>Release 1. Supersedes and is equivalent to MSATCM51</w:t>
      </w:r>
      <w:r w:rsidRPr="00BC2C05">
        <w:t>5A Analyse metallurgical failures of components and recommend preventative measures.</w:t>
      </w:r>
    </w:p>
    <w:p w:rsidR="00000000" w:rsidRPr="00BC2C05" w:rsidP="00BC2C05">
      <w:pPr>
        <w:pStyle w:val="Heading1"/>
      </w:pPr>
      <w:bookmarkStart w:id="2" w:name="O_950215"/>
      <w:bookmarkEnd w:id="2"/>
      <w:r w:rsidRPr="00BC2C05">
        <w:t>Application</w:t>
      </w:r>
    </w:p>
    <w:p w:rsidR="00000000" w:rsidRPr="00BC2C05" w:rsidP="002D7C7A">
      <w:pPr>
        <w:pStyle w:val="BodyText"/>
      </w:pPr>
      <w:r w:rsidRPr="00BC2C05">
        <w:t>This unit of competency defines the skills and knowledge required to identify and analyse metallurgical failures in engineering components wh</w:t>
      </w:r>
      <w:r w:rsidRPr="00BC2C05">
        <w:t>ere the failure is suspected of being related to the production or composition of the component and recommend preventative measures.</w:t>
      </w:r>
    </w:p>
    <w:p w:rsidR="00000000" w:rsidRPr="00BC2C05" w:rsidP="002D7C7A">
      <w:pPr>
        <w:pStyle w:val="BodyText"/>
      </w:pPr>
      <w:r w:rsidRPr="00BC2C05">
        <w:t>It applies to technician level activities in manufacturing or engineering environments.</w:t>
      </w:r>
    </w:p>
    <w:p w:rsidR="002D7C7A" w:rsidP="002D7C7A">
      <w:pPr>
        <w:pStyle w:val="BodyText"/>
      </w:pPr>
      <w:r w:rsidRPr="00BC2C05">
        <w:t>No licensing, legislative or certif</w:t>
      </w:r>
      <w:r w:rsidRPr="00BC2C05">
        <w:t>ication requirements apply to this unit at the time of publication.</w:t>
      </w:r>
    </w:p>
    <w:p w:rsidR="00000000" w:rsidRPr="00BC2C05" w:rsidP="00BC2C05">
      <w:pPr>
        <w:pStyle w:val="Heading1"/>
      </w:pPr>
      <w:bookmarkStart w:id="3" w:name="O_950214"/>
      <w:bookmarkEnd w:id="3"/>
      <w:r w:rsidRPr="00BC2C05">
        <w:t>Pre-requisite Unit</w:t>
      </w:r>
    </w:p>
    <w:p w:rsidR="00000000" w:rsidRPr="00BC2C05" w:rsidP="002D7C7A">
      <w:pPr>
        <w:pStyle w:val="BodyText"/>
      </w:pPr>
      <w:r w:rsidRPr="00BC2C05">
        <w:t>MEM48004 Interpret basic binary phase diagrams</w:t>
      </w:r>
    </w:p>
    <w:p w:rsidR="002D7C7A" w:rsidP="002D7C7A">
      <w:pPr>
        <w:pStyle w:val="BodyText"/>
      </w:pPr>
      <w:r w:rsidRPr="00BC2C05">
        <w:t>MEM48006 Prepare and examine metallographic samples</w:t>
      </w:r>
    </w:p>
    <w:p w:rsidR="00000000" w:rsidRPr="00BC2C05" w:rsidP="00BC2C05">
      <w:pPr>
        <w:pStyle w:val="Heading1"/>
      </w:pPr>
      <w:bookmarkStart w:id="4" w:name="O_950213"/>
      <w:bookmarkEnd w:id="4"/>
      <w:r w:rsidRPr="00BC2C05">
        <w:t>Competency Field</w:t>
      </w:r>
    </w:p>
    <w:p w:rsidR="00000000" w:rsidRPr="00BC2C05" w:rsidP="002D7C7A">
      <w:pPr>
        <w:pStyle w:val="BodyText"/>
      </w:pPr>
      <w:r w:rsidRPr="00BC2C05">
        <w:t xml:space="preserve">Metallurgy </w:t>
      </w:r>
    </w:p>
    <w:p w:rsidR="00000000" w:rsidRPr="00BC2C05" w:rsidP="00BC2C05">
      <w:pPr>
        <w:pStyle w:val="Heading1"/>
      </w:pPr>
      <w:bookmarkStart w:id="5" w:name="O_950211"/>
      <w:bookmarkEnd w:id="5"/>
      <w:r w:rsidRPr="00BC2C0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2D7C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05" w:rsidP="00BC2C05">
            <w:pPr>
              <w:pStyle w:val="BodyText"/>
            </w:pPr>
            <w:r w:rsidRPr="00BC2C05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rPr>
                <w:rStyle w:val="SpecialBold"/>
              </w:rPr>
              <w:t>Performance Criteria</w:t>
            </w:r>
          </w:p>
        </w:tc>
      </w:tr>
      <w:tr w:rsidTr="002D7C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05" w:rsidP="00BC2C05">
            <w:pPr>
              <w:pStyle w:val="BodyText"/>
            </w:pPr>
            <w:r w:rsidRPr="00BC2C05">
              <w:rPr>
                <w:rStyle w:val="Emphasis"/>
              </w:rPr>
              <w:t xml:space="preserve">Elements describe the </w:t>
            </w:r>
            <w:r w:rsidRPr="00BC2C05">
              <w:t xml:space="preserve">essential </w:t>
            </w:r>
            <w:r w:rsidRPr="00BC2C05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7C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05" w:rsidP="00BC2C05">
            <w:pPr>
              <w:pStyle w:val="BodyText"/>
            </w:pPr>
            <w:r w:rsidRPr="00BC2C05">
              <w:t>1.1 Follow standard operating procedures (SOPs)</w:t>
            </w:r>
          </w:p>
          <w:p w:rsidR="00000000" w:rsidRPr="00BC2C05" w:rsidP="00BC2C05">
            <w:pPr>
              <w:pStyle w:val="BodyText"/>
            </w:pPr>
            <w:r w:rsidRPr="00BC2C05">
              <w:t>1.2 Comply with work health and safety (WHS) requirements at all times</w:t>
            </w:r>
          </w:p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>1.3 Identify job requirements from work information</w:t>
            </w:r>
          </w:p>
        </w:tc>
      </w:tr>
      <w:tr w:rsidTr="002D7C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>2. Prepare failed component for failure analysis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05" w:rsidP="00BC2C05">
            <w:pPr>
              <w:pStyle w:val="BodyText"/>
            </w:pPr>
            <w:r w:rsidRPr="00BC2C05">
              <w:t>2.1 Identify, clean and prepare ins</w:t>
            </w:r>
            <w:r w:rsidRPr="00BC2C05">
              <w:t>pection areas for testing using appropriate procedures and materials</w:t>
            </w:r>
          </w:p>
          <w:p w:rsidR="00000000" w:rsidRPr="00BC2C05" w:rsidP="00BC2C05">
            <w:pPr>
              <w:pStyle w:val="BodyText"/>
            </w:pPr>
            <w:r w:rsidRPr="00BC2C05">
              <w:t>2.2 Carry out preparation processes in accordance with the relevant procedures and statutory and work requirements</w:t>
            </w:r>
          </w:p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>2.3 Assess inspection areas visually and identify any defects</w:t>
            </w:r>
          </w:p>
        </w:tc>
      </w:tr>
      <w:tr w:rsidTr="002D7C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>3. Perform failure analysis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05" w:rsidP="00BC2C05">
            <w:pPr>
              <w:pStyle w:val="BodyText"/>
            </w:pPr>
            <w:r w:rsidRPr="00BC2C05">
              <w:t>3.1 Select the most appropriate test for the material or application</w:t>
            </w:r>
          </w:p>
          <w:p w:rsidR="00000000" w:rsidRPr="00BC2C05" w:rsidP="00BC2C05">
            <w:pPr>
              <w:pStyle w:val="BodyText"/>
            </w:pPr>
            <w:r w:rsidRPr="00BC2C05">
              <w:t>3.2 Select and prepare test equipment in accordance with standards and/or procedures</w:t>
            </w:r>
          </w:p>
          <w:p w:rsidR="00000000" w:rsidRPr="00BC2C05" w:rsidP="00BC2C05">
            <w:pPr>
              <w:pStyle w:val="BodyText"/>
            </w:pPr>
            <w:r w:rsidRPr="00BC2C05">
              <w:t>3.3 Perform failure analysis on engineering components</w:t>
            </w:r>
          </w:p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>3.4 Check test equi</w:t>
            </w:r>
            <w:r w:rsidRPr="00BC2C05">
              <w:t>pment for defects and maintain and store in accordance with procedures and manufacturer instructions</w:t>
            </w:r>
          </w:p>
        </w:tc>
      </w:tr>
      <w:tr w:rsidTr="002D7C7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>4. Interpret and report the results and recommend preventative action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05" w:rsidP="00BC2C05">
            <w:pPr>
              <w:pStyle w:val="BodyText"/>
            </w:pPr>
            <w:r w:rsidRPr="00BC2C05">
              <w:t>4.1 Assess indications and classify defects that are detected in accordance with nat</w:t>
            </w:r>
            <w:r w:rsidRPr="00BC2C05">
              <w:t>ional and international codes and standards</w:t>
            </w:r>
          </w:p>
          <w:p w:rsidR="00000000" w:rsidRPr="00BC2C05" w:rsidP="00BC2C05">
            <w:pPr>
              <w:pStyle w:val="BodyText"/>
            </w:pPr>
            <w:r w:rsidRPr="00BC2C05">
              <w:t>4.2 Confirm defects in accordance with enterprise procedures and industry practices</w:t>
            </w:r>
          </w:p>
          <w:p w:rsidR="00000000" w:rsidRPr="00BC2C05" w:rsidP="00BC2C05">
            <w:pPr>
              <w:pStyle w:val="BodyText"/>
            </w:pPr>
            <w:r w:rsidRPr="00BC2C05">
              <w:t>4.3 Report test results in accordance with enterprise procedures, accepted industry practices and customer service requirements</w:t>
            </w:r>
          </w:p>
          <w:p w:rsidR="00000000" w:rsidRPr="00BC2C05" w:rsidP="00BC2C05">
            <w:pPr>
              <w:pStyle w:val="BodyText"/>
            </w:pPr>
            <w:r w:rsidRPr="00BC2C05">
              <w:t>4.4 Make recommendations to prevent future failures</w:t>
            </w:r>
          </w:p>
        </w:tc>
      </w:tr>
    </w:tbl>
    <w:p w:rsidR="002D7C7A" w:rsidP="00BC2C05">
      <w:pPr>
        <w:pStyle w:val="BodyText"/>
      </w:pPr>
    </w:p>
    <w:p w:rsidR="002D7C7A" w:rsidP="00BC2C05">
      <w:pPr>
        <w:pStyle w:val="BodyText"/>
      </w:pPr>
    </w:p>
    <w:p w:rsidR="00000000" w:rsidRPr="00BC2C05" w:rsidP="00BC2C05">
      <w:pPr>
        <w:pStyle w:val="Heading1"/>
      </w:pPr>
      <w:bookmarkStart w:id="6" w:name="O_950210"/>
      <w:bookmarkEnd w:id="6"/>
      <w:r w:rsidRPr="00BC2C05">
        <w:t>Foundation Skills</w:t>
      </w:r>
    </w:p>
    <w:p w:rsidR="00000000" w:rsidRPr="00BC2C05" w:rsidP="002D7C7A">
      <w:pPr>
        <w:pStyle w:val="BodyText"/>
      </w:pPr>
      <w:r w:rsidRPr="00BC2C05">
        <w:t>This section describes those language, literacy, numeracy and employment skills that are essential to performance.</w:t>
      </w:r>
    </w:p>
    <w:p w:rsidR="002D7C7A" w:rsidP="002D7C7A">
      <w:pPr>
        <w:pStyle w:val="BodyText"/>
      </w:pPr>
      <w:r w:rsidRPr="00BC2C05">
        <w:t>Foundation skills essential to performance are expl</w:t>
      </w:r>
      <w:r w:rsidRPr="00BC2C05">
        <w:t>icit in the performance criteria of this unit of competency.</w:t>
      </w:r>
    </w:p>
    <w:p w:rsidR="00000000" w:rsidRPr="00BC2C05" w:rsidP="00BC2C05">
      <w:pPr>
        <w:pStyle w:val="Heading1"/>
      </w:pPr>
      <w:bookmarkStart w:id="7" w:name="O_950209"/>
      <w:bookmarkEnd w:id="7"/>
      <w:r w:rsidRPr="00BC2C05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BC2C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 xml:space="preserve">This field allows for different work environments and conditions that may affect performance. Essential operating conditions that may be present </w:t>
            </w:r>
            <w:r w:rsidRPr="00BC2C05">
              <w:t>(depending on the work situation, needs of the candidate, accessibility of the item, and local industry and regional contexts) are included.</w:t>
            </w:r>
          </w:p>
        </w:tc>
      </w:tr>
      <w:tr w:rsidTr="00BC2C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>Preparation processes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05" w:rsidP="00BC2C05">
            <w:pPr>
              <w:pStyle w:val="ListBullet"/>
            </w:pPr>
            <w:r w:rsidRPr="00BC2C05">
              <w:t>surface cleaning</w:t>
            </w:r>
          </w:p>
          <w:p w:rsidR="00000000" w:rsidRPr="00BC2C05" w:rsidP="00BC2C05">
            <w:pPr>
              <w:pStyle w:val="ListBullet"/>
            </w:pPr>
            <w:r w:rsidRPr="00BC2C05">
              <w:t>surface drying</w:t>
            </w:r>
          </w:p>
          <w:p w:rsidR="00000000" w:rsidP="00BC2C05">
            <w:pPr>
              <w:pStyle w:val="ListBullet"/>
              <w:rPr>
                <w:lang w:val="en-NZ"/>
              </w:rPr>
            </w:pPr>
            <w:r w:rsidRPr="00BC2C05">
              <w:t>preservation of fracture surfaces.</w:t>
            </w:r>
          </w:p>
        </w:tc>
      </w:tr>
      <w:tr w:rsidTr="00BC2C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>Most appropriate tests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05" w:rsidP="00BC2C05">
            <w:pPr>
              <w:pStyle w:val="ListBullet"/>
            </w:pPr>
            <w:r w:rsidRPr="00BC2C05">
              <w:t>non-destructive testing</w:t>
            </w:r>
          </w:p>
          <w:p w:rsidR="00000000" w:rsidRPr="00BC2C05" w:rsidP="00BC2C05">
            <w:pPr>
              <w:pStyle w:val="ListBullet"/>
            </w:pPr>
            <w:r w:rsidRPr="00BC2C05">
              <w:t>mechanical testing</w:t>
            </w:r>
          </w:p>
          <w:p w:rsidR="00000000" w:rsidRPr="00BC2C05" w:rsidP="00BC2C05">
            <w:pPr>
              <w:pStyle w:val="ListBullet"/>
            </w:pPr>
            <w:r w:rsidRPr="00BC2C05">
              <w:t>microscopic and microscopic preparation of metallographic sections</w:t>
            </w:r>
          </w:p>
          <w:p w:rsidR="00000000" w:rsidRPr="00BC2C05" w:rsidP="00BC2C05">
            <w:pPr>
              <w:pStyle w:val="ListBullet"/>
            </w:pPr>
            <w:r w:rsidRPr="00BC2C05">
              <w:t>scanning electron microscopy (SEM) evaluation for fracture mode</w:t>
            </w:r>
          </w:p>
          <w:p w:rsidR="00000000" w:rsidRPr="00BC2C05" w:rsidP="00BC2C05">
            <w:pPr>
              <w:pStyle w:val="ListBullet"/>
            </w:pPr>
            <w:r w:rsidRPr="00BC2C05">
              <w:t>energy dispersive sp</w:t>
            </w:r>
            <w:r w:rsidRPr="00BC2C05">
              <w:t>ectroscopy (EDS) for chemical inconsistencies</w:t>
            </w:r>
          </w:p>
          <w:p w:rsidR="00000000" w:rsidRPr="00BC2C05" w:rsidP="00BC2C05">
            <w:pPr>
              <w:pStyle w:val="ListBullet"/>
            </w:pPr>
            <w:r w:rsidRPr="00BC2C05">
              <w:t>chemical analysis</w:t>
            </w:r>
          </w:p>
          <w:p w:rsidR="00000000" w:rsidRPr="00BC2C05" w:rsidP="00BC2C05">
            <w:pPr>
              <w:pStyle w:val="ListBullet"/>
            </w:pPr>
            <w:r w:rsidRPr="00BC2C05">
              <w:t>application of fracture mechanics</w:t>
            </w:r>
          </w:p>
          <w:p w:rsidR="00000000" w:rsidRPr="00BC2C05" w:rsidP="00BC2C05">
            <w:pPr>
              <w:pStyle w:val="ListBullet"/>
            </w:pPr>
            <w:r w:rsidRPr="00BC2C05">
              <w:t>simulated service testing</w:t>
            </w:r>
          </w:p>
          <w:p w:rsidR="00000000" w:rsidP="00BC2C05">
            <w:pPr>
              <w:pStyle w:val="ListBullet"/>
              <w:rPr>
                <w:lang w:val="en-NZ"/>
              </w:rPr>
            </w:pPr>
            <w:r w:rsidRPr="00BC2C05">
              <w:t>analysing the evidence.</w:t>
            </w:r>
          </w:p>
        </w:tc>
      </w:tr>
      <w:tr w:rsidTr="00BC2C05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2C05">
            <w:pPr>
              <w:pStyle w:val="BodyText"/>
              <w:rPr>
                <w:lang w:val="en-NZ"/>
              </w:rPr>
            </w:pPr>
            <w:r w:rsidRPr="00BC2C05">
              <w:t>Report includes: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2C05" w:rsidP="00BC2C05">
            <w:pPr>
              <w:pStyle w:val="ListBullet"/>
            </w:pPr>
            <w:r w:rsidRPr="00BC2C05">
              <w:t>accurate identification of cause of failure</w:t>
            </w:r>
          </w:p>
          <w:p w:rsidR="00000000" w:rsidRPr="00BC2C05" w:rsidP="00BC2C05">
            <w:pPr>
              <w:pStyle w:val="ListBullet"/>
            </w:pPr>
            <w:r w:rsidRPr="00BC2C05">
              <w:t>recommendation of preventative measures.</w:t>
            </w:r>
          </w:p>
        </w:tc>
      </w:tr>
    </w:tbl>
    <w:p w:rsidR="002D7C7A" w:rsidP="00BC2C05">
      <w:pPr>
        <w:pStyle w:val="BodyText"/>
      </w:pPr>
    </w:p>
    <w:p w:rsidR="002D7C7A" w:rsidP="00BC2C05">
      <w:pPr>
        <w:pStyle w:val="BodyText"/>
      </w:pPr>
    </w:p>
    <w:p w:rsidR="00000000" w:rsidRPr="00BC2C05" w:rsidP="00BC2C05">
      <w:pPr>
        <w:pStyle w:val="Heading1"/>
      </w:pPr>
      <w:bookmarkStart w:id="8" w:name="O_950208"/>
      <w:bookmarkEnd w:id="8"/>
      <w:r w:rsidRPr="00BC2C05">
        <w:t>Unit Mapping Information</w:t>
      </w:r>
    </w:p>
    <w:p w:rsidR="002D7C7A" w:rsidP="002D7C7A">
      <w:pPr>
        <w:pStyle w:val="BodyText"/>
      </w:pPr>
      <w:r w:rsidRPr="00BC2C05">
        <w:t>Release 1. Supersedes and is equivalent to MSATCM515A Analyse metallurgical failures of components and recommend preventative measures.</w:t>
      </w:r>
    </w:p>
    <w:p w:rsidR="00000000" w:rsidRPr="00BC2C05" w:rsidP="00BC2C05">
      <w:pPr>
        <w:pStyle w:val="Heading1"/>
      </w:pPr>
      <w:bookmarkStart w:id="9" w:name="O_950201"/>
      <w:bookmarkEnd w:id="9"/>
      <w:r w:rsidRPr="00BC2C05">
        <w:t>Links</w:t>
      </w:r>
    </w:p>
    <w:p w:rsidR="00000000" w:rsidRPr="00BC2C05" w:rsidP="002D7C7A">
      <w:pPr>
        <w:pStyle w:val="BodyText"/>
      </w:pPr>
      <w:r w:rsidRPr="00BC2C05">
        <w:t>Companion Volume implementation guides are found in VET</w:t>
      </w:r>
      <w:r w:rsidRPr="00BC2C05">
        <w:t xml:space="preserve">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228D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C2C05" w:rsidP="00BC2C05"/>
    <w:sectPr w:rsidSect="00BC2C0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05" w:rsidRPr="002D7C7A" w:rsidP="002D7C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7A" w:rsidP="00BC2C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7C7A" w:rsidP="00BC2C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D7C7A" w:rsidP="00BC2C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2C05" w:rsidRPr="002D7C7A" w:rsidP="002D7C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2C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C7A" w:rsidRPr="002D2AF8" w:rsidP="00BC2C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MEM48026 Analyse metallurgical failures of components and recommend preventative measures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D7C7A" w:rsidP="00BC2C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726B9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B61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2C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2C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2C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2C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2C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2C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2C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2C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2C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2C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2C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2C05"/>
  </w:style>
  <w:style w:type="character" w:customStyle="1" w:styleId="Heading1Char">
    <w:name w:val="Heading 1 Char"/>
    <w:basedOn w:val="DefaultParagraphFont"/>
    <w:link w:val="Heading1"/>
    <w:rsid w:val="00BC2C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2C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2C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2C0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2C05"/>
    <w:rPr>
      <w:b/>
      <w:spacing w:val="0"/>
    </w:rPr>
  </w:style>
  <w:style w:type="character" w:styleId="Emphasis">
    <w:name w:val="Emphasis"/>
    <w:basedOn w:val="DefaultParagraphFont"/>
    <w:qFormat/>
    <w:rsid w:val="00BC2C05"/>
    <w:rPr>
      <w:i/>
    </w:rPr>
  </w:style>
  <w:style w:type="paragraph" w:customStyle="1" w:styleId="SuperHeading">
    <w:name w:val="SuperHeading"/>
    <w:basedOn w:val="Normal"/>
    <w:rsid w:val="00BC2C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2C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C2C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2C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2C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2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2C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2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2C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2C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2C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2C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2C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2C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2C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2C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2C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2C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2C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2C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2C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2C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2C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2C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2C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2C0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2C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2C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2C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2C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2C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2C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2C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2C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2C0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C2C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2C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2C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2C05"/>
  </w:style>
  <w:style w:type="paragraph" w:styleId="TableofFigures">
    <w:name w:val="table of figures"/>
    <w:basedOn w:val="Normal"/>
    <w:next w:val="Normal"/>
    <w:semiHidden/>
    <w:rsid w:val="00BC2C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2C0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C2C05"/>
    <w:rPr>
      <w:rFonts w:ascii="Wingdings" w:hAnsi="Wingdings"/>
    </w:rPr>
  </w:style>
  <w:style w:type="paragraph" w:customStyle="1" w:styleId="TableHeading">
    <w:name w:val="Table Heading"/>
    <w:basedOn w:val="HeadingBase"/>
    <w:rsid w:val="00BC2C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2C05"/>
    <w:rPr>
      <w:color w:val="0033CC"/>
      <w:u w:val="none"/>
    </w:rPr>
  </w:style>
  <w:style w:type="paragraph" w:customStyle="1" w:styleId="BodyTextRight">
    <w:name w:val="Body Text Right"/>
    <w:basedOn w:val="BodyText"/>
    <w:rsid w:val="00BC2C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2C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2C0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2C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2C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2C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2C05"/>
    <w:rPr>
      <w:sz w:val="32"/>
    </w:rPr>
  </w:style>
  <w:style w:type="paragraph" w:customStyle="1" w:styleId="HeadingProcedure">
    <w:name w:val="Heading Procedure"/>
    <w:basedOn w:val="HeadingBase"/>
    <w:next w:val="Normal"/>
    <w:rsid w:val="00BC2C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2C05"/>
    <w:pPr>
      <w:spacing w:before="60" w:after="60"/>
    </w:pPr>
  </w:style>
  <w:style w:type="paragraph" w:styleId="ListContinue">
    <w:name w:val="List Continue"/>
    <w:basedOn w:val="List"/>
    <w:rsid w:val="00BC2C05"/>
    <w:pPr>
      <w:ind w:firstLine="0"/>
    </w:pPr>
  </w:style>
  <w:style w:type="paragraph" w:customStyle="1" w:styleId="ListNote">
    <w:name w:val="List Note"/>
    <w:basedOn w:val="List"/>
    <w:rsid w:val="00BC2C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2C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2C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2C05"/>
    <w:rPr>
      <w:rFonts w:ascii="Courier New" w:hAnsi="Courier New"/>
    </w:rPr>
  </w:style>
  <w:style w:type="paragraph" w:customStyle="1" w:styleId="NoteBullet">
    <w:name w:val="Note Bullet"/>
    <w:basedOn w:val="Note"/>
    <w:rsid w:val="00BC2C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2C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2C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2C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2C0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C2C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2C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2C05"/>
    <w:rPr>
      <w:b/>
      <w:smallCaps/>
    </w:rPr>
  </w:style>
  <w:style w:type="paragraph" w:customStyle="1" w:styleId="TableListNumber">
    <w:name w:val="Table List Number"/>
    <w:basedOn w:val="ListNumber"/>
    <w:rsid w:val="00BC2C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2C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2C05"/>
    <w:pPr>
      <w:numPr>
        <w:numId w:val="8"/>
      </w:numPr>
    </w:pPr>
  </w:style>
  <w:style w:type="paragraph" w:customStyle="1" w:styleId="ListAlpha2">
    <w:name w:val="List Alpha 2"/>
    <w:basedOn w:val="List2"/>
    <w:rsid w:val="00BC2C05"/>
    <w:pPr>
      <w:numPr>
        <w:numId w:val="7"/>
      </w:numPr>
    </w:pPr>
  </w:style>
  <w:style w:type="paragraph" w:styleId="List2">
    <w:name w:val="List 2"/>
    <w:basedOn w:val="BodyText"/>
    <w:rsid w:val="00BC2C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2C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2C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2C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2C0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2C0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2C05"/>
    <w:pPr>
      <w:numPr>
        <w:numId w:val="3"/>
      </w:numPr>
    </w:pPr>
  </w:style>
  <w:style w:type="paragraph" w:styleId="ListContinue2">
    <w:name w:val="List Continue 2"/>
    <w:basedOn w:val="List2"/>
    <w:rsid w:val="00BC2C05"/>
    <w:pPr>
      <w:ind w:firstLine="0"/>
    </w:pPr>
  </w:style>
  <w:style w:type="paragraph" w:styleId="ListContinue3">
    <w:name w:val="List Continue 3"/>
    <w:basedOn w:val="List3"/>
    <w:rsid w:val="00BC2C05"/>
    <w:pPr>
      <w:ind w:left="1021" w:firstLine="0"/>
    </w:pPr>
  </w:style>
  <w:style w:type="paragraph" w:styleId="ListContinue4">
    <w:name w:val="List Continue 4"/>
    <w:basedOn w:val="List4"/>
    <w:rsid w:val="00BC2C05"/>
    <w:pPr>
      <w:ind w:firstLine="0"/>
    </w:pPr>
  </w:style>
  <w:style w:type="paragraph" w:styleId="ListContinue5">
    <w:name w:val="List Continue 5"/>
    <w:basedOn w:val="List5"/>
    <w:rsid w:val="00BC2C05"/>
    <w:pPr>
      <w:ind w:firstLine="0"/>
    </w:pPr>
  </w:style>
  <w:style w:type="paragraph" w:styleId="ListNumber3">
    <w:name w:val="List Number 3"/>
    <w:basedOn w:val="List3"/>
    <w:rsid w:val="00BC2C05"/>
    <w:pPr>
      <w:numPr>
        <w:numId w:val="4"/>
      </w:numPr>
    </w:pPr>
  </w:style>
  <w:style w:type="paragraph" w:styleId="ListNumber4">
    <w:name w:val="List Number 4"/>
    <w:basedOn w:val="List4"/>
    <w:rsid w:val="00BC2C05"/>
    <w:pPr>
      <w:numPr>
        <w:numId w:val="5"/>
      </w:numPr>
    </w:pPr>
  </w:style>
  <w:style w:type="paragraph" w:styleId="ListNumber5">
    <w:name w:val="List Number 5"/>
    <w:basedOn w:val="List5"/>
    <w:rsid w:val="00BC2C05"/>
    <w:pPr>
      <w:numPr>
        <w:numId w:val="6"/>
      </w:numPr>
    </w:pPr>
  </w:style>
  <w:style w:type="paragraph" w:styleId="BlockText">
    <w:name w:val="Block Text"/>
    <w:basedOn w:val="Normal"/>
    <w:rsid w:val="00BC2C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2C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2C05"/>
    <w:rPr>
      <w:sz w:val="16"/>
      <w:vertAlign w:val="superscript"/>
    </w:rPr>
  </w:style>
  <w:style w:type="character" w:customStyle="1" w:styleId="Symbols">
    <w:name w:val="Symbols"/>
    <w:basedOn w:val="DefaultParagraphFont"/>
    <w:rsid w:val="00BC2C05"/>
    <w:rPr>
      <w:rFonts w:ascii="Symbol" w:hAnsi="Symbol"/>
    </w:rPr>
  </w:style>
  <w:style w:type="character" w:customStyle="1" w:styleId="MenuOptions">
    <w:name w:val="Menu Options"/>
    <w:basedOn w:val="DefaultParagraphFont"/>
    <w:rsid w:val="00BC2C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2C05"/>
    <w:rPr>
      <w:b/>
    </w:rPr>
  </w:style>
  <w:style w:type="character" w:customStyle="1" w:styleId="Underlined">
    <w:name w:val="Underlined"/>
    <w:basedOn w:val="DefaultParagraphFont"/>
    <w:rsid w:val="00BC2C05"/>
    <w:rPr>
      <w:u w:val="single"/>
    </w:rPr>
  </w:style>
  <w:style w:type="paragraph" w:customStyle="1" w:styleId="TableBodyTextRight">
    <w:name w:val="Table Body Text Right"/>
    <w:basedOn w:val="TableBodyText"/>
    <w:rsid w:val="00BC2C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2C05"/>
    <w:rPr>
      <w:sz w:val="18"/>
    </w:rPr>
  </w:style>
  <w:style w:type="paragraph" w:customStyle="1" w:styleId="BodySmallRight">
    <w:name w:val="Body Small Right"/>
    <w:basedOn w:val="BodyTextRight"/>
    <w:rsid w:val="00BC2C05"/>
    <w:rPr>
      <w:sz w:val="18"/>
      <w:szCs w:val="18"/>
    </w:rPr>
  </w:style>
  <w:style w:type="paragraph" w:customStyle="1" w:styleId="MarginEdition">
    <w:name w:val="Margin Edition"/>
    <w:basedOn w:val="MarginNote"/>
    <w:rsid w:val="00BC2C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2C05"/>
    <w:rPr>
      <w:sz w:val="2"/>
      <w:szCs w:val="2"/>
    </w:rPr>
  </w:style>
  <w:style w:type="character" w:customStyle="1" w:styleId="Small">
    <w:name w:val="Small"/>
    <w:basedOn w:val="DefaultParagraphFont"/>
    <w:rsid w:val="00BC2C05"/>
    <w:rPr>
      <w:sz w:val="16"/>
    </w:rPr>
  </w:style>
  <w:style w:type="paragraph" w:customStyle="1" w:styleId="WideTable">
    <w:name w:val="Wide Table"/>
    <w:basedOn w:val="Normal"/>
    <w:rsid w:val="00BC2C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2C05"/>
  </w:style>
  <w:style w:type="paragraph" w:styleId="Quote">
    <w:name w:val="Quote"/>
    <w:basedOn w:val="Heading1"/>
    <w:link w:val="QuoteChar"/>
    <w:qFormat/>
    <w:rsid w:val="00BC2C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2C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2C05"/>
    <w:pPr>
      <w:pageBreakBefore/>
    </w:pPr>
  </w:style>
  <w:style w:type="paragraph" w:customStyle="1" w:styleId="Border">
    <w:name w:val="Border"/>
    <w:basedOn w:val="Normal"/>
    <w:qFormat/>
    <w:rsid w:val="00BC2C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2C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2C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2C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2C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2C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2C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2C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2C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2C05"/>
    <w:rPr>
      <w:u w:val="single"/>
    </w:rPr>
  </w:style>
  <w:style w:type="character" w:customStyle="1" w:styleId="BoldandItalics">
    <w:name w:val="Bold and Italics"/>
    <w:qFormat/>
    <w:rsid w:val="00BC2C05"/>
    <w:rPr>
      <w:b/>
      <w:i/>
      <w:u w:val="none"/>
    </w:rPr>
  </w:style>
  <w:style w:type="paragraph" w:styleId="BalloonText">
    <w:name w:val="Balloon Text"/>
    <w:basedOn w:val="Normal"/>
    <w:link w:val="BalloonTextChar"/>
    <w:rsid w:val="00BC2C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2C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2C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2C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2C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2C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2C05"/>
    <w:pPr>
      <w:spacing w:before="0" w:after="0"/>
    </w:pPr>
  </w:style>
  <w:style w:type="paragraph" w:customStyle="1" w:styleId="BodyTextBold">
    <w:name w:val="Body Text Bold"/>
    <w:basedOn w:val="BodyText"/>
    <w:qFormat/>
    <w:rsid w:val="00BC2C05"/>
    <w:rPr>
      <w:b/>
    </w:rPr>
  </w:style>
  <w:style w:type="character" w:styleId="Hyperlink">
    <w:name w:val="Hyperlink"/>
    <w:basedOn w:val="DefaultParagraphFont"/>
    <w:uiPriority w:val="99"/>
    <w:unhideWhenUsed/>
    <w:rsid w:val="002D7C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537</Words>
  <Characters>3639</Characters>
  <Application>Microsoft Office Word</Application>
  <DocSecurity>0</DocSecurity>
  <Lines>117</Lines>
  <Paragraphs>74</Paragraphs>
  <ScaleCrop>false</ScaleCrop>
  <Company>Author-it Software Corporation Ltd.</Company>
  <LinksUpToDate>false</LinksUpToDate>
  <CharactersWithSpaces>4102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MEM48026 Analyse metallurgical failures of components and recommend preventative measures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2023-02-03T06:17:00Z</dcterms:created>
  <dcterms:modified xsi:type="dcterms:W3CDTF">2023-02-03T06:17:00Z</dcterms:modified>
</cp:coreProperties>
</file>