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EE0" w:rsidP="00ED2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MEM48026 Analyse metallurgical failures of components and recommend preventative measures</w:t>
      </w:r>
      <w:r>
        <w:fldChar w:fldCharType="end"/>
      </w:r>
    </w:p>
    <w:p w:rsidR="00ED2EE0" w:rsidP="00ED2EE0">
      <w:pPr>
        <w:pStyle w:val="Version"/>
        <w:sectPr w:rsidSect="00330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8D8" w:rsidP="003308D8">
      <w:pPr>
        <w:pStyle w:val="SuperHeading"/>
      </w:pPr>
      <w:r w:rsidRPr="003308D8">
        <w:t>Assessment Requirements for MEM48026 Analyse metallurgical failures of components and recommend preventative measures</w:t>
      </w:r>
    </w:p>
    <w:p w:rsidR="00000000" w:rsidRPr="003308D8" w:rsidP="003308D8">
      <w:pPr>
        <w:pStyle w:val="Heading1"/>
      </w:pPr>
      <w:bookmarkStart w:id="1" w:name="O_950203"/>
      <w:bookmarkEnd w:id="1"/>
      <w:r w:rsidRPr="003308D8">
        <w:t>Modification History</w:t>
      </w:r>
    </w:p>
    <w:p w:rsidR="00ED2EE0" w:rsidP="00ED2EE0">
      <w:pPr>
        <w:pStyle w:val="BodyText"/>
      </w:pPr>
      <w:r w:rsidRPr="003308D8">
        <w:t>Release 1. Supersedes and is equivalent to MSATCM515A Analyse metallurgical failures of components and recommend preventative measures.</w:t>
      </w:r>
    </w:p>
    <w:p w:rsidR="00000000" w:rsidRPr="003308D8" w:rsidP="003308D8">
      <w:pPr>
        <w:pStyle w:val="Heading1"/>
      </w:pPr>
      <w:bookmarkStart w:id="2" w:name="O_950206"/>
      <w:bookmarkEnd w:id="2"/>
      <w:r w:rsidRPr="003308D8">
        <w:t>Performance Evidence</w:t>
      </w:r>
    </w:p>
    <w:p w:rsidR="00000000" w:rsidRPr="003308D8" w:rsidP="00ED2EE0">
      <w:pPr>
        <w:pStyle w:val="BodyText"/>
      </w:pPr>
      <w:r w:rsidRPr="003308D8">
        <w:t xml:space="preserve">Evidence required to demonstrate competence in this unit must be relevant to and </w:t>
      </w:r>
      <w:r w:rsidRPr="003308D8">
        <w:t>satisfy the requirements of the elements and performance criteria and include:</w:t>
      </w:r>
    </w:p>
    <w:p w:rsidR="00000000" w:rsidRPr="003308D8" w:rsidP="003308D8">
      <w:pPr>
        <w:pStyle w:val="ListBullet"/>
      </w:pPr>
      <w:r w:rsidRPr="003308D8">
        <w:t>following work instructions, standard operating procedures (SOPs) and safe work practices</w:t>
      </w:r>
    </w:p>
    <w:p w:rsidR="00000000" w:rsidRPr="003308D8" w:rsidP="003308D8">
      <w:pPr>
        <w:pStyle w:val="ListBullet"/>
      </w:pPr>
      <w:r w:rsidRPr="003308D8">
        <w:t>identifying and interpreting specifications, charts, lists, drawings and other applica</w:t>
      </w:r>
      <w:r w:rsidRPr="003308D8">
        <w:t>ble reference documents in analysing metallurgical failures of components and recommending preventative measures</w:t>
      </w:r>
    </w:p>
    <w:p w:rsidR="00000000" w:rsidRPr="003308D8" w:rsidP="003308D8">
      <w:pPr>
        <w:pStyle w:val="ListBullet"/>
      </w:pPr>
      <w:r w:rsidRPr="003308D8">
        <w:t xml:space="preserve">identifying inspection areas </w:t>
      </w:r>
    </w:p>
    <w:p w:rsidR="00000000" w:rsidRPr="003308D8" w:rsidP="003308D8">
      <w:pPr>
        <w:pStyle w:val="ListBullet"/>
      </w:pPr>
      <w:r w:rsidRPr="003308D8">
        <w:t>conducting visual inspections and identifying discontinuities and defects</w:t>
      </w:r>
    </w:p>
    <w:p w:rsidR="00000000" w:rsidRPr="003308D8" w:rsidP="003308D8">
      <w:pPr>
        <w:pStyle w:val="ListBullet"/>
      </w:pPr>
      <w:r w:rsidRPr="003308D8">
        <w:t>selecting and using appropriate testing</w:t>
      </w:r>
      <w:r w:rsidRPr="003308D8">
        <w:t xml:space="preserve"> techniques, procedures and equipment on at least two occasions</w:t>
      </w:r>
    </w:p>
    <w:p w:rsidR="00000000" w:rsidRPr="003308D8" w:rsidP="003308D8">
      <w:pPr>
        <w:pStyle w:val="ListBullet"/>
      </w:pPr>
      <w:r w:rsidRPr="003308D8">
        <w:t>performing appropriate measurements associated with the selected test on at least two occasions</w:t>
      </w:r>
    </w:p>
    <w:p w:rsidR="00000000" w:rsidRPr="003308D8" w:rsidP="003308D8">
      <w:pPr>
        <w:pStyle w:val="ListBullet"/>
      </w:pPr>
      <w:r w:rsidRPr="003308D8">
        <w:t>undertaking root cause analysis on at least two occasions</w:t>
      </w:r>
    </w:p>
    <w:p w:rsidR="00000000" w:rsidRPr="003308D8" w:rsidP="003308D8">
      <w:pPr>
        <w:pStyle w:val="ListBullet"/>
      </w:pPr>
      <w:r w:rsidRPr="003308D8">
        <w:t>reporting test results and making reco</w:t>
      </w:r>
      <w:r w:rsidRPr="003308D8">
        <w:t>mmendations to prevent future failures.</w:t>
      </w:r>
    </w:p>
    <w:p w:rsidR="00ED2EE0" w:rsidP="00ED2EE0">
      <w:pPr>
        <w:pStyle w:val="BodyText"/>
      </w:pPr>
      <w:r w:rsidRPr="003308D8">
        <w:t>Note: Where a volume and/or frequency is not specified, demonstration must be provided at least once.</w:t>
      </w:r>
    </w:p>
    <w:p w:rsidR="00000000" w:rsidRPr="003308D8" w:rsidP="003308D8">
      <w:pPr>
        <w:pStyle w:val="Heading1"/>
      </w:pPr>
      <w:bookmarkStart w:id="3" w:name="O_950205"/>
      <w:bookmarkEnd w:id="3"/>
      <w:r w:rsidRPr="003308D8">
        <w:t>Knowledge Evidence</w:t>
      </w:r>
    </w:p>
    <w:p w:rsidR="00000000" w:rsidRPr="003308D8" w:rsidP="00ED2EE0">
      <w:pPr>
        <w:pStyle w:val="BodyText"/>
      </w:pPr>
      <w:r w:rsidRPr="003308D8">
        <w:t>Evidence required to demonstrate the required knowledge for this unit must be</w:t>
      </w:r>
      <w:r w:rsidRPr="003308D8">
        <w:t xml:space="preserve"> relevant to and satisfy the requirements of the elements and performance criteria and include knowledge of:</w:t>
      </w:r>
    </w:p>
    <w:p w:rsidR="00000000" w:rsidRPr="003308D8" w:rsidP="003308D8">
      <w:pPr>
        <w:pStyle w:val="ListBullet"/>
      </w:pPr>
      <w:r w:rsidRPr="003308D8">
        <w:t>safe work practices and procedures and use of personal protective equipment (PPE)</w:t>
      </w:r>
    </w:p>
    <w:p w:rsidR="00000000" w:rsidRPr="003308D8" w:rsidP="003308D8">
      <w:pPr>
        <w:pStyle w:val="ListBullet"/>
      </w:pPr>
      <w:r w:rsidRPr="003308D8">
        <w:t>cleaning and preparation processes for different test surfaces</w:t>
      </w:r>
    </w:p>
    <w:p w:rsidR="00000000" w:rsidRPr="003308D8" w:rsidP="003308D8">
      <w:pPr>
        <w:pStyle w:val="ListBullet"/>
      </w:pPr>
      <w:r w:rsidRPr="003308D8">
        <w:t>procedural, statutory and work health and safety (WHS) requirements in relation to the preparation process</w:t>
      </w:r>
    </w:p>
    <w:p w:rsidR="00000000" w:rsidRPr="003308D8" w:rsidP="003308D8">
      <w:pPr>
        <w:pStyle w:val="ListBullet"/>
      </w:pPr>
      <w:r w:rsidRPr="003308D8">
        <w:t>established assessment procedures and techniques</w:t>
      </w:r>
    </w:p>
    <w:p w:rsidR="00000000" w:rsidRPr="003308D8" w:rsidP="003308D8">
      <w:pPr>
        <w:pStyle w:val="ListBullet"/>
      </w:pPr>
      <w:r w:rsidRPr="003308D8">
        <w:t>testing techniques, procedures, tools and equipment</w:t>
      </w:r>
    </w:p>
    <w:p w:rsidR="00000000" w:rsidRPr="003308D8" w:rsidP="003308D8">
      <w:pPr>
        <w:pStyle w:val="ListBullet"/>
      </w:pPr>
      <w:r w:rsidRPr="003308D8">
        <w:t>maintenance and storage procedures for test equi</w:t>
      </w:r>
      <w:r w:rsidRPr="003308D8">
        <w:t>pment</w:t>
      </w:r>
    </w:p>
    <w:p w:rsidR="00000000" w:rsidRPr="003308D8" w:rsidP="003308D8">
      <w:pPr>
        <w:pStyle w:val="ListBullet"/>
      </w:pPr>
      <w:r w:rsidRPr="003308D8">
        <w:t>common faults, damage and defects</w:t>
      </w:r>
    </w:p>
    <w:p w:rsidR="00000000" w:rsidRPr="003308D8" w:rsidP="003308D8">
      <w:pPr>
        <w:pStyle w:val="ListBullet"/>
      </w:pPr>
      <w:r w:rsidRPr="003308D8">
        <w:t>meaning and application of national and international codes and standards</w:t>
      </w:r>
    </w:p>
    <w:p w:rsidR="00000000" w:rsidRPr="003308D8" w:rsidP="003308D8">
      <w:pPr>
        <w:pStyle w:val="ListBullet"/>
      </w:pPr>
      <w:r w:rsidRPr="003308D8">
        <w:t>methods and procedures for reporting test results</w:t>
      </w:r>
    </w:p>
    <w:p w:rsidR="00000000" w:rsidRPr="003308D8" w:rsidP="003308D8">
      <w:pPr>
        <w:pStyle w:val="ListBullet"/>
      </w:pPr>
      <w:r w:rsidRPr="003308D8">
        <w:t>implications of test results for the particular material and/or application</w:t>
      </w:r>
    </w:p>
    <w:p w:rsidR="00000000" w:rsidRPr="003308D8" w:rsidP="003308D8">
      <w:pPr>
        <w:pStyle w:val="ListBullet"/>
      </w:pPr>
      <w:r w:rsidRPr="003308D8">
        <w:t>types of discont</w:t>
      </w:r>
      <w:r w:rsidRPr="003308D8">
        <w:t>inuities and their effect on the material including:</w:t>
      </w:r>
    </w:p>
    <w:p w:rsidR="00000000" w:rsidRPr="003308D8" w:rsidP="003308D8">
      <w:pPr>
        <w:pStyle w:val="ListBullet2"/>
      </w:pPr>
      <w:r w:rsidRPr="003308D8">
        <w:t>plastic deformation including:</w:t>
      </w:r>
    </w:p>
    <w:p w:rsidR="00000000" w:rsidRPr="003308D8" w:rsidP="003308D8">
      <w:pPr>
        <w:pStyle w:val="ListBullet3"/>
      </w:pPr>
      <w:r w:rsidRPr="003308D8">
        <w:t>elastic and plastic strain, dislocations, pile-up and interaction</w:t>
      </w:r>
    </w:p>
    <w:p w:rsidR="00000000" w:rsidRPr="003308D8" w:rsidP="003308D8">
      <w:pPr>
        <w:pStyle w:val="ListBullet3"/>
      </w:pPr>
      <w:r w:rsidRPr="003308D8">
        <w:t>work hardening</w:t>
      </w:r>
    </w:p>
    <w:p w:rsidR="00000000" w:rsidRPr="003308D8" w:rsidP="003308D8">
      <w:pPr>
        <w:pStyle w:val="ListBullet3"/>
      </w:pPr>
      <w:r w:rsidRPr="003308D8">
        <w:t>changes in strength, ductility, yield point, hardness, conductivity and corrosion resistance</w:t>
      </w:r>
    </w:p>
    <w:p w:rsidR="00000000" w:rsidRPr="003308D8" w:rsidP="003308D8">
      <w:pPr>
        <w:pStyle w:val="ListBullet2"/>
      </w:pPr>
      <w:r w:rsidRPr="003308D8">
        <w:t>annealing including:</w:t>
      </w:r>
    </w:p>
    <w:p w:rsidR="00000000" w:rsidRPr="003308D8" w:rsidP="003308D8">
      <w:pPr>
        <w:pStyle w:val="ListBullet3"/>
      </w:pPr>
      <w:r w:rsidRPr="003308D8">
        <w:t>dislocation movement and realignment during heating</w:t>
      </w:r>
    </w:p>
    <w:p w:rsidR="00000000" w:rsidRPr="003308D8" w:rsidP="003308D8">
      <w:pPr>
        <w:pStyle w:val="ListBullet3"/>
      </w:pPr>
      <w:r w:rsidRPr="003308D8">
        <w:t>recovery, nucleation of strain free areas, recrystallisation and grain growth</w:t>
      </w:r>
    </w:p>
    <w:p w:rsidR="00000000" w:rsidRPr="003308D8" w:rsidP="003308D8">
      <w:pPr>
        <w:pStyle w:val="ListBullet3"/>
      </w:pPr>
      <w:r w:rsidRPr="003308D8">
        <w:t>accompanyi</w:t>
      </w:r>
      <w:r w:rsidRPr="003308D8">
        <w:t xml:space="preserve">ng changes in mechanical and physical properties </w:t>
      </w:r>
    </w:p>
    <w:p w:rsidR="00000000" w:rsidRPr="003308D8" w:rsidP="003308D8">
      <w:pPr>
        <w:pStyle w:val="ListBullet2"/>
      </w:pPr>
      <w:r w:rsidRPr="003308D8">
        <w:t>hot and cold working including:</w:t>
      </w:r>
    </w:p>
    <w:p w:rsidR="00000000" w:rsidRPr="003308D8" w:rsidP="003308D8">
      <w:pPr>
        <w:pStyle w:val="ListBullet3"/>
      </w:pPr>
      <w:r w:rsidRPr="003308D8">
        <w:t>changes in deformation mechanism with rising heat input</w:t>
      </w:r>
    </w:p>
    <w:p w:rsidR="00000000" w:rsidRPr="003308D8" w:rsidP="003308D8">
      <w:pPr>
        <w:pStyle w:val="ListBullet3"/>
      </w:pPr>
      <w:r w:rsidRPr="003308D8">
        <w:t>the effects of strain rate and temperature on work hardening</w:t>
      </w:r>
    </w:p>
    <w:p w:rsidR="00000000" w:rsidRPr="003308D8" w:rsidP="003308D8">
      <w:pPr>
        <w:pStyle w:val="ListBullet3"/>
      </w:pPr>
      <w:r w:rsidRPr="003308D8">
        <w:t>recrystallisation and dynamic recovery</w:t>
      </w:r>
    </w:p>
    <w:p w:rsidR="00000000" w:rsidRPr="003308D8" w:rsidP="003308D8">
      <w:pPr>
        <w:pStyle w:val="ListBullet3"/>
      </w:pPr>
      <w:r w:rsidRPr="003308D8">
        <w:t>resulting micros</w:t>
      </w:r>
      <w:r w:rsidRPr="003308D8">
        <w:t>tructure and properties</w:t>
      </w:r>
    </w:p>
    <w:p w:rsidR="00000000" w:rsidRPr="003308D8" w:rsidP="003308D8">
      <w:pPr>
        <w:pStyle w:val="ListBullet2"/>
      </w:pPr>
      <w:r w:rsidRPr="003308D8">
        <w:t>ductile and brittle fracture including:</w:t>
      </w:r>
    </w:p>
    <w:p w:rsidR="00000000" w:rsidRPr="003308D8" w:rsidP="003308D8">
      <w:pPr>
        <w:pStyle w:val="ListBullet3"/>
      </w:pPr>
      <w:r w:rsidRPr="003308D8">
        <w:t>crack theory and mechanism of fracture</w:t>
      </w:r>
    </w:p>
    <w:p w:rsidR="00000000" w:rsidRPr="003308D8" w:rsidP="003308D8">
      <w:pPr>
        <w:pStyle w:val="ListBullet3"/>
      </w:pPr>
      <w:r w:rsidRPr="003308D8">
        <w:t>factors affecting fracture modes</w:t>
      </w:r>
    </w:p>
    <w:p w:rsidR="00000000" w:rsidRPr="003308D8" w:rsidP="003308D8">
      <w:pPr>
        <w:pStyle w:val="ListBullet2"/>
      </w:pPr>
      <w:r w:rsidRPr="003308D8">
        <w:t>fatigue including:</w:t>
      </w:r>
    </w:p>
    <w:p w:rsidR="00000000" w:rsidRPr="003308D8" w:rsidP="003308D8">
      <w:pPr>
        <w:pStyle w:val="ListBullet3"/>
      </w:pPr>
      <w:r w:rsidRPr="003308D8">
        <w:t>mechanism of fatigue crack nucleation</w:t>
      </w:r>
    </w:p>
    <w:p w:rsidR="00000000" w:rsidRPr="003308D8" w:rsidP="003308D8">
      <w:pPr>
        <w:pStyle w:val="ListBullet3"/>
      </w:pPr>
      <w:r w:rsidRPr="003308D8">
        <w:t>mechanism of fatigue crack growth</w:t>
      </w:r>
    </w:p>
    <w:p w:rsidR="00000000" w:rsidRPr="003308D8" w:rsidP="003308D8">
      <w:pPr>
        <w:pStyle w:val="ListBullet3"/>
      </w:pPr>
      <w:r w:rsidRPr="003308D8">
        <w:t>engineering considerations of fatigue and metallurgical factors affecting fatigue</w:t>
      </w:r>
    </w:p>
    <w:p w:rsidR="00000000" w:rsidRPr="003308D8" w:rsidP="003308D8">
      <w:pPr>
        <w:pStyle w:val="ListBullet2"/>
      </w:pPr>
      <w:r w:rsidRPr="003308D8">
        <w:t>creep including:</w:t>
      </w:r>
    </w:p>
    <w:p w:rsidR="00000000" w:rsidRPr="003308D8" w:rsidP="003308D8">
      <w:pPr>
        <w:pStyle w:val="ListBullet3"/>
      </w:pPr>
      <w:r w:rsidRPr="003308D8">
        <w:t>creep mechanisms</w:t>
      </w:r>
    </w:p>
    <w:p w:rsidR="00ED2EE0" w:rsidP="003308D8">
      <w:pPr>
        <w:pStyle w:val="ListBullet3"/>
      </w:pPr>
      <w:r w:rsidRPr="003308D8">
        <w:t>metallurgical factors affecting creep.</w:t>
      </w:r>
    </w:p>
    <w:p w:rsidR="00ED2EE0" w:rsidP="003308D8">
      <w:pPr>
        <w:pStyle w:val="ListBullet3"/>
      </w:pPr>
    </w:p>
    <w:p w:rsidR="00000000" w:rsidRPr="003308D8" w:rsidP="003308D8">
      <w:pPr>
        <w:pStyle w:val="Heading1"/>
      </w:pPr>
      <w:bookmarkStart w:id="4" w:name="O_950204"/>
      <w:bookmarkEnd w:id="4"/>
      <w:r w:rsidRPr="003308D8">
        <w:t>Assessment Conditions</w:t>
      </w:r>
    </w:p>
    <w:p w:rsidR="00000000" w:rsidRPr="003308D8" w:rsidP="003308D8">
      <w:pPr>
        <w:pStyle w:val="ListBullet"/>
      </w:pPr>
      <w:r w:rsidRPr="003308D8">
        <w:t>Assessors must:</w:t>
      </w:r>
    </w:p>
    <w:p w:rsidR="00000000" w:rsidRPr="003308D8" w:rsidP="003308D8">
      <w:pPr>
        <w:pStyle w:val="ListBullet2"/>
      </w:pPr>
      <w:r w:rsidRPr="003308D8">
        <w:t>have vocational competency in analysing metallurgical failures of components and recommending preventative measures at least to the level being assessed with relevant industry knowledge and experience</w:t>
      </w:r>
    </w:p>
    <w:p w:rsidR="00000000" w:rsidRPr="003308D8" w:rsidP="003308D8">
      <w:pPr>
        <w:pStyle w:val="ListBullet2"/>
      </w:pPr>
      <w:r w:rsidRPr="003308D8">
        <w:t xml:space="preserve">satisfy the assessor requirements in the </w:t>
      </w:r>
      <w:r w:rsidRPr="003308D8">
        <w:rPr>
          <w:rStyle w:val="Emphasis"/>
        </w:rPr>
        <w:t xml:space="preserve">Standards for </w:t>
      </w:r>
      <w:r w:rsidRPr="003308D8">
        <w:rPr>
          <w:rStyle w:val="Emphasis"/>
        </w:rPr>
        <w:t xml:space="preserve">Registered Training Organisations 2015 </w:t>
      </w:r>
      <w:r w:rsidRPr="003308D8">
        <w:t>or its replacement</w:t>
      </w:r>
      <w:r w:rsidRPr="003308D8">
        <w:rPr>
          <w:rStyle w:val="Emphasis"/>
        </w:rPr>
        <w:t xml:space="preserve"> </w:t>
      </w:r>
      <w:r w:rsidRPr="003308D8">
        <w:t xml:space="preserve">and comply with the </w:t>
      </w:r>
      <w:r w:rsidRPr="003308D8">
        <w:rPr>
          <w:rStyle w:val="Emphasis"/>
        </w:rPr>
        <w:t xml:space="preserve">National Vocational Education and Training Regulator Act 2011, </w:t>
      </w:r>
      <w:r w:rsidRPr="003308D8">
        <w:t>its replacement</w:t>
      </w:r>
      <w:r w:rsidRPr="003308D8">
        <w:rPr>
          <w:rStyle w:val="Emphasis"/>
        </w:rPr>
        <w:t xml:space="preserve"> </w:t>
      </w:r>
      <w:r w:rsidRPr="003308D8">
        <w:t>or equivalent legislation covering VET regulation in a non-referring state/territory as the case re</w:t>
      </w:r>
      <w:r w:rsidRPr="003308D8">
        <w:t>quires.</w:t>
      </w:r>
    </w:p>
    <w:p w:rsidR="00000000" w:rsidRPr="003308D8" w:rsidP="003308D8">
      <w:pPr>
        <w:pStyle w:val="ListBullet"/>
      </w:pPr>
      <w:r w:rsidRPr="003308D8">
        <w:t>Where possible, assessment must occur in operational workplace situations. Where this is not possible or where personal safety or environmental damage are limiting factors, assessment must occur in a sufficiently rigorous simulated environment tha</w:t>
      </w:r>
      <w:r w:rsidRPr="003308D8">
        <w:t>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308D8" w:rsidP="003308D8">
      <w:pPr>
        <w:pStyle w:val="ListBullet"/>
      </w:pPr>
      <w:r w:rsidRPr="003308D8">
        <w:t>Conditions for assessment must</w:t>
      </w:r>
      <w:r w:rsidRPr="003308D8">
        <w:t xml:space="preserve"> include access to all tools, equipment, materials and documentation required including relevant workplace procedures, product and manufacturing specifications.</w:t>
      </w:r>
    </w:p>
    <w:p w:rsidR="00ED2EE0" w:rsidP="003308D8">
      <w:pPr>
        <w:pStyle w:val="ListBullet"/>
      </w:pPr>
      <w:r w:rsidRPr="003308D8">
        <w:t xml:space="preserve">Assessment processes and techniques must be appropriate to the language, literacy and numeracy </w:t>
      </w:r>
      <w:r w:rsidRPr="003308D8">
        <w:t>requirements of the work being performed and the needs of the candidate.</w:t>
      </w:r>
    </w:p>
    <w:p w:rsidR="00ED2EE0" w:rsidP="003308D8">
      <w:pPr>
        <w:pStyle w:val="ListBullet"/>
      </w:pPr>
    </w:p>
    <w:p w:rsidR="00000000" w:rsidRPr="003308D8" w:rsidP="003308D8">
      <w:pPr>
        <w:pStyle w:val="Heading1"/>
      </w:pPr>
      <w:bookmarkStart w:id="5" w:name="O_950202"/>
      <w:bookmarkEnd w:id="5"/>
      <w:r w:rsidRPr="003308D8">
        <w:t>Links</w:t>
      </w:r>
    </w:p>
    <w:p w:rsidR="00000000" w:rsidRPr="003308D8" w:rsidP="00ED2EE0">
      <w:pPr>
        <w:pStyle w:val="BodyText"/>
      </w:pPr>
      <w:r w:rsidRPr="00330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05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308D8" w:rsidP="003308D8"/>
    <w:sectPr w:rsidSect="00330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D8" w:rsidRPr="00ED2EE0" w:rsidP="00ED2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E0" w:rsidP="0033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EE0" w:rsidP="0033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2EE0" w:rsidP="00330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8D8" w:rsidRPr="00ED2EE0" w:rsidP="00ED2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E0" w:rsidRPr="002D2AF8" w:rsidP="0033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MEM48026 Analyse metallurgical failures of components and recommend preventative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D2EE0" w:rsidP="00330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3C3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20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AF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8D8"/>
  </w:style>
  <w:style w:type="character" w:customStyle="1" w:styleId="Heading1Char">
    <w:name w:val="Heading 1 Char"/>
    <w:basedOn w:val="DefaultParagraphFont"/>
    <w:link w:val="Heading1"/>
    <w:rsid w:val="00330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8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08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8D8"/>
    <w:rPr>
      <w:i/>
    </w:rPr>
  </w:style>
  <w:style w:type="paragraph" w:customStyle="1" w:styleId="SuperHeading">
    <w:name w:val="SuperHeading"/>
    <w:basedOn w:val="Normal"/>
    <w:rsid w:val="00330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08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0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8D8"/>
    <w:rPr>
      <w:b/>
      <w:spacing w:val="0"/>
    </w:rPr>
  </w:style>
  <w:style w:type="paragraph" w:customStyle="1" w:styleId="SuperTitle">
    <w:name w:val="SuperTitle"/>
    <w:basedOn w:val="Title"/>
    <w:rsid w:val="00330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8D8"/>
  </w:style>
  <w:style w:type="paragraph" w:styleId="TableofFigures">
    <w:name w:val="table of figures"/>
    <w:basedOn w:val="Normal"/>
    <w:next w:val="Normal"/>
    <w:semiHidden/>
    <w:rsid w:val="00330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8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08D8"/>
    <w:rPr>
      <w:rFonts w:ascii="Wingdings" w:hAnsi="Wingdings"/>
    </w:rPr>
  </w:style>
  <w:style w:type="paragraph" w:customStyle="1" w:styleId="TableHeading">
    <w:name w:val="Table Heading"/>
    <w:basedOn w:val="HeadingBase"/>
    <w:rsid w:val="00330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8D8"/>
    <w:rPr>
      <w:color w:val="0033CC"/>
      <w:u w:val="none"/>
    </w:rPr>
  </w:style>
  <w:style w:type="paragraph" w:customStyle="1" w:styleId="BodyTextRight">
    <w:name w:val="Body Text Right"/>
    <w:basedOn w:val="BodyText"/>
    <w:rsid w:val="00330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8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8D8"/>
    <w:rPr>
      <w:sz w:val="32"/>
    </w:rPr>
  </w:style>
  <w:style w:type="paragraph" w:customStyle="1" w:styleId="HeadingProcedure">
    <w:name w:val="Heading Procedure"/>
    <w:basedOn w:val="HeadingBase"/>
    <w:next w:val="Normal"/>
    <w:rsid w:val="00330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8D8"/>
    <w:pPr>
      <w:spacing w:before="60" w:after="60"/>
    </w:pPr>
  </w:style>
  <w:style w:type="paragraph" w:styleId="ListContinue">
    <w:name w:val="List Continue"/>
    <w:basedOn w:val="List"/>
    <w:rsid w:val="003308D8"/>
    <w:pPr>
      <w:ind w:firstLine="0"/>
    </w:pPr>
  </w:style>
  <w:style w:type="paragraph" w:customStyle="1" w:styleId="ListNote">
    <w:name w:val="List Note"/>
    <w:basedOn w:val="List"/>
    <w:rsid w:val="00330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8D8"/>
    <w:rPr>
      <w:rFonts w:ascii="Courier New" w:hAnsi="Courier New"/>
    </w:rPr>
  </w:style>
  <w:style w:type="paragraph" w:customStyle="1" w:styleId="NoteBullet">
    <w:name w:val="Note Bullet"/>
    <w:basedOn w:val="Note"/>
    <w:rsid w:val="00330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8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0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8D8"/>
    <w:rPr>
      <w:b/>
      <w:smallCaps/>
    </w:rPr>
  </w:style>
  <w:style w:type="paragraph" w:customStyle="1" w:styleId="TableListNumber">
    <w:name w:val="Table List Number"/>
    <w:basedOn w:val="ListNumber"/>
    <w:rsid w:val="00330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8D8"/>
    <w:pPr>
      <w:numPr>
        <w:numId w:val="10"/>
      </w:numPr>
    </w:pPr>
  </w:style>
  <w:style w:type="paragraph" w:customStyle="1" w:styleId="ListAlpha2">
    <w:name w:val="List Alpha 2"/>
    <w:basedOn w:val="List2"/>
    <w:rsid w:val="003308D8"/>
    <w:pPr>
      <w:numPr>
        <w:numId w:val="9"/>
      </w:numPr>
    </w:pPr>
  </w:style>
  <w:style w:type="paragraph" w:styleId="List2">
    <w:name w:val="List 2"/>
    <w:basedOn w:val="BodyText"/>
    <w:rsid w:val="00330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8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08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08D8"/>
    <w:pPr>
      <w:numPr>
        <w:numId w:val="5"/>
      </w:numPr>
    </w:pPr>
  </w:style>
  <w:style w:type="paragraph" w:styleId="ListContinue2">
    <w:name w:val="List Continue 2"/>
    <w:basedOn w:val="List2"/>
    <w:rsid w:val="003308D8"/>
    <w:pPr>
      <w:ind w:firstLine="0"/>
    </w:pPr>
  </w:style>
  <w:style w:type="paragraph" w:styleId="ListContinue3">
    <w:name w:val="List Continue 3"/>
    <w:basedOn w:val="List3"/>
    <w:rsid w:val="003308D8"/>
    <w:pPr>
      <w:ind w:left="1021" w:firstLine="0"/>
    </w:pPr>
  </w:style>
  <w:style w:type="paragraph" w:styleId="ListContinue4">
    <w:name w:val="List Continue 4"/>
    <w:basedOn w:val="List4"/>
    <w:rsid w:val="003308D8"/>
    <w:pPr>
      <w:ind w:firstLine="0"/>
    </w:pPr>
  </w:style>
  <w:style w:type="paragraph" w:styleId="ListContinue5">
    <w:name w:val="List Continue 5"/>
    <w:basedOn w:val="List5"/>
    <w:rsid w:val="003308D8"/>
    <w:pPr>
      <w:ind w:firstLine="0"/>
    </w:pPr>
  </w:style>
  <w:style w:type="paragraph" w:styleId="ListNumber3">
    <w:name w:val="List Number 3"/>
    <w:basedOn w:val="List3"/>
    <w:rsid w:val="003308D8"/>
    <w:pPr>
      <w:numPr>
        <w:numId w:val="6"/>
      </w:numPr>
    </w:pPr>
  </w:style>
  <w:style w:type="paragraph" w:styleId="ListNumber4">
    <w:name w:val="List Number 4"/>
    <w:basedOn w:val="List4"/>
    <w:rsid w:val="003308D8"/>
    <w:pPr>
      <w:numPr>
        <w:numId w:val="7"/>
      </w:numPr>
    </w:pPr>
  </w:style>
  <w:style w:type="paragraph" w:styleId="ListNumber5">
    <w:name w:val="List Number 5"/>
    <w:basedOn w:val="List5"/>
    <w:rsid w:val="003308D8"/>
    <w:pPr>
      <w:numPr>
        <w:numId w:val="8"/>
      </w:numPr>
    </w:pPr>
  </w:style>
  <w:style w:type="paragraph" w:styleId="BlockText">
    <w:name w:val="Block Text"/>
    <w:basedOn w:val="Normal"/>
    <w:rsid w:val="00330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8D8"/>
    <w:rPr>
      <w:sz w:val="16"/>
      <w:vertAlign w:val="superscript"/>
    </w:rPr>
  </w:style>
  <w:style w:type="character" w:customStyle="1" w:styleId="Symbols">
    <w:name w:val="Symbols"/>
    <w:basedOn w:val="DefaultParagraphFont"/>
    <w:rsid w:val="003308D8"/>
    <w:rPr>
      <w:rFonts w:ascii="Symbol" w:hAnsi="Symbol"/>
    </w:rPr>
  </w:style>
  <w:style w:type="character" w:customStyle="1" w:styleId="MenuOptions">
    <w:name w:val="Menu Options"/>
    <w:basedOn w:val="DefaultParagraphFont"/>
    <w:rsid w:val="00330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8D8"/>
    <w:rPr>
      <w:b/>
    </w:rPr>
  </w:style>
  <w:style w:type="character" w:customStyle="1" w:styleId="Underlined">
    <w:name w:val="Underlined"/>
    <w:basedOn w:val="DefaultParagraphFont"/>
    <w:rsid w:val="003308D8"/>
    <w:rPr>
      <w:u w:val="single"/>
    </w:rPr>
  </w:style>
  <w:style w:type="paragraph" w:customStyle="1" w:styleId="TableBodyTextRight">
    <w:name w:val="Table Body Text Right"/>
    <w:basedOn w:val="TableBodyText"/>
    <w:rsid w:val="00330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8D8"/>
    <w:rPr>
      <w:sz w:val="18"/>
    </w:rPr>
  </w:style>
  <w:style w:type="paragraph" w:customStyle="1" w:styleId="BodySmallRight">
    <w:name w:val="Body Small Right"/>
    <w:basedOn w:val="BodyTextRight"/>
    <w:rsid w:val="003308D8"/>
    <w:rPr>
      <w:sz w:val="18"/>
      <w:szCs w:val="18"/>
    </w:rPr>
  </w:style>
  <w:style w:type="paragraph" w:customStyle="1" w:styleId="MarginEdition">
    <w:name w:val="Margin Edition"/>
    <w:basedOn w:val="MarginNote"/>
    <w:rsid w:val="00330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8D8"/>
    <w:rPr>
      <w:sz w:val="2"/>
      <w:szCs w:val="2"/>
    </w:rPr>
  </w:style>
  <w:style w:type="character" w:customStyle="1" w:styleId="Small">
    <w:name w:val="Small"/>
    <w:basedOn w:val="DefaultParagraphFont"/>
    <w:rsid w:val="003308D8"/>
    <w:rPr>
      <w:sz w:val="16"/>
    </w:rPr>
  </w:style>
  <w:style w:type="paragraph" w:customStyle="1" w:styleId="WideTable">
    <w:name w:val="Wide Table"/>
    <w:basedOn w:val="Normal"/>
    <w:rsid w:val="00330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8D8"/>
  </w:style>
  <w:style w:type="paragraph" w:styleId="Quote">
    <w:name w:val="Quote"/>
    <w:basedOn w:val="Heading1"/>
    <w:link w:val="QuoteChar"/>
    <w:qFormat/>
    <w:rsid w:val="00330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8D8"/>
    <w:pPr>
      <w:pageBreakBefore/>
    </w:pPr>
  </w:style>
  <w:style w:type="paragraph" w:customStyle="1" w:styleId="Border">
    <w:name w:val="Border"/>
    <w:basedOn w:val="Normal"/>
    <w:qFormat/>
    <w:rsid w:val="00330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8D8"/>
    <w:rPr>
      <w:u w:val="single"/>
    </w:rPr>
  </w:style>
  <w:style w:type="character" w:customStyle="1" w:styleId="BoldandItalics">
    <w:name w:val="Bold and Italics"/>
    <w:qFormat/>
    <w:rsid w:val="003308D8"/>
    <w:rPr>
      <w:b/>
      <w:i/>
      <w:u w:val="none"/>
    </w:rPr>
  </w:style>
  <w:style w:type="paragraph" w:styleId="BalloonText">
    <w:name w:val="Balloon Text"/>
    <w:basedOn w:val="Normal"/>
    <w:link w:val="BalloonTextChar"/>
    <w:rsid w:val="00330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8D8"/>
    <w:pPr>
      <w:spacing w:before="0" w:after="0"/>
    </w:pPr>
  </w:style>
  <w:style w:type="paragraph" w:customStyle="1" w:styleId="BodyTextBold">
    <w:name w:val="Body Text Bold"/>
    <w:basedOn w:val="BodyText"/>
    <w:qFormat/>
    <w:rsid w:val="003308D8"/>
    <w:rPr>
      <w:b/>
    </w:rPr>
  </w:style>
  <w:style w:type="character" w:styleId="Hyperlink">
    <w:name w:val="Hyperlink"/>
    <w:basedOn w:val="DefaultParagraphFont"/>
    <w:uiPriority w:val="99"/>
    <w:unhideWhenUsed/>
    <w:rsid w:val="00ED2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4411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MEM48026 Analyse metallurgical failures of components and recommend preventative measures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