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73E0" w:rsidP="00EA73E0">
      <w:pPr>
        <w:pStyle w:val="Title"/>
      </w:pPr>
      <w:r>
        <w:fldChar w:fldCharType="begin"/>
      </w:r>
      <w:r>
        <w:instrText xml:space="preserve"> TITLE   \* MERGEFORMAT </w:instrText>
      </w:r>
      <w:r>
        <w:fldChar w:fldCharType="separate"/>
      </w:r>
      <w:r>
        <w:t>MEM48020 Recommend ferrous and nonferrous metals or alloys for an application</w:t>
      </w:r>
      <w:r>
        <w:fldChar w:fldCharType="end"/>
      </w:r>
    </w:p>
    <w:p w:rsidR="00EA73E0" w:rsidP="00EA73E0">
      <w:pPr>
        <w:pStyle w:val="Version"/>
        <w:sectPr w:rsidSect="007021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21E2" w:rsidP="007021E2">
      <w:pPr>
        <w:pStyle w:val="SuperHeading"/>
      </w:pPr>
      <w:r w:rsidRPr="007021E2">
        <w:t>MEM48020 Recommend ferrous and nonferrous metals or alloys for an application</w:t>
      </w:r>
    </w:p>
    <w:p w:rsidR="00000000" w:rsidRPr="007021E2" w:rsidP="007021E2">
      <w:pPr>
        <w:pStyle w:val="Heading1"/>
      </w:pPr>
      <w:bookmarkStart w:id="1" w:name="O_950093"/>
      <w:bookmarkEnd w:id="1"/>
      <w:r w:rsidRPr="007021E2">
        <w:t>Modification History</w:t>
      </w:r>
    </w:p>
    <w:p w:rsidR="00EA73E0" w:rsidP="00EA73E0">
      <w:pPr>
        <w:pStyle w:val="BodyText"/>
      </w:pPr>
      <w:r w:rsidRPr="007021E2">
        <w:t>Release 1. Supersedes and is equivalent to MSATCM509A Recommend ferrous and non ferrous metals or alloys for an application.</w:t>
      </w:r>
    </w:p>
    <w:p w:rsidR="00000000" w:rsidRPr="007021E2" w:rsidP="007021E2">
      <w:pPr>
        <w:pStyle w:val="Heading1"/>
      </w:pPr>
      <w:bookmarkStart w:id="2" w:name="O_950101"/>
      <w:bookmarkEnd w:id="2"/>
      <w:r w:rsidRPr="007021E2">
        <w:t>Application</w:t>
      </w:r>
    </w:p>
    <w:p w:rsidR="00000000" w:rsidRPr="007021E2" w:rsidP="00EA73E0">
      <w:pPr>
        <w:pStyle w:val="BodyText"/>
      </w:pPr>
      <w:r w:rsidRPr="007021E2">
        <w:t>This unit of competency defines the knowledge and skills required to recommend ferrous and nonferrous metal or alloys for an application based upon knowledge of their metallurgical properties.</w:t>
      </w:r>
    </w:p>
    <w:p w:rsidR="00000000" w:rsidRPr="007021E2" w:rsidP="00EA73E0">
      <w:pPr>
        <w:pStyle w:val="BodyText"/>
      </w:pPr>
      <w:r w:rsidRPr="007021E2">
        <w:t>It requires application and knowledge of me</w:t>
      </w:r>
      <w:r w:rsidRPr="007021E2">
        <w:t>tallurgical properties as a member of a design and development team or similar in support of the design and development of manufacturing applications where the final product or components are made from pure metal or alloys.</w:t>
      </w:r>
    </w:p>
    <w:p w:rsidR="00EA73E0" w:rsidP="00EA73E0">
      <w:pPr>
        <w:pStyle w:val="BodyText"/>
      </w:pPr>
      <w:r w:rsidRPr="007021E2">
        <w:t>No licensing, legislative or cer</w:t>
      </w:r>
      <w:r w:rsidRPr="007021E2">
        <w:t>tification requirements apply to this unit at the time of publication.</w:t>
      </w:r>
    </w:p>
    <w:p w:rsidR="00000000" w:rsidRPr="007021E2" w:rsidP="007021E2">
      <w:pPr>
        <w:pStyle w:val="Heading1"/>
      </w:pPr>
      <w:bookmarkStart w:id="3" w:name="O_950100"/>
      <w:bookmarkEnd w:id="3"/>
      <w:r w:rsidRPr="007021E2">
        <w:t>Pre-requisite Unit</w:t>
      </w:r>
    </w:p>
    <w:p w:rsidR="00EA73E0" w:rsidP="00EA73E0">
      <w:pPr>
        <w:pStyle w:val="BodyText"/>
      </w:pPr>
      <w:r w:rsidRPr="007021E2">
        <w:t>MEM48004 Interpret basic binary phase diagrams</w:t>
      </w:r>
    </w:p>
    <w:p w:rsidR="00000000" w:rsidRPr="007021E2" w:rsidP="007021E2">
      <w:pPr>
        <w:pStyle w:val="Heading1"/>
      </w:pPr>
      <w:bookmarkStart w:id="4" w:name="O_950099"/>
      <w:bookmarkEnd w:id="4"/>
      <w:r w:rsidRPr="007021E2">
        <w:t>Competency Field</w:t>
      </w:r>
    </w:p>
    <w:p w:rsidR="00000000" w:rsidRPr="007021E2" w:rsidP="00EA73E0">
      <w:pPr>
        <w:pStyle w:val="BodyText"/>
      </w:pPr>
      <w:r w:rsidRPr="007021E2">
        <w:t>Metallurgy</w:t>
      </w:r>
    </w:p>
    <w:p w:rsidR="00000000" w:rsidRPr="007021E2" w:rsidP="007021E2">
      <w:pPr>
        <w:pStyle w:val="Heading1"/>
      </w:pPr>
      <w:bookmarkStart w:id="5" w:name="O_950097"/>
      <w:bookmarkEnd w:id="5"/>
      <w:r w:rsidRPr="007021E2">
        <w:t>Elements and Performance Criteria</w:t>
      </w:r>
    </w:p>
    <w:tbl>
      <w:tblPr>
        <w:tblW w:w="9639" w:type="dxa"/>
        <w:tblLayout w:type="fixed"/>
        <w:tblCellMar>
          <w:left w:w="62" w:type="dxa"/>
          <w:right w:w="62" w:type="dxa"/>
        </w:tblCellMar>
        <w:tblLook w:val="0000"/>
      </w:tblPr>
      <w:tblGrid>
        <w:gridCol w:w="2531"/>
        <w:gridCol w:w="7108"/>
      </w:tblGrid>
      <w:tr w:rsidTr="00EA73E0">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021E2" w:rsidP="007021E2">
            <w:pPr>
              <w:pStyle w:val="BodyText"/>
            </w:pPr>
            <w:r w:rsidRPr="007021E2">
              <w:rPr>
                <w:rStyle w:val="SpecialBold"/>
              </w:rPr>
              <w:t>Elem</w:t>
            </w:r>
            <w:r w:rsidRPr="007021E2">
              <w:rPr>
                <w:rStyle w:val="SpecialBold"/>
              </w:rPr>
              <w:t>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021E2">
            <w:pPr>
              <w:pStyle w:val="BodyText"/>
              <w:rPr>
                <w:lang w:val="en-NZ"/>
              </w:rPr>
            </w:pPr>
            <w:r w:rsidRPr="007021E2">
              <w:rPr>
                <w:rStyle w:val="SpecialBold"/>
              </w:rPr>
              <w:t>Performance Criteria</w:t>
            </w:r>
          </w:p>
        </w:tc>
      </w:tr>
      <w:tr w:rsidTr="00EA73E0">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021E2" w:rsidP="007021E2">
            <w:pPr>
              <w:pStyle w:val="BodyText"/>
            </w:pPr>
            <w:r w:rsidRPr="007021E2">
              <w:rPr>
                <w:rStyle w:val="Emphasis"/>
              </w:rPr>
              <w:t xml:space="preserve">Elements describe the </w:t>
            </w:r>
            <w:r w:rsidRPr="007021E2">
              <w:t xml:space="preserve">essential </w:t>
            </w:r>
            <w:r w:rsidRPr="007021E2">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021E2">
            <w:pPr>
              <w:pStyle w:val="BodyText"/>
              <w:rPr>
                <w:lang w:val="en-NZ"/>
              </w:rPr>
            </w:pPr>
            <w:r w:rsidRPr="007021E2">
              <w:rPr>
                <w:rStyle w:val="Emphasis"/>
              </w:rPr>
              <w:t>Performance criteria describe the performance needed to demonstrate achievement of the element.</w:t>
            </w:r>
          </w:p>
        </w:tc>
      </w:tr>
      <w:tr w:rsidTr="00EA73E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1E2">
            <w:pPr>
              <w:pStyle w:val="BodyText"/>
              <w:rPr>
                <w:lang w:val="en-NZ"/>
              </w:rPr>
            </w:pPr>
            <w:r w:rsidRPr="007021E2">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1E2" w:rsidP="007021E2">
            <w:pPr>
              <w:pStyle w:val="BodyText"/>
            </w:pPr>
            <w:r w:rsidRPr="007021E2">
              <w:t>1.1 Follow standard operating procedures (SOPs)</w:t>
            </w:r>
          </w:p>
          <w:p w:rsidR="00000000" w:rsidRPr="007021E2" w:rsidP="007021E2">
            <w:pPr>
              <w:pStyle w:val="BodyText"/>
            </w:pPr>
            <w:r w:rsidRPr="007021E2">
              <w:t>1.2 Comply with work health and safety (WHS) requirements at all times</w:t>
            </w:r>
          </w:p>
          <w:p w:rsidR="00000000" w:rsidRPr="007021E2" w:rsidP="007021E2">
            <w:pPr>
              <w:pStyle w:val="BodyText"/>
            </w:pPr>
            <w:r w:rsidRPr="007021E2">
              <w:t>1.3 Use appropriate personal protective equipment (PPE) in accordance with SOPs</w:t>
            </w:r>
          </w:p>
          <w:p w:rsidR="00000000" w:rsidP="007021E2">
            <w:pPr>
              <w:pStyle w:val="BodyText"/>
              <w:rPr>
                <w:lang w:val="en-NZ"/>
              </w:rPr>
            </w:pPr>
            <w:r w:rsidRPr="007021E2">
              <w:t>1.4 Identify the design requirements for the material from specifications or in consultation with others</w:t>
            </w:r>
          </w:p>
        </w:tc>
      </w:tr>
      <w:tr w:rsidTr="00EA73E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1E2">
            <w:pPr>
              <w:pStyle w:val="BodyText"/>
              <w:rPr>
                <w:lang w:val="en-NZ"/>
              </w:rPr>
            </w:pPr>
            <w:r w:rsidRPr="007021E2">
              <w:t>2. Select metal or alloy for the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1E2" w:rsidP="007021E2">
            <w:pPr>
              <w:pStyle w:val="BodyText"/>
            </w:pPr>
            <w:r w:rsidRPr="007021E2">
              <w:t>2.1 Select the material based upon the requirement and consideration of principal properties and further processing</w:t>
            </w:r>
          </w:p>
          <w:p w:rsidR="00000000" w:rsidRPr="007021E2" w:rsidP="007021E2">
            <w:pPr>
              <w:pStyle w:val="BodyText"/>
            </w:pPr>
            <w:r w:rsidRPr="007021E2">
              <w:t xml:space="preserve">2.2 Consider economic and technical implications of different metals </w:t>
            </w:r>
          </w:p>
          <w:p w:rsidR="00000000" w:rsidRPr="007021E2" w:rsidP="007021E2">
            <w:pPr>
              <w:pStyle w:val="BodyText"/>
            </w:pPr>
            <w:r w:rsidRPr="007021E2">
              <w:t>2.3 Compare possible alternative materials with or without further processing using formula and engineering calculations</w:t>
            </w:r>
          </w:p>
          <w:p w:rsidR="00000000" w:rsidRPr="007021E2" w:rsidP="007021E2">
            <w:pPr>
              <w:pStyle w:val="BodyText"/>
            </w:pPr>
            <w:r w:rsidRPr="007021E2">
              <w:t xml:space="preserve">2.4 Recommend most economical solution </w:t>
            </w:r>
          </w:p>
          <w:p w:rsidR="00000000" w:rsidRPr="007021E2" w:rsidP="007021E2">
            <w:pPr>
              <w:pStyle w:val="BodyText"/>
            </w:pPr>
            <w:r w:rsidRPr="007021E2">
              <w:t>2.5 Review final recommendation with relevant personnel</w:t>
            </w:r>
          </w:p>
        </w:tc>
      </w:tr>
    </w:tbl>
    <w:p w:rsidR="00EA73E0" w:rsidP="007021E2">
      <w:pPr>
        <w:pStyle w:val="BodyText"/>
      </w:pPr>
    </w:p>
    <w:p w:rsidR="00EA73E0" w:rsidP="007021E2">
      <w:pPr>
        <w:pStyle w:val="BodyText"/>
      </w:pPr>
    </w:p>
    <w:p w:rsidR="00000000" w:rsidRPr="007021E2" w:rsidP="007021E2">
      <w:pPr>
        <w:pStyle w:val="Heading1"/>
      </w:pPr>
      <w:bookmarkStart w:id="6" w:name="O_950096"/>
      <w:bookmarkEnd w:id="6"/>
      <w:r w:rsidRPr="007021E2">
        <w:t>Foundation Skills</w:t>
      </w:r>
    </w:p>
    <w:p w:rsidR="00000000" w:rsidRPr="007021E2" w:rsidP="00EA73E0">
      <w:pPr>
        <w:pStyle w:val="BodyText"/>
      </w:pPr>
      <w:r w:rsidRPr="007021E2">
        <w:t>T</w:t>
      </w:r>
      <w:r w:rsidRPr="007021E2">
        <w:t>his section describes those language, literacy, numeracy and employment skills that are essential to performance.</w:t>
      </w:r>
    </w:p>
    <w:p w:rsidR="00EA73E0" w:rsidP="00EA73E0">
      <w:pPr>
        <w:pStyle w:val="BodyText"/>
      </w:pPr>
      <w:r w:rsidRPr="007021E2">
        <w:t>Foundation skills essential to performance are explicit in the performance criteria of this unit of competency.</w:t>
      </w:r>
    </w:p>
    <w:p w:rsidR="00000000" w:rsidRPr="007021E2" w:rsidP="007021E2">
      <w:pPr>
        <w:pStyle w:val="Heading1"/>
      </w:pPr>
      <w:bookmarkStart w:id="7" w:name="O_950095"/>
      <w:bookmarkEnd w:id="7"/>
      <w:r w:rsidRPr="007021E2">
        <w:t>Range of Con</w:t>
      </w:r>
      <w:r w:rsidRPr="007021E2">
        <w:t>ditions</w:t>
      </w:r>
    </w:p>
    <w:tbl>
      <w:tblPr>
        <w:tblW w:w="9638" w:type="dxa"/>
        <w:tblLayout w:type="fixed"/>
        <w:tblCellMar>
          <w:left w:w="62" w:type="dxa"/>
          <w:right w:w="62" w:type="dxa"/>
        </w:tblCellMar>
        <w:tblLook w:val="0000"/>
      </w:tblPr>
      <w:tblGrid>
        <w:gridCol w:w="2758"/>
        <w:gridCol w:w="6880"/>
      </w:tblGrid>
      <w:tr w:rsidTr="007021E2">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1E2">
            <w:pPr>
              <w:pStyle w:val="BodyText"/>
              <w:rPr>
                <w:lang w:val="en-NZ"/>
              </w:rPr>
            </w:pPr>
            <w:r w:rsidRPr="007021E2">
              <w:t>This field allows for different work environments and conditions that may affect performance. Essential operating conditions that may be present (depending on the work situation, needs of the candidate, accessibility of the item, and local industry</w:t>
            </w:r>
            <w:r w:rsidRPr="007021E2">
              <w:t xml:space="preserve"> and regional contexts) are included.</w:t>
            </w:r>
          </w:p>
        </w:tc>
      </w:tr>
      <w:tr w:rsidTr="007021E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1E2">
            <w:pPr>
              <w:pStyle w:val="BodyText"/>
              <w:rPr>
                <w:lang w:val="en-NZ"/>
              </w:rPr>
            </w:pPr>
            <w:r w:rsidRPr="007021E2">
              <w:t>Further processing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1E2" w:rsidP="007021E2">
            <w:pPr>
              <w:pStyle w:val="ListBullet"/>
            </w:pPr>
            <w:r w:rsidRPr="007021E2">
              <w:t>addition of alloys and heat treatment</w:t>
            </w:r>
          </w:p>
          <w:p w:rsidR="00000000" w:rsidRPr="007021E2" w:rsidP="007021E2">
            <w:pPr>
              <w:pStyle w:val="ListBullet"/>
            </w:pPr>
            <w:r w:rsidRPr="007021E2">
              <w:t>hardening</w:t>
            </w:r>
          </w:p>
          <w:p w:rsidR="00000000" w:rsidRPr="007021E2" w:rsidP="007021E2">
            <w:pPr>
              <w:pStyle w:val="ListBullet"/>
            </w:pPr>
            <w:r w:rsidRPr="007021E2">
              <w:t>tempering</w:t>
            </w:r>
          </w:p>
          <w:p w:rsidR="00000000" w:rsidP="007021E2">
            <w:pPr>
              <w:pStyle w:val="ListBullet"/>
              <w:rPr>
                <w:lang w:val="en-NZ"/>
              </w:rPr>
            </w:pPr>
            <w:r w:rsidRPr="007021E2">
              <w:t>annealing.</w:t>
            </w:r>
          </w:p>
        </w:tc>
      </w:tr>
      <w:tr w:rsidTr="007021E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1E2">
            <w:pPr>
              <w:pStyle w:val="BodyText"/>
              <w:rPr>
                <w:lang w:val="en-NZ"/>
              </w:rPr>
            </w:pPr>
            <w:r w:rsidRPr="007021E2">
              <w:t>Materials covers both elemental metals and alloys and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1E2" w:rsidP="007021E2">
            <w:pPr>
              <w:pStyle w:val="ListBullet"/>
            </w:pPr>
            <w:r w:rsidRPr="007021E2">
              <w:t>unalloyed steels</w:t>
            </w:r>
          </w:p>
          <w:p w:rsidR="00000000" w:rsidRPr="007021E2" w:rsidP="007021E2">
            <w:pPr>
              <w:pStyle w:val="ListBullet"/>
            </w:pPr>
            <w:r w:rsidRPr="007021E2">
              <w:t xml:space="preserve">alloy steels </w:t>
            </w:r>
          </w:p>
          <w:p w:rsidR="00000000" w:rsidRPr="007021E2" w:rsidP="007021E2">
            <w:pPr>
              <w:pStyle w:val="ListBullet"/>
            </w:pPr>
            <w:r w:rsidRPr="007021E2">
              <w:t>stainless steels</w:t>
            </w:r>
          </w:p>
          <w:p w:rsidR="00000000" w:rsidRPr="007021E2" w:rsidP="007021E2">
            <w:pPr>
              <w:pStyle w:val="ListBullet"/>
            </w:pPr>
            <w:r w:rsidRPr="007021E2">
              <w:t>grey cast irons</w:t>
            </w:r>
          </w:p>
          <w:p w:rsidR="00000000" w:rsidRPr="007021E2" w:rsidP="007021E2">
            <w:pPr>
              <w:pStyle w:val="ListBullet"/>
            </w:pPr>
            <w:r w:rsidRPr="007021E2">
              <w:t>white cast irons</w:t>
            </w:r>
          </w:p>
          <w:p w:rsidR="00000000" w:rsidRPr="007021E2" w:rsidP="007021E2">
            <w:pPr>
              <w:pStyle w:val="ListBullet"/>
            </w:pPr>
            <w:r w:rsidRPr="007021E2">
              <w:t>malleable cast irons</w:t>
            </w:r>
          </w:p>
          <w:p w:rsidR="00000000" w:rsidRPr="007021E2" w:rsidP="007021E2">
            <w:pPr>
              <w:pStyle w:val="ListBullet"/>
            </w:pPr>
            <w:r w:rsidRPr="007021E2">
              <w:t>nodular (ductile) cast irons</w:t>
            </w:r>
          </w:p>
          <w:p w:rsidR="00000000" w:rsidRPr="007021E2" w:rsidP="007021E2">
            <w:pPr>
              <w:pStyle w:val="ListBullet"/>
            </w:pPr>
            <w:r w:rsidRPr="007021E2">
              <w:t>alloy cast irons</w:t>
            </w:r>
          </w:p>
          <w:p w:rsidR="00000000" w:rsidRPr="007021E2" w:rsidP="007021E2">
            <w:pPr>
              <w:pStyle w:val="ListBullet"/>
            </w:pPr>
            <w:r w:rsidRPr="007021E2">
              <w:t>copper alloys</w:t>
            </w:r>
          </w:p>
          <w:p w:rsidR="00000000" w:rsidRPr="007021E2" w:rsidP="007021E2">
            <w:pPr>
              <w:pStyle w:val="ListBullet"/>
            </w:pPr>
            <w:r w:rsidRPr="007021E2">
              <w:t>aluminium alloys</w:t>
            </w:r>
          </w:p>
          <w:p w:rsidR="00000000" w:rsidRPr="007021E2" w:rsidP="007021E2">
            <w:pPr>
              <w:pStyle w:val="ListBullet"/>
            </w:pPr>
            <w:r w:rsidRPr="007021E2">
              <w:t>zinc</w:t>
            </w:r>
          </w:p>
          <w:p w:rsidR="00000000" w:rsidRPr="007021E2" w:rsidP="007021E2">
            <w:pPr>
              <w:pStyle w:val="ListBullet"/>
            </w:pPr>
            <w:r w:rsidRPr="007021E2">
              <w:t>tin</w:t>
            </w:r>
          </w:p>
          <w:p w:rsidR="00000000" w:rsidRPr="007021E2" w:rsidP="007021E2">
            <w:pPr>
              <w:pStyle w:val="ListBullet"/>
            </w:pPr>
            <w:r w:rsidRPr="007021E2">
              <w:t>nickel</w:t>
            </w:r>
          </w:p>
          <w:p w:rsidR="00000000" w:rsidRPr="007021E2" w:rsidP="007021E2">
            <w:pPr>
              <w:pStyle w:val="ListBullet"/>
            </w:pPr>
            <w:r w:rsidRPr="007021E2">
              <w:t>cobalt</w:t>
            </w:r>
          </w:p>
          <w:p w:rsidR="00000000" w:rsidRPr="007021E2" w:rsidP="007021E2">
            <w:pPr>
              <w:pStyle w:val="ListBullet"/>
            </w:pPr>
            <w:r w:rsidRPr="007021E2">
              <w:t>magnesium</w:t>
            </w:r>
          </w:p>
          <w:p w:rsidR="00000000" w:rsidRPr="007021E2" w:rsidP="007021E2">
            <w:pPr>
              <w:pStyle w:val="ListBullet"/>
            </w:pPr>
            <w:r w:rsidRPr="007021E2">
              <w:t>titanium.</w:t>
            </w:r>
          </w:p>
        </w:tc>
      </w:tr>
    </w:tbl>
    <w:p w:rsidR="00EA73E0" w:rsidP="007021E2">
      <w:pPr>
        <w:pStyle w:val="BodyText"/>
      </w:pPr>
    </w:p>
    <w:p w:rsidR="00EA73E0" w:rsidP="007021E2">
      <w:pPr>
        <w:pStyle w:val="BodyText"/>
      </w:pPr>
    </w:p>
    <w:p w:rsidR="00000000" w:rsidRPr="007021E2" w:rsidP="007021E2">
      <w:pPr>
        <w:pStyle w:val="Heading1"/>
      </w:pPr>
      <w:bookmarkStart w:id="8" w:name="O_950094"/>
      <w:bookmarkEnd w:id="8"/>
      <w:r w:rsidRPr="007021E2">
        <w:t>Unit Mapping Information</w:t>
      </w:r>
    </w:p>
    <w:p w:rsidR="00EA73E0" w:rsidP="00EA73E0">
      <w:pPr>
        <w:pStyle w:val="BodyText"/>
      </w:pPr>
      <w:r w:rsidRPr="007021E2">
        <w:t>Release 1. Supersedes and is equivalent to MSATCM509A Recommend ferrous and non ferrous metals or alloys for an application.</w:t>
      </w:r>
    </w:p>
    <w:p w:rsidR="00000000" w:rsidRPr="007021E2" w:rsidP="007021E2">
      <w:pPr>
        <w:pStyle w:val="Heading1"/>
      </w:pPr>
      <w:bookmarkStart w:id="9" w:name="O_950087"/>
      <w:bookmarkEnd w:id="9"/>
      <w:r w:rsidRPr="007021E2">
        <w:t>Links</w:t>
      </w:r>
    </w:p>
    <w:p w:rsidR="00000000" w:rsidRPr="007021E2" w:rsidP="00EA73E0">
      <w:pPr>
        <w:pStyle w:val="BodyText"/>
      </w:pPr>
      <w:r w:rsidRPr="007021E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A6FE6">
        <w:rPr>
          <w:rStyle w:val="Hyperlink"/>
        </w:rPr>
        <w:t>https://vetnet.gov.au/Pages/TrainingDocs.aspx?q=b7050d37-5fd0-4740-8f7d-3b7a49c10bb2</w:t>
      </w:r>
      <w:r>
        <w:fldChar w:fldCharType="end"/>
      </w:r>
    </w:p>
    <w:p w:rsidR="00000000" w:rsidRPr="007021E2" w:rsidP="007021E2"/>
    <w:sectPr w:rsidSect="007021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E2" w:rsidRPr="00EA73E0" w:rsidP="00EA73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3E0" w:rsidP="007021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73E0" w:rsidP="007021E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A73E0" w:rsidP="007021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3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21E2" w:rsidRPr="00EA73E0" w:rsidP="00EA73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3E0" w:rsidRPr="002D2AF8" w:rsidP="007021E2">
    <w:pPr>
      <w:pStyle w:val="Header"/>
      <w:framePr w:wrap="around"/>
    </w:pPr>
    <w:r>
      <w:fldChar w:fldCharType="begin"/>
    </w:r>
    <w:r>
      <w:instrText xml:space="preserve"> TITLE   \* MERGEFORMAT </w:instrText>
    </w:r>
    <w:r>
      <w:fldChar w:fldCharType="separate"/>
    </w:r>
    <w:r>
      <w:t>MEM48020 Recommend ferrous and nonferrous metals or alloys for an application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A73E0" w:rsidP="007021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B400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4666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1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21E2"/>
    <w:pPr>
      <w:spacing w:before="360" w:after="60"/>
      <w:outlineLvl w:val="0"/>
    </w:pPr>
    <w:rPr>
      <w:sz w:val="32"/>
    </w:rPr>
  </w:style>
  <w:style w:type="paragraph" w:styleId="Heading2">
    <w:name w:val="heading 2"/>
    <w:basedOn w:val="HeadingBase"/>
    <w:next w:val="BodyText"/>
    <w:link w:val="Heading2Char"/>
    <w:qFormat/>
    <w:rsid w:val="007021E2"/>
    <w:pPr>
      <w:keepLines/>
      <w:spacing w:before="240" w:after="120"/>
      <w:outlineLvl w:val="1"/>
    </w:pPr>
    <w:rPr>
      <w:sz w:val="28"/>
      <w:szCs w:val="40"/>
    </w:rPr>
  </w:style>
  <w:style w:type="paragraph" w:styleId="Heading3">
    <w:name w:val="heading 3"/>
    <w:basedOn w:val="HeadingBase"/>
    <w:next w:val="BodyText"/>
    <w:link w:val="Heading3Char"/>
    <w:qFormat/>
    <w:rsid w:val="007021E2"/>
    <w:pPr>
      <w:spacing w:before="180" w:after="120"/>
      <w:outlineLvl w:val="2"/>
    </w:pPr>
    <w:rPr>
      <w:spacing w:val="-10"/>
      <w:kern w:val="32"/>
    </w:rPr>
  </w:style>
  <w:style w:type="paragraph" w:styleId="Heading4">
    <w:name w:val="heading 4"/>
    <w:basedOn w:val="HeadingBase"/>
    <w:next w:val="BodyText"/>
    <w:link w:val="Heading4Char"/>
    <w:qFormat/>
    <w:rsid w:val="007021E2"/>
    <w:pPr>
      <w:spacing w:before="160" w:after="120"/>
      <w:outlineLvl w:val="3"/>
    </w:pPr>
    <w:rPr>
      <w:sz w:val="22"/>
    </w:rPr>
  </w:style>
  <w:style w:type="paragraph" w:styleId="Heading5">
    <w:name w:val="heading 5"/>
    <w:basedOn w:val="HeadingBase"/>
    <w:next w:val="Normal"/>
    <w:link w:val="Heading5Char"/>
    <w:qFormat/>
    <w:rsid w:val="007021E2"/>
    <w:pPr>
      <w:spacing w:before="80"/>
      <w:outlineLvl w:val="4"/>
    </w:pPr>
    <w:rPr>
      <w:color w:val="918585"/>
      <w:sz w:val="20"/>
    </w:rPr>
  </w:style>
  <w:style w:type="paragraph" w:styleId="Heading6">
    <w:name w:val="heading 6"/>
    <w:basedOn w:val="HeadingBase"/>
    <w:next w:val="Normal"/>
    <w:link w:val="Heading6Char"/>
    <w:qFormat/>
    <w:rsid w:val="007021E2"/>
    <w:pPr>
      <w:spacing w:before="60"/>
      <w:outlineLvl w:val="5"/>
    </w:pPr>
    <w:rPr>
      <w:color w:val="918585"/>
      <w:sz w:val="20"/>
    </w:rPr>
  </w:style>
  <w:style w:type="paragraph" w:styleId="Heading7">
    <w:name w:val="heading 7"/>
    <w:basedOn w:val="Normal"/>
    <w:next w:val="Normal"/>
    <w:link w:val="Heading7Char"/>
    <w:qFormat/>
    <w:rsid w:val="007021E2"/>
    <w:pPr>
      <w:ind w:left="720"/>
      <w:outlineLvl w:val="6"/>
    </w:pPr>
    <w:rPr>
      <w:i/>
    </w:rPr>
  </w:style>
  <w:style w:type="paragraph" w:styleId="Heading8">
    <w:name w:val="heading 8"/>
    <w:basedOn w:val="Normal"/>
    <w:next w:val="Normal"/>
    <w:link w:val="Heading8Char"/>
    <w:qFormat/>
    <w:rsid w:val="007021E2"/>
    <w:pPr>
      <w:ind w:left="720"/>
      <w:outlineLvl w:val="7"/>
    </w:pPr>
    <w:rPr>
      <w:i/>
    </w:rPr>
  </w:style>
  <w:style w:type="paragraph" w:styleId="Heading9">
    <w:name w:val="heading 9"/>
    <w:basedOn w:val="Normal"/>
    <w:next w:val="Normal"/>
    <w:link w:val="Heading9Char"/>
    <w:qFormat/>
    <w:rsid w:val="007021E2"/>
    <w:pPr>
      <w:ind w:left="720"/>
      <w:outlineLvl w:val="8"/>
    </w:pPr>
    <w:rPr>
      <w:i/>
    </w:rPr>
  </w:style>
  <w:style w:type="character" w:default="1" w:styleId="DefaultParagraphFont">
    <w:name w:val="Default Paragraph Font"/>
    <w:uiPriority w:val="1"/>
    <w:unhideWhenUsed/>
    <w:rsid w:val="007021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21E2"/>
  </w:style>
  <w:style w:type="character" w:customStyle="1" w:styleId="Heading1Char">
    <w:name w:val="Heading 1 Char"/>
    <w:basedOn w:val="DefaultParagraphFont"/>
    <w:link w:val="Heading1"/>
    <w:rsid w:val="007021E2"/>
    <w:rPr>
      <w:rFonts w:ascii="Times New Roman" w:eastAsia="Times New Roman" w:hAnsi="Times New Roman" w:cs="Times New Roman"/>
      <w:b/>
      <w:sz w:val="32"/>
      <w:szCs w:val="20"/>
      <w:lang w:eastAsia="en-US"/>
    </w:rPr>
  </w:style>
  <w:style w:type="paragraph" w:styleId="BodyText">
    <w:name w:val="Body Text"/>
    <w:basedOn w:val="Normal"/>
    <w:link w:val="BodyTextChar"/>
    <w:rsid w:val="007021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21E2"/>
    <w:rPr>
      <w:rFonts w:ascii="Times New Roman" w:eastAsia="Times New Roman" w:hAnsi="Times New Roman" w:cs="Times New Roman"/>
      <w:sz w:val="24"/>
      <w:lang w:eastAsia="en-US"/>
    </w:rPr>
  </w:style>
  <w:style w:type="paragraph" w:styleId="ListBullet">
    <w:name w:val="List Bullet"/>
    <w:basedOn w:val="List"/>
    <w:rsid w:val="007021E2"/>
    <w:pPr>
      <w:numPr>
        <w:numId w:val="11"/>
      </w:numPr>
      <w:tabs>
        <w:tab w:val="clear" w:pos="340"/>
      </w:tabs>
      <w:spacing w:before="40" w:after="40"/>
    </w:pPr>
  </w:style>
  <w:style w:type="character" w:customStyle="1" w:styleId="SpecialBold">
    <w:name w:val="Special Bold"/>
    <w:basedOn w:val="DefaultParagraphFont"/>
    <w:rsid w:val="007021E2"/>
    <w:rPr>
      <w:b/>
      <w:spacing w:val="0"/>
    </w:rPr>
  </w:style>
  <w:style w:type="character" w:styleId="Emphasis">
    <w:name w:val="Emphasis"/>
    <w:basedOn w:val="DefaultParagraphFont"/>
    <w:qFormat/>
    <w:rsid w:val="007021E2"/>
    <w:rPr>
      <w:i/>
    </w:rPr>
  </w:style>
  <w:style w:type="paragraph" w:customStyle="1" w:styleId="SuperHeading">
    <w:name w:val="SuperHeading"/>
    <w:basedOn w:val="Normal"/>
    <w:rsid w:val="007021E2"/>
    <w:pPr>
      <w:spacing w:before="240" w:after="120"/>
      <w:outlineLvl w:val="0"/>
    </w:pPr>
    <w:rPr>
      <w:rFonts w:ascii="Times New Roman" w:hAnsi="Times New Roman"/>
      <w:b/>
      <w:sz w:val="32"/>
    </w:rPr>
  </w:style>
  <w:style w:type="paragraph" w:customStyle="1" w:styleId="AllowPageBreak">
    <w:name w:val="AllowPageBreak"/>
    <w:rsid w:val="007021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21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21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21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21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21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21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21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21E2"/>
    <w:rPr>
      <w:rFonts w:ascii="Courier New" w:eastAsia="Times New Roman" w:hAnsi="Courier New" w:cs="Times New Roman"/>
      <w:i/>
      <w:szCs w:val="20"/>
      <w:lang w:eastAsia="en-US"/>
    </w:rPr>
  </w:style>
  <w:style w:type="paragraph" w:customStyle="1" w:styleId="HeadingBase">
    <w:name w:val="Heading Base"/>
    <w:rsid w:val="007021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21E2"/>
    <w:pPr>
      <w:tabs>
        <w:tab w:val="right" w:leader="dot" w:pos="9072"/>
      </w:tabs>
      <w:ind w:left="567"/>
    </w:pPr>
    <w:rPr>
      <w:szCs w:val="22"/>
    </w:rPr>
  </w:style>
  <w:style w:type="paragraph" w:customStyle="1" w:styleId="TOCBase">
    <w:name w:val="TOC Base"/>
    <w:rsid w:val="007021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21E2"/>
    <w:pPr>
      <w:tabs>
        <w:tab w:val="right" w:leader="dot" w:pos="9072"/>
      </w:tabs>
      <w:spacing w:before="40" w:after="40"/>
      <w:ind w:left="284"/>
    </w:pPr>
    <w:rPr>
      <w:rFonts w:ascii="Times New Roman" w:hAnsi="Times New Roman"/>
    </w:rPr>
  </w:style>
  <w:style w:type="paragraph" w:styleId="TOC1">
    <w:name w:val="toc 1"/>
    <w:basedOn w:val="TOCBase"/>
    <w:next w:val="Normal"/>
    <w:rsid w:val="007021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21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21E2"/>
    <w:rPr>
      <w:rFonts w:ascii="Times New Roman" w:eastAsia="Times New Roman" w:hAnsi="Times New Roman" w:cs="Times New Roman"/>
      <w:sz w:val="16"/>
      <w:lang w:eastAsia="en-US"/>
    </w:rPr>
  </w:style>
  <w:style w:type="paragraph" w:styleId="Title">
    <w:name w:val="Title"/>
    <w:basedOn w:val="HeadingBase"/>
    <w:link w:val="TitleChar"/>
    <w:qFormat/>
    <w:rsid w:val="007021E2"/>
    <w:pPr>
      <w:spacing w:before="5040"/>
      <w:jc w:val="center"/>
    </w:pPr>
    <w:rPr>
      <w:sz w:val="48"/>
      <w:szCs w:val="72"/>
      <w:lang w:val="en-US"/>
    </w:rPr>
  </w:style>
  <w:style w:type="character" w:customStyle="1" w:styleId="TitleChar">
    <w:name w:val="Title Char"/>
    <w:basedOn w:val="DefaultParagraphFont"/>
    <w:link w:val="Title"/>
    <w:rsid w:val="007021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21E2"/>
    <w:pPr>
      <w:tabs>
        <w:tab w:val="left" w:pos="3600"/>
        <w:tab w:val="left" w:pos="3958"/>
      </w:tabs>
    </w:pPr>
  </w:style>
  <w:style w:type="paragraph" w:styleId="List">
    <w:name w:val="List"/>
    <w:basedOn w:val="BodyText"/>
    <w:next w:val="BodyText"/>
    <w:rsid w:val="007021E2"/>
    <w:pPr>
      <w:tabs>
        <w:tab w:val="left" w:pos="340"/>
      </w:tabs>
      <w:spacing w:before="60" w:after="60"/>
      <w:ind w:left="340" w:hanging="340"/>
    </w:pPr>
  </w:style>
  <w:style w:type="paragraph" w:customStyle="1" w:styleId="Note">
    <w:name w:val="Note"/>
    <w:basedOn w:val="BodyText"/>
    <w:rsid w:val="007021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21E2"/>
    <w:pPr>
      <w:framePr w:wrap="auto" w:hAnchor="text" w:y="6049"/>
    </w:pPr>
    <w:rPr>
      <w:color w:val="000000"/>
      <w:sz w:val="40"/>
    </w:rPr>
  </w:style>
  <w:style w:type="paragraph" w:customStyle="1" w:styleId="TOCTitle">
    <w:name w:val="TOCTitle"/>
    <w:basedOn w:val="Heading1"/>
    <w:rsid w:val="007021E2"/>
    <w:pPr>
      <w:spacing w:after="240"/>
      <w:jc w:val="center"/>
      <w:outlineLvl w:val="9"/>
    </w:pPr>
    <w:rPr>
      <w:caps/>
    </w:rPr>
  </w:style>
  <w:style w:type="paragraph" w:customStyle="1" w:styleId="Version">
    <w:name w:val="Version"/>
    <w:rsid w:val="007021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21E2"/>
    <w:pPr>
      <w:numPr>
        <w:numId w:val="12"/>
      </w:numPr>
      <w:tabs>
        <w:tab w:val="clear" w:pos="680"/>
      </w:tabs>
    </w:pPr>
  </w:style>
  <w:style w:type="paragraph" w:styleId="Index1">
    <w:name w:val="index 1"/>
    <w:basedOn w:val="Normal"/>
    <w:next w:val="Normal"/>
    <w:semiHidden/>
    <w:rsid w:val="007021E2"/>
    <w:pPr>
      <w:keepNext w:val="0"/>
      <w:tabs>
        <w:tab w:val="right" w:pos="4176"/>
      </w:tabs>
      <w:ind w:left="198" w:hanging="198"/>
    </w:pPr>
    <w:rPr>
      <w:rFonts w:ascii="Garamond" w:hAnsi="Garamond"/>
    </w:rPr>
  </w:style>
  <w:style w:type="paragraph" w:styleId="IndexHeading">
    <w:name w:val="index heading"/>
    <w:basedOn w:val="Normal"/>
    <w:next w:val="Index1"/>
    <w:semiHidden/>
    <w:rsid w:val="007021E2"/>
    <w:pPr>
      <w:spacing w:before="120" w:after="120"/>
    </w:pPr>
    <w:rPr>
      <w:rFonts w:ascii="Arial" w:hAnsi="Arial"/>
      <w:b/>
      <w:color w:val="918585"/>
      <w:sz w:val="24"/>
    </w:rPr>
  </w:style>
  <w:style w:type="paragraph" w:styleId="Header">
    <w:name w:val="header"/>
    <w:basedOn w:val="Normal"/>
    <w:link w:val="HeaderChar"/>
    <w:rsid w:val="007021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21E2"/>
    <w:rPr>
      <w:rFonts w:ascii="Times New Roman" w:eastAsia="Times New Roman" w:hAnsi="Times New Roman" w:cs="Times New Roman"/>
      <w:sz w:val="16"/>
      <w:szCs w:val="20"/>
      <w:lang w:val="en-GB" w:eastAsia="en-US"/>
    </w:rPr>
  </w:style>
  <w:style w:type="paragraph" w:customStyle="1" w:styleId="Chapter">
    <w:name w:val="Chapter"/>
    <w:basedOn w:val="Normal"/>
    <w:rsid w:val="007021E2"/>
    <w:pPr>
      <w:spacing w:before="240"/>
    </w:pPr>
    <w:rPr>
      <w:rFonts w:ascii="Times New Roman" w:hAnsi="Times New Roman"/>
      <w:smallCaps/>
      <w:spacing w:val="80"/>
      <w:sz w:val="28"/>
    </w:rPr>
  </w:style>
  <w:style w:type="paragraph" w:customStyle="1" w:styleId="InChapter">
    <w:name w:val="InChapter"/>
    <w:basedOn w:val="Heading3"/>
    <w:rsid w:val="007021E2"/>
    <w:pPr>
      <w:spacing w:after="240"/>
      <w:outlineLvl w:val="9"/>
    </w:pPr>
    <w:rPr>
      <w:noProof/>
    </w:rPr>
  </w:style>
  <w:style w:type="paragraph" w:styleId="Index2">
    <w:name w:val="index 2"/>
    <w:basedOn w:val="Normal"/>
    <w:next w:val="Normal"/>
    <w:semiHidden/>
    <w:rsid w:val="007021E2"/>
    <w:pPr>
      <w:tabs>
        <w:tab w:val="right" w:pos="4176"/>
      </w:tabs>
      <w:ind w:left="568" w:hanging="284"/>
    </w:pPr>
    <w:rPr>
      <w:rFonts w:ascii="Garamond" w:hAnsi="Garamond"/>
    </w:rPr>
  </w:style>
  <w:style w:type="paragraph" w:customStyle="1" w:styleId="Byline">
    <w:name w:val="Byline"/>
    <w:rsid w:val="007021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21E2"/>
    <w:pPr>
      <w:tabs>
        <w:tab w:val="clear" w:pos="3600"/>
        <w:tab w:val="clear" w:pos="3958"/>
      </w:tabs>
      <w:jc w:val="right"/>
    </w:pPr>
  </w:style>
  <w:style w:type="paragraph" w:styleId="Caption">
    <w:name w:val="caption"/>
    <w:basedOn w:val="BodyText"/>
    <w:next w:val="Normal"/>
    <w:qFormat/>
    <w:rsid w:val="007021E2"/>
    <w:pPr>
      <w:framePr w:w="2268" w:hSpace="181" w:vSpace="181" w:wrap="around" w:vAnchor="text" w:hAnchor="page" w:x="1135" w:y="285" w:anchorLock="1"/>
    </w:pPr>
    <w:rPr>
      <w:i/>
    </w:rPr>
  </w:style>
  <w:style w:type="paragraph" w:customStyle="1" w:styleId="MiniTOCTitle">
    <w:name w:val="MiniTOCTitle"/>
    <w:basedOn w:val="Heading4"/>
    <w:rsid w:val="007021E2"/>
    <w:pPr>
      <w:spacing w:before="240"/>
      <w:outlineLvl w:val="9"/>
    </w:pPr>
    <w:rPr>
      <w:noProof/>
      <w:sz w:val="24"/>
    </w:rPr>
  </w:style>
  <w:style w:type="paragraph" w:customStyle="1" w:styleId="MiniTOCItem">
    <w:name w:val="MiniTOCItem"/>
    <w:basedOn w:val="ListBullet"/>
    <w:rsid w:val="007021E2"/>
    <w:pPr>
      <w:numPr>
        <w:numId w:val="0"/>
      </w:numPr>
      <w:tabs>
        <w:tab w:val="right" w:leader="dot" w:pos="6521"/>
      </w:tabs>
      <w:spacing w:before="0" w:after="0"/>
    </w:pPr>
  </w:style>
  <w:style w:type="paragraph" w:customStyle="1" w:styleId="TOFTitle">
    <w:name w:val="TOFTitle"/>
    <w:basedOn w:val="TOCTitle"/>
    <w:rsid w:val="007021E2"/>
  </w:style>
  <w:style w:type="paragraph" w:styleId="TableofFigures">
    <w:name w:val="table of figures"/>
    <w:basedOn w:val="Normal"/>
    <w:next w:val="Normal"/>
    <w:semiHidden/>
    <w:rsid w:val="007021E2"/>
    <w:pPr>
      <w:tabs>
        <w:tab w:val="right" w:leader="dot" w:pos="9072"/>
      </w:tabs>
      <w:ind w:left="970" w:hanging="403"/>
    </w:pPr>
    <w:rPr>
      <w:rFonts w:ascii="Times New Roman" w:hAnsi="Times New Roman"/>
      <w:b/>
    </w:rPr>
  </w:style>
  <w:style w:type="paragraph" w:styleId="ListNumber">
    <w:name w:val="List Number"/>
    <w:basedOn w:val="List"/>
    <w:rsid w:val="007021E2"/>
    <w:pPr>
      <w:numPr>
        <w:numId w:val="14"/>
      </w:numPr>
      <w:tabs>
        <w:tab w:val="clear" w:pos="340"/>
      </w:tabs>
    </w:pPr>
  </w:style>
  <w:style w:type="character" w:customStyle="1" w:styleId="WingdingSymbols">
    <w:name w:val="Wingding Symbols"/>
    <w:rsid w:val="007021E2"/>
    <w:rPr>
      <w:rFonts w:ascii="Wingdings" w:hAnsi="Wingdings"/>
    </w:rPr>
  </w:style>
  <w:style w:type="paragraph" w:customStyle="1" w:styleId="TableHeading">
    <w:name w:val="Table Heading"/>
    <w:basedOn w:val="HeadingBase"/>
    <w:rsid w:val="007021E2"/>
    <w:pPr>
      <w:keepLines/>
      <w:pBdr>
        <w:bottom w:val="single" w:sz="6" w:space="1" w:color="918585"/>
      </w:pBdr>
      <w:spacing w:before="240"/>
    </w:pPr>
  </w:style>
  <w:style w:type="character" w:customStyle="1" w:styleId="HotSpot">
    <w:name w:val="HotSpot"/>
    <w:rsid w:val="007021E2"/>
    <w:rPr>
      <w:color w:val="0033CC"/>
      <w:u w:val="none"/>
    </w:rPr>
  </w:style>
  <w:style w:type="paragraph" w:customStyle="1" w:styleId="BodyTextRight">
    <w:name w:val="Body Text Right"/>
    <w:basedOn w:val="BodyText"/>
    <w:rsid w:val="007021E2"/>
    <w:pPr>
      <w:spacing w:before="0" w:after="0"/>
      <w:jc w:val="right"/>
    </w:pPr>
  </w:style>
  <w:style w:type="paragraph" w:styleId="Index3">
    <w:name w:val="index 3"/>
    <w:basedOn w:val="ListNumber2"/>
    <w:next w:val="Normal"/>
    <w:semiHidden/>
    <w:rsid w:val="007021E2"/>
    <w:pPr>
      <w:numPr>
        <w:numId w:val="0"/>
      </w:numPr>
      <w:tabs>
        <w:tab w:val="right" w:leader="dot" w:pos="4176"/>
      </w:tabs>
    </w:pPr>
  </w:style>
  <w:style w:type="paragraph" w:styleId="ListNumber2">
    <w:name w:val="List Number 2"/>
    <w:basedOn w:val="List2"/>
    <w:rsid w:val="007021E2"/>
    <w:pPr>
      <w:numPr>
        <w:numId w:val="9"/>
      </w:numPr>
      <w:tabs>
        <w:tab w:val="clear" w:pos="1060"/>
      </w:tabs>
    </w:pPr>
  </w:style>
  <w:style w:type="paragraph" w:customStyle="1" w:styleId="MarginNote">
    <w:name w:val="Margin Note"/>
    <w:basedOn w:val="BodyText"/>
    <w:rsid w:val="007021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21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21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21E2"/>
    <w:rPr>
      <w:sz w:val="32"/>
    </w:rPr>
  </w:style>
  <w:style w:type="paragraph" w:customStyle="1" w:styleId="HeadingProcedure">
    <w:name w:val="Heading Procedure"/>
    <w:basedOn w:val="HeadingBase"/>
    <w:next w:val="Normal"/>
    <w:rsid w:val="007021E2"/>
    <w:pPr>
      <w:tabs>
        <w:tab w:val="left" w:pos="0"/>
      </w:tabs>
      <w:spacing w:before="120" w:after="60"/>
    </w:pPr>
    <w:rPr>
      <w:i/>
      <w:color w:val="918585"/>
      <w:sz w:val="22"/>
    </w:rPr>
  </w:style>
  <w:style w:type="paragraph" w:customStyle="1" w:styleId="TableBodyText">
    <w:name w:val="Table Body Text"/>
    <w:basedOn w:val="BodyText"/>
    <w:rsid w:val="007021E2"/>
    <w:pPr>
      <w:spacing w:before="60" w:after="60"/>
    </w:pPr>
  </w:style>
  <w:style w:type="paragraph" w:styleId="ListContinue">
    <w:name w:val="List Continue"/>
    <w:basedOn w:val="List"/>
    <w:rsid w:val="007021E2"/>
    <w:pPr>
      <w:ind w:firstLine="0"/>
    </w:pPr>
  </w:style>
  <w:style w:type="paragraph" w:customStyle="1" w:styleId="ListNote">
    <w:name w:val="List Note"/>
    <w:basedOn w:val="List"/>
    <w:rsid w:val="007021E2"/>
    <w:pPr>
      <w:pBdr>
        <w:top w:val="single" w:sz="6" w:space="2" w:color="918585"/>
        <w:bottom w:val="single" w:sz="6" w:space="2" w:color="918585"/>
      </w:pBdr>
      <w:tabs>
        <w:tab w:val="left" w:pos="1021"/>
      </w:tabs>
      <w:ind w:firstLine="0"/>
    </w:pPr>
  </w:style>
  <w:style w:type="paragraph" w:customStyle="1" w:styleId="Warning">
    <w:name w:val="Warning"/>
    <w:basedOn w:val="BodyText"/>
    <w:rsid w:val="007021E2"/>
    <w:pPr>
      <w:shd w:val="clear" w:color="auto" w:fill="D9D9D9"/>
      <w:tabs>
        <w:tab w:val="left" w:pos="992"/>
      </w:tabs>
      <w:ind w:left="119" w:right="119"/>
    </w:pPr>
    <w:rPr>
      <w:sz w:val="20"/>
    </w:rPr>
  </w:style>
  <w:style w:type="paragraph" w:customStyle="1" w:styleId="MarginIcons">
    <w:name w:val="Margin Icons"/>
    <w:basedOn w:val="BodyText"/>
    <w:rsid w:val="007021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21E2"/>
    <w:rPr>
      <w:rFonts w:ascii="Courier New" w:hAnsi="Courier New"/>
    </w:rPr>
  </w:style>
  <w:style w:type="paragraph" w:customStyle="1" w:styleId="NoteBullet">
    <w:name w:val="Note Bullet"/>
    <w:basedOn w:val="Note"/>
    <w:rsid w:val="007021E2"/>
    <w:pPr>
      <w:tabs>
        <w:tab w:val="clear" w:pos="680"/>
      </w:tabs>
      <w:spacing w:before="60" w:after="60"/>
    </w:pPr>
  </w:style>
  <w:style w:type="paragraph" w:customStyle="1" w:styleId="SubHeading2">
    <w:name w:val="SubHeading2"/>
    <w:basedOn w:val="HeadingBase"/>
    <w:rsid w:val="007021E2"/>
    <w:pPr>
      <w:spacing w:before="240" w:after="60"/>
    </w:pPr>
    <w:rPr>
      <w:sz w:val="20"/>
    </w:rPr>
  </w:style>
  <w:style w:type="paragraph" w:customStyle="1" w:styleId="SubHeading1">
    <w:name w:val="SubHeading1"/>
    <w:basedOn w:val="HeadingBase"/>
    <w:rsid w:val="007021E2"/>
    <w:pPr>
      <w:spacing w:before="240" w:after="60"/>
    </w:pPr>
    <w:rPr>
      <w:color w:val="918585"/>
      <w:sz w:val="22"/>
    </w:rPr>
  </w:style>
  <w:style w:type="paragraph" w:customStyle="1" w:styleId="SideHeading">
    <w:name w:val="Side Heading"/>
    <w:basedOn w:val="HeadingBase"/>
    <w:rsid w:val="007021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21E2"/>
    <w:pPr>
      <w:numPr>
        <w:numId w:val="10"/>
      </w:numPr>
    </w:pPr>
  </w:style>
  <w:style w:type="paragraph" w:styleId="PlainText">
    <w:name w:val="Plain Text"/>
    <w:basedOn w:val="Normal"/>
    <w:link w:val="PlainTextChar"/>
    <w:rsid w:val="007021E2"/>
    <w:rPr>
      <w:sz w:val="20"/>
    </w:rPr>
  </w:style>
  <w:style w:type="character" w:customStyle="1" w:styleId="PlainTextChar">
    <w:name w:val="Plain Text Char"/>
    <w:basedOn w:val="DefaultParagraphFont"/>
    <w:link w:val="PlainText"/>
    <w:rsid w:val="007021E2"/>
    <w:rPr>
      <w:rFonts w:ascii="Courier New" w:eastAsia="Times New Roman" w:hAnsi="Courier New" w:cs="Times New Roman"/>
      <w:sz w:val="20"/>
      <w:szCs w:val="20"/>
      <w:lang w:eastAsia="en-US"/>
    </w:rPr>
  </w:style>
  <w:style w:type="character" w:customStyle="1" w:styleId="MenuOption">
    <w:name w:val="Menu Option"/>
    <w:basedOn w:val="DefaultParagraphFont"/>
    <w:rsid w:val="007021E2"/>
    <w:rPr>
      <w:b/>
      <w:smallCaps/>
    </w:rPr>
  </w:style>
  <w:style w:type="paragraph" w:customStyle="1" w:styleId="TableListNumber">
    <w:name w:val="Table List Number"/>
    <w:basedOn w:val="ListNumber"/>
    <w:rsid w:val="007021E2"/>
    <w:pPr>
      <w:numPr>
        <w:numId w:val="0"/>
      </w:numPr>
    </w:pPr>
  </w:style>
  <w:style w:type="paragraph" w:styleId="TOC4">
    <w:name w:val="toc 4"/>
    <w:basedOn w:val="TOCBase"/>
    <w:next w:val="Normal"/>
    <w:semiHidden/>
    <w:rsid w:val="007021E2"/>
    <w:pPr>
      <w:tabs>
        <w:tab w:val="right" w:leader="dot" w:pos="9071"/>
      </w:tabs>
      <w:ind w:left="1701"/>
    </w:pPr>
  </w:style>
  <w:style w:type="paragraph" w:customStyle="1" w:styleId="ListAlpha">
    <w:name w:val="List Alpha"/>
    <w:basedOn w:val="List"/>
    <w:rsid w:val="007021E2"/>
    <w:pPr>
      <w:numPr>
        <w:numId w:val="8"/>
      </w:numPr>
    </w:pPr>
  </w:style>
  <w:style w:type="paragraph" w:customStyle="1" w:styleId="ListAlpha2">
    <w:name w:val="List Alpha 2"/>
    <w:basedOn w:val="List2"/>
    <w:rsid w:val="007021E2"/>
    <w:pPr>
      <w:numPr>
        <w:numId w:val="7"/>
      </w:numPr>
    </w:pPr>
  </w:style>
  <w:style w:type="paragraph" w:styleId="List2">
    <w:name w:val="List 2"/>
    <w:basedOn w:val="BodyText"/>
    <w:rsid w:val="007021E2"/>
    <w:pPr>
      <w:tabs>
        <w:tab w:val="left" w:pos="680"/>
      </w:tabs>
      <w:spacing w:before="60" w:after="60"/>
      <w:ind w:left="680" w:hanging="340"/>
    </w:pPr>
  </w:style>
  <w:style w:type="paragraph" w:styleId="List3">
    <w:name w:val="List 3"/>
    <w:basedOn w:val="BodyText"/>
    <w:rsid w:val="007021E2"/>
    <w:pPr>
      <w:tabs>
        <w:tab w:val="left" w:pos="1021"/>
      </w:tabs>
      <w:spacing w:before="60" w:after="60"/>
      <w:ind w:left="1020" w:hanging="340"/>
    </w:pPr>
  </w:style>
  <w:style w:type="paragraph" w:styleId="List4">
    <w:name w:val="List 4"/>
    <w:basedOn w:val="BodyText"/>
    <w:rsid w:val="007021E2"/>
    <w:pPr>
      <w:tabs>
        <w:tab w:val="left" w:pos="1361"/>
      </w:tabs>
      <w:spacing w:before="60" w:after="60"/>
      <w:ind w:left="1361" w:hanging="340"/>
    </w:pPr>
  </w:style>
  <w:style w:type="paragraph" w:styleId="List5">
    <w:name w:val="List 5"/>
    <w:basedOn w:val="BodyText"/>
    <w:rsid w:val="007021E2"/>
    <w:pPr>
      <w:tabs>
        <w:tab w:val="left" w:pos="1701"/>
      </w:tabs>
      <w:spacing w:before="60" w:after="60"/>
      <w:ind w:left="1701" w:hanging="340"/>
    </w:pPr>
  </w:style>
  <w:style w:type="paragraph" w:styleId="ListBullet3">
    <w:name w:val="List Bullet 3"/>
    <w:basedOn w:val="List3"/>
    <w:rsid w:val="007021E2"/>
    <w:pPr>
      <w:numPr>
        <w:numId w:val="13"/>
      </w:numPr>
      <w:tabs>
        <w:tab w:val="clear" w:pos="1021"/>
      </w:tabs>
      <w:ind w:left="1037" w:hanging="357"/>
    </w:pPr>
  </w:style>
  <w:style w:type="paragraph" w:styleId="ListBullet4">
    <w:name w:val="List Bullet 4"/>
    <w:basedOn w:val="List4"/>
    <w:rsid w:val="007021E2"/>
    <w:pPr>
      <w:numPr>
        <w:numId w:val="2"/>
      </w:numPr>
      <w:tabs>
        <w:tab w:val="clear" w:pos="1361"/>
      </w:tabs>
    </w:pPr>
  </w:style>
  <w:style w:type="paragraph" w:styleId="ListBullet5">
    <w:name w:val="List Bullet 5"/>
    <w:basedOn w:val="List5"/>
    <w:rsid w:val="007021E2"/>
    <w:pPr>
      <w:numPr>
        <w:numId w:val="3"/>
      </w:numPr>
    </w:pPr>
  </w:style>
  <w:style w:type="paragraph" w:styleId="ListContinue2">
    <w:name w:val="List Continue 2"/>
    <w:basedOn w:val="List2"/>
    <w:rsid w:val="007021E2"/>
    <w:pPr>
      <w:ind w:firstLine="0"/>
    </w:pPr>
  </w:style>
  <w:style w:type="paragraph" w:styleId="ListContinue3">
    <w:name w:val="List Continue 3"/>
    <w:basedOn w:val="List3"/>
    <w:rsid w:val="007021E2"/>
    <w:pPr>
      <w:ind w:left="1021" w:firstLine="0"/>
    </w:pPr>
  </w:style>
  <w:style w:type="paragraph" w:styleId="ListContinue4">
    <w:name w:val="List Continue 4"/>
    <w:basedOn w:val="List4"/>
    <w:rsid w:val="007021E2"/>
    <w:pPr>
      <w:ind w:firstLine="0"/>
    </w:pPr>
  </w:style>
  <w:style w:type="paragraph" w:styleId="ListContinue5">
    <w:name w:val="List Continue 5"/>
    <w:basedOn w:val="List5"/>
    <w:rsid w:val="007021E2"/>
    <w:pPr>
      <w:ind w:firstLine="0"/>
    </w:pPr>
  </w:style>
  <w:style w:type="paragraph" w:styleId="ListNumber3">
    <w:name w:val="List Number 3"/>
    <w:basedOn w:val="List3"/>
    <w:rsid w:val="007021E2"/>
    <w:pPr>
      <w:numPr>
        <w:numId w:val="4"/>
      </w:numPr>
    </w:pPr>
  </w:style>
  <w:style w:type="paragraph" w:styleId="ListNumber4">
    <w:name w:val="List Number 4"/>
    <w:basedOn w:val="List4"/>
    <w:rsid w:val="007021E2"/>
    <w:pPr>
      <w:numPr>
        <w:numId w:val="5"/>
      </w:numPr>
    </w:pPr>
  </w:style>
  <w:style w:type="paragraph" w:styleId="ListNumber5">
    <w:name w:val="List Number 5"/>
    <w:basedOn w:val="List5"/>
    <w:rsid w:val="007021E2"/>
    <w:pPr>
      <w:numPr>
        <w:numId w:val="6"/>
      </w:numPr>
    </w:pPr>
  </w:style>
  <w:style w:type="paragraph" w:styleId="BlockText">
    <w:name w:val="Block Text"/>
    <w:basedOn w:val="Normal"/>
    <w:rsid w:val="007021E2"/>
    <w:pPr>
      <w:spacing w:after="120"/>
      <w:ind w:left="1440" w:right="1440"/>
    </w:pPr>
  </w:style>
  <w:style w:type="character" w:customStyle="1" w:styleId="Subscript">
    <w:name w:val="Subscript"/>
    <w:basedOn w:val="DefaultParagraphFont"/>
    <w:rsid w:val="007021E2"/>
    <w:rPr>
      <w:sz w:val="16"/>
      <w:vertAlign w:val="subscript"/>
    </w:rPr>
  </w:style>
  <w:style w:type="character" w:customStyle="1" w:styleId="Superscript">
    <w:name w:val="Superscript"/>
    <w:basedOn w:val="DefaultParagraphFont"/>
    <w:rsid w:val="007021E2"/>
    <w:rPr>
      <w:sz w:val="16"/>
      <w:vertAlign w:val="superscript"/>
    </w:rPr>
  </w:style>
  <w:style w:type="character" w:customStyle="1" w:styleId="Symbols">
    <w:name w:val="Symbols"/>
    <w:basedOn w:val="DefaultParagraphFont"/>
    <w:rsid w:val="007021E2"/>
    <w:rPr>
      <w:rFonts w:ascii="Symbol" w:hAnsi="Symbol"/>
    </w:rPr>
  </w:style>
  <w:style w:type="character" w:customStyle="1" w:styleId="MenuOptions">
    <w:name w:val="Menu Options"/>
    <w:basedOn w:val="DefaultParagraphFont"/>
    <w:rsid w:val="007021E2"/>
    <w:rPr>
      <w:rFonts w:ascii="Arial Narrow" w:hAnsi="Arial Narrow"/>
      <w:smallCaps/>
    </w:rPr>
  </w:style>
  <w:style w:type="character" w:customStyle="1" w:styleId="Buttons">
    <w:name w:val="Buttons"/>
    <w:basedOn w:val="DefaultParagraphFont"/>
    <w:rsid w:val="007021E2"/>
    <w:rPr>
      <w:b/>
    </w:rPr>
  </w:style>
  <w:style w:type="character" w:customStyle="1" w:styleId="Underlined">
    <w:name w:val="Underlined"/>
    <w:basedOn w:val="DefaultParagraphFont"/>
    <w:rsid w:val="007021E2"/>
    <w:rPr>
      <w:u w:val="single"/>
    </w:rPr>
  </w:style>
  <w:style w:type="paragraph" w:customStyle="1" w:styleId="TableBodyTextRight">
    <w:name w:val="Table Body Text Right"/>
    <w:basedOn w:val="TableBodyText"/>
    <w:rsid w:val="007021E2"/>
    <w:pPr>
      <w:widowControl w:val="0"/>
      <w:autoSpaceDE w:val="0"/>
      <w:autoSpaceDN w:val="0"/>
      <w:adjustRightInd w:val="0"/>
      <w:jc w:val="right"/>
    </w:pPr>
    <w:rPr>
      <w:rFonts w:cs="Arial"/>
      <w:szCs w:val="18"/>
    </w:rPr>
  </w:style>
  <w:style w:type="paragraph" w:customStyle="1" w:styleId="CopyrightText">
    <w:name w:val="Copyright Text"/>
    <w:basedOn w:val="BodyText"/>
    <w:rsid w:val="007021E2"/>
    <w:rPr>
      <w:sz w:val="18"/>
    </w:rPr>
  </w:style>
  <w:style w:type="paragraph" w:customStyle="1" w:styleId="BodySmallRight">
    <w:name w:val="Body Small Right"/>
    <w:basedOn w:val="BodyTextRight"/>
    <w:rsid w:val="007021E2"/>
    <w:rPr>
      <w:sz w:val="18"/>
      <w:szCs w:val="18"/>
    </w:rPr>
  </w:style>
  <w:style w:type="paragraph" w:customStyle="1" w:styleId="MarginEdition">
    <w:name w:val="Margin Edition"/>
    <w:basedOn w:val="MarginNote"/>
    <w:rsid w:val="007021E2"/>
    <w:pPr>
      <w:spacing w:before="0" w:after="0"/>
    </w:pPr>
    <w:rPr>
      <w:rFonts w:ascii="Times New Roman" w:hAnsi="Times New Roman"/>
      <w:color w:val="999999"/>
    </w:rPr>
  </w:style>
  <w:style w:type="paragraph" w:customStyle="1" w:styleId="Spacer">
    <w:name w:val="Spacer"/>
    <w:basedOn w:val="Normal"/>
    <w:rsid w:val="007021E2"/>
    <w:rPr>
      <w:sz w:val="2"/>
      <w:szCs w:val="2"/>
    </w:rPr>
  </w:style>
  <w:style w:type="character" w:customStyle="1" w:styleId="Small">
    <w:name w:val="Small"/>
    <w:basedOn w:val="DefaultParagraphFont"/>
    <w:rsid w:val="007021E2"/>
    <w:rPr>
      <w:sz w:val="16"/>
    </w:rPr>
  </w:style>
  <w:style w:type="paragraph" w:customStyle="1" w:styleId="WideTable">
    <w:name w:val="Wide Table"/>
    <w:basedOn w:val="Normal"/>
    <w:rsid w:val="007021E2"/>
    <w:pPr>
      <w:ind w:left="-1418"/>
    </w:pPr>
    <w:rPr>
      <w:sz w:val="2"/>
      <w:szCs w:val="2"/>
    </w:rPr>
  </w:style>
  <w:style w:type="character" w:styleId="PageNumber">
    <w:name w:val="page number"/>
    <w:basedOn w:val="DefaultParagraphFont"/>
    <w:rsid w:val="007021E2"/>
  </w:style>
  <w:style w:type="paragraph" w:styleId="Quote">
    <w:name w:val="Quote"/>
    <w:basedOn w:val="Heading1"/>
    <w:link w:val="QuoteChar"/>
    <w:qFormat/>
    <w:rsid w:val="007021E2"/>
    <w:rPr>
      <w:b w:val="0"/>
      <w:sz w:val="72"/>
      <w:szCs w:val="72"/>
      <w:lang w:val="en-NZ"/>
    </w:rPr>
  </w:style>
  <w:style w:type="character" w:customStyle="1" w:styleId="QuoteChar">
    <w:name w:val="Quote Char"/>
    <w:basedOn w:val="DefaultParagraphFont"/>
    <w:link w:val="Quote"/>
    <w:rsid w:val="007021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21E2"/>
    <w:pPr>
      <w:pageBreakBefore/>
    </w:pPr>
  </w:style>
  <w:style w:type="paragraph" w:customStyle="1" w:styleId="Border">
    <w:name w:val="Border"/>
    <w:basedOn w:val="Normal"/>
    <w:qFormat/>
    <w:rsid w:val="007021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21E2"/>
    <w:rPr>
      <w:b/>
      <w:bCs/>
      <w:i/>
      <w:iCs/>
      <w:color w:val="auto"/>
    </w:rPr>
  </w:style>
  <w:style w:type="paragraph" w:styleId="IntenseQuote">
    <w:name w:val="Intense Quote"/>
    <w:basedOn w:val="Normal"/>
    <w:next w:val="Normal"/>
    <w:link w:val="IntenseQuoteChar"/>
    <w:uiPriority w:val="30"/>
    <w:qFormat/>
    <w:rsid w:val="007021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21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21E2"/>
    <w:rPr>
      <w:smallCaps/>
      <w:color w:val="auto"/>
      <w:u w:val="single"/>
    </w:rPr>
  </w:style>
  <w:style w:type="character" w:styleId="IntenseReference">
    <w:name w:val="Intense Reference"/>
    <w:basedOn w:val="DefaultParagraphFont"/>
    <w:uiPriority w:val="32"/>
    <w:qFormat/>
    <w:rsid w:val="007021E2"/>
    <w:rPr>
      <w:b/>
      <w:bCs/>
      <w:smallCaps/>
      <w:color w:val="auto"/>
      <w:spacing w:val="5"/>
      <w:u w:val="single"/>
    </w:rPr>
  </w:style>
  <w:style w:type="paragraph" w:customStyle="1" w:styleId="2ColumnHeading">
    <w:name w:val="2Column Heading"/>
    <w:basedOn w:val="BodyText"/>
    <w:qFormat/>
    <w:rsid w:val="007021E2"/>
    <w:pPr>
      <w:spacing w:after="60"/>
      <w:ind w:left="-2268"/>
    </w:pPr>
    <w:rPr>
      <w:b/>
    </w:rPr>
  </w:style>
  <w:style w:type="paragraph" w:customStyle="1" w:styleId="Heading1TOC">
    <w:name w:val="Heading1 TOC"/>
    <w:basedOn w:val="Normal"/>
    <w:qFormat/>
    <w:rsid w:val="007021E2"/>
    <w:pPr>
      <w:spacing w:before="240" w:after="120"/>
    </w:pPr>
    <w:rPr>
      <w:rFonts w:ascii="Times New Roman" w:hAnsi="Times New Roman"/>
      <w:b/>
      <w:sz w:val="32"/>
    </w:rPr>
  </w:style>
  <w:style w:type="paragraph" w:customStyle="1" w:styleId="Heading2TOC">
    <w:name w:val="Heading2 TOC"/>
    <w:basedOn w:val="Normal"/>
    <w:qFormat/>
    <w:rsid w:val="007021E2"/>
    <w:pPr>
      <w:spacing w:before="240" w:after="60"/>
    </w:pPr>
    <w:rPr>
      <w:rFonts w:ascii="Times New Roman" w:hAnsi="Times New Roman"/>
      <w:b/>
      <w:sz w:val="28"/>
    </w:rPr>
  </w:style>
  <w:style w:type="character" w:customStyle="1" w:styleId="Underline">
    <w:name w:val="Underline"/>
    <w:basedOn w:val="DefaultParagraphFont"/>
    <w:qFormat/>
    <w:rsid w:val="007021E2"/>
    <w:rPr>
      <w:u w:val="single"/>
    </w:rPr>
  </w:style>
  <w:style w:type="character" w:customStyle="1" w:styleId="BoldandItalics">
    <w:name w:val="Bold and Italics"/>
    <w:qFormat/>
    <w:rsid w:val="007021E2"/>
    <w:rPr>
      <w:b/>
      <w:i/>
      <w:u w:val="none"/>
    </w:rPr>
  </w:style>
  <w:style w:type="paragraph" w:styleId="BalloonText">
    <w:name w:val="Balloon Text"/>
    <w:basedOn w:val="Normal"/>
    <w:link w:val="BalloonTextChar"/>
    <w:rsid w:val="007021E2"/>
    <w:rPr>
      <w:rFonts w:ascii="Tahoma" w:hAnsi="Tahoma" w:cs="Tahoma"/>
      <w:sz w:val="16"/>
      <w:szCs w:val="16"/>
    </w:rPr>
  </w:style>
  <w:style w:type="character" w:customStyle="1" w:styleId="BalloonTextChar">
    <w:name w:val="Balloon Text Char"/>
    <w:basedOn w:val="DefaultParagraphFont"/>
    <w:link w:val="BalloonText"/>
    <w:rsid w:val="007021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21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21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21E2"/>
    <w:rPr>
      <w:b/>
      <w:color w:val="660033"/>
      <w:spacing w:val="0"/>
    </w:rPr>
  </w:style>
  <w:style w:type="paragraph" w:customStyle="1" w:styleId="Nameditemlist">
    <w:name w:val="Named item list"/>
    <w:basedOn w:val="BodyText"/>
    <w:qFormat/>
    <w:rsid w:val="007021E2"/>
    <w:pPr>
      <w:tabs>
        <w:tab w:val="left" w:pos="2835"/>
      </w:tabs>
      <w:ind w:left="2835" w:hanging="2835"/>
    </w:pPr>
  </w:style>
  <w:style w:type="paragraph" w:customStyle="1" w:styleId="BodyTextnopadding">
    <w:name w:val="Body Text no padding"/>
    <w:basedOn w:val="BodyText"/>
    <w:qFormat/>
    <w:rsid w:val="007021E2"/>
    <w:pPr>
      <w:spacing w:before="0" w:after="0"/>
    </w:pPr>
  </w:style>
  <w:style w:type="paragraph" w:customStyle="1" w:styleId="BodyTextBold">
    <w:name w:val="Body Text Bold"/>
    <w:basedOn w:val="BodyText"/>
    <w:qFormat/>
    <w:rsid w:val="007021E2"/>
    <w:rPr>
      <w:b/>
    </w:rPr>
  </w:style>
  <w:style w:type="character" w:styleId="Hyperlink">
    <w:name w:val="Hyperlink"/>
    <w:basedOn w:val="DefaultParagraphFont"/>
    <w:uiPriority w:val="99"/>
    <w:unhideWhenUsed/>
    <w:rsid w:val="00EA73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465</Words>
  <Characters>2949</Characters>
  <Application>Microsoft Office Word</Application>
  <DocSecurity>0</DocSecurity>
  <Lines>105</Lines>
  <Paragraphs>72</Paragraphs>
  <ScaleCrop>false</ScaleCrop>
  <Company>Author-it Software Corporation Ltd.</Company>
  <LinksUpToDate>false</LinksUpToDate>
  <CharactersWithSpaces>3342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MEM48020 Recommend ferrous and nonferrous metals or alloys for an application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2023-02-03T06:40:00Z</dcterms:created>
  <dcterms:modified xsi:type="dcterms:W3CDTF">2023-02-03T06:40:00Z</dcterms:modified>
</cp:coreProperties>
</file>