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1A30" w:rsidP="00171A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MEM48020 Recommend ferrous and nonferrous metals or alloys for an application</w:t>
      </w:r>
      <w:r>
        <w:fldChar w:fldCharType="end"/>
      </w:r>
    </w:p>
    <w:p w:rsidR="00171A30" w:rsidP="00171A30">
      <w:pPr>
        <w:pStyle w:val="Version"/>
        <w:sectPr w:rsidSect="001449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4913" w:rsidP="00144913">
      <w:pPr>
        <w:pStyle w:val="SuperHeading"/>
      </w:pPr>
      <w:r w:rsidRPr="00144913">
        <w:t>Assessment Requirements for MEM48020 Recommend ferrous and nonferrous metals or alloys for an application</w:t>
      </w:r>
    </w:p>
    <w:p w:rsidR="00000000" w:rsidRPr="00144913" w:rsidP="00144913">
      <w:pPr>
        <w:pStyle w:val="Heading1"/>
      </w:pPr>
      <w:bookmarkStart w:id="1" w:name="O_950089"/>
      <w:bookmarkEnd w:id="1"/>
      <w:r w:rsidRPr="00144913">
        <w:t>Modification History</w:t>
      </w:r>
    </w:p>
    <w:p w:rsidR="00171A30" w:rsidP="00171A30">
      <w:pPr>
        <w:pStyle w:val="BodyText"/>
      </w:pPr>
      <w:r w:rsidRPr="00144913">
        <w:t>Release 1. Supersedes and is equivalent to MSATCM509A Recommend ferrous and non ferrous metals or alloys for an application.</w:t>
      </w:r>
    </w:p>
    <w:p w:rsidR="00000000" w:rsidRPr="00144913" w:rsidP="00144913">
      <w:pPr>
        <w:pStyle w:val="Heading1"/>
      </w:pPr>
      <w:bookmarkStart w:id="2" w:name="O_950092"/>
      <w:bookmarkEnd w:id="2"/>
      <w:r w:rsidRPr="00144913">
        <w:t>Performance Evidence</w:t>
      </w:r>
    </w:p>
    <w:p w:rsidR="00000000" w:rsidRPr="00144913" w:rsidP="00171A30">
      <w:pPr>
        <w:pStyle w:val="BodyText"/>
      </w:pPr>
      <w:r w:rsidRPr="00144913">
        <w:t>Evidence required to demonstrate competence in this unit must be relevant to and satisfy the</w:t>
      </w:r>
      <w:r w:rsidRPr="00144913">
        <w:t xml:space="preserve"> requirements of the elements and performance criteria and include:</w:t>
      </w:r>
    </w:p>
    <w:p w:rsidR="00000000" w:rsidRPr="00144913" w:rsidP="00144913">
      <w:pPr>
        <w:pStyle w:val="ListBullet"/>
      </w:pPr>
      <w:r w:rsidRPr="00144913">
        <w:t>following work instructions, standard operating procedures (SOPs) and safe work practices</w:t>
      </w:r>
    </w:p>
    <w:p w:rsidR="00000000" w:rsidRPr="00144913" w:rsidP="00144913">
      <w:pPr>
        <w:pStyle w:val="ListBullet"/>
      </w:pPr>
      <w:r w:rsidRPr="00144913">
        <w:t>identifying and interpreting engineering requirements for the application from specifications, sa</w:t>
      </w:r>
      <w:r w:rsidRPr="00144913">
        <w:t>fety procedures and other reference material</w:t>
      </w:r>
    </w:p>
    <w:p w:rsidR="00000000" w:rsidRPr="00144913" w:rsidP="00144913">
      <w:pPr>
        <w:pStyle w:val="ListBullet"/>
      </w:pPr>
      <w:r w:rsidRPr="00144913">
        <w:t>selecting appropriate metals to suit specific applications on at least two occasions</w:t>
      </w:r>
    </w:p>
    <w:p w:rsidR="00000000" w:rsidRPr="00144913" w:rsidP="00144913">
      <w:pPr>
        <w:pStyle w:val="ListBullet"/>
      </w:pPr>
      <w:r w:rsidRPr="00144913">
        <w:t>applying basic metallurgical principles in preparing recommendations on at least two occasions</w:t>
      </w:r>
    </w:p>
    <w:p w:rsidR="00000000" w:rsidRPr="00144913" w:rsidP="00144913">
      <w:pPr>
        <w:pStyle w:val="ListBullet"/>
      </w:pPr>
      <w:r w:rsidRPr="00144913">
        <w:t>applying and manipulating appro</w:t>
      </w:r>
      <w:r w:rsidRPr="00144913">
        <w:t>priate formulas for applications involving engineering calculations</w:t>
      </w:r>
    </w:p>
    <w:p w:rsidR="00000000" w:rsidRPr="00144913" w:rsidP="00144913">
      <w:pPr>
        <w:pStyle w:val="ListBullet"/>
      </w:pPr>
      <w:r w:rsidRPr="00144913">
        <w:t>applying appropriate calculations to engineering and metallurgical situations</w:t>
      </w:r>
    </w:p>
    <w:p w:rsidR="00000000" w:rsidRPr="00144913" w:rsidP="00144913">
      <w:pPr>
        <w:pStyle w:val="ListBullet"/>
      </w:pPr>
      <w:r w:rsidRPr="00144913">
        <w:t>preparing basic costs and estimates</w:t>
      </w:r>
    </w:p>
    <w:p w:rsidR="00000000" w:rsidRPr="00144913" w:rsidP="00144913">
      <w:pPr>
        <w:pStyle w:val="ListBullet"/>
      </w:pPr>
      <w:r w:rsidRPr="00144913">
        <w:t>communicating within the workplace</w:t>
      </w:r>
    </w:p>
    <w:p w:rsidR="00000000" w:rsidRPr="00144913" w:rsidP="00144913">
      <w:pPr>
        <w:pStyle w:val="ListBullet"/>
      </w:pPr>
      <w:r w:rsidRPr="00144913">
        <w:t>writing reports.</w:t>
      </w:r>
    </w:p>
    <w:p w:rsidR="00171A30" w:rsidP="00171A30">
      <w:pPr>
        <w:pStyle w:val="BodyText"/>
      </w:pPr>
      <w:r w:rsidRPr="00144913">
        <w:t>Note: Where a volume a</w:t>
      </w:r>
      <w:r w:rsidRPr="00144913">
        <w:t>nd/or frequency is not specified, demonstration must be provided at least once.</w:t>
      </w:r>
    </w:p>
    <w:p w:rsidR="00000000" w:rsidRPr="00144913" w:rsidP="00144913">
      <w:pPr>
        <w:pStyle w:val="Heading1"/>
      </w:pPr>
      <w:bookmarkStart w:id="3" w:name="O_950091"/>
      <w:bookmarkEnd w:id="3"/>
      <w:r w:rsidRPr="00144913">
        <w:t>Knowledge Evidence</w:t>
      </w:r>
    </w:p>
    <w:p w:rsidR="00000000" w:rsidRPr="00144913" w:rsidP="00171A30">
      <w:pPr>
        <w:pStyle w:val="BodyText"/>
      </w:pPr>
      <w:r w:rsidRPr="00144913">
        <w:t xml:space="preserve">Evidence required to demonstrate the required knowledge for this unit must be relevant to and satisfy the requirements of the elements and </w:t>
      </w:r>
      <w:r w:rsidRPr="00144913">
        <w:t>performance criteria and include knowledge of:</w:t>
      </w:r>
    </w:p>
    <w:p w:rsidR="00000000" w:rsidRPr="00144913" w:rsidP="00144913">
      <w:pPr>
        <w:pStyle w:val="ListBullet"/>
      </w:pPr>
      <w:r w:rsidRPr="00144913">
        <w:t xml:space="preserve">safe work practices and procedures and use of personal protective equipment (PPE) </w:t>
      </w:r>
    </w:p>
    <w:p w:rsidR="00000000" w:rsidRPr="00144913" w:rsidP="00144913">
      <w:pPr>
        <w:pStyle w:val="ListBullet"/>
      </w:pPr>
      <w:r w:rsidRPr="00144913">
        <w:t>further processing</w:t>
      </w:r>
    </w:p>
    <w:p w:rsidR="00000000" w:rsidRPr="00144913" w:rsidP="00144913">
      <w:pPr>
        <w:pStyle w:val="ListBullet"/>
      </w:pPr>
      <w:r w:rsidRPr="00144913">
        <w:t>unalloyed steels including:</w:t>
      </w:r>
    </w:p>
    <w:p w:rsidR="00000000" w:rsidRPr="00144913" w:rsidP="00144913">
      <w:pPr>
        <w:pStyle w:val="ListBullet2"/>
      </w:pPr>
      <w:r w:rsidRPr="00144913">
        <w:t>iron-iron carbide phase diagram</w:t>
      </w:r>
    </w:p>
    <w:p w:rsidR="00000000" w:rsidRPr="00144913" w:rsidP="00144913">
      <w:pPr>
        <w:pStyle w:val="ListBullet2"/>
      </w:pPr>
      <w:r w:rsidRPr="00144913">
        <w:t>phases in iron carbon alloys</w:t>
      </w:r>
    </w:p>
    <w:p w:rsidR="00000000" w:rsidRPr="00144913" w:rsidP="00144913">
      <w:pPr>
        <w:pStyle w:val="ListBullet2"/>
      </w:pPr>
      <w:r w:rsidRPr="00144913">
        <w:t>slow c</w:t>
      </w:r>
      <w:r w:rsidRPr="00144913">
        <w:t>ooling of steel and critical temperature lines</w:t>
      </w:r>
    </w:p>
    <w:p w:rsidR="00000000" w:rsidRPr="00144913" w:rsidP="00144913">
      <w:pPr>
        <w:pStyle w:val="ListBullet2"/>
      </w:pPr>
      <w:r w:rsidRPr="00144913">
        <w:t>basis aspects of common heat treatment processes including full annealing, spheroidising stress relief annealing, process annealing, normalising, hardening and tempering</w:t>
      </w:r>
    </w:p>
    <w:p w:rsidR="00000000" w:rsidRPr="00144913" w:rsidP="00144913">
      <w:pPr>
        <w:pStyle w:val="ListBullet"/>
      </w:pPr>
      <w:r w:rsidRPr="00144913">
        <w:t>alloy steels including:</w:t>
      </w:r>
    </w:p>
    <w:p w:rsidR="00000000" w:rsidRPr="00144913" w:rsidP="00144913">
      <w:pPr>
        <w:pStyle w:val="ListBullet2"/>
      </w:pPr>
      <w:r w:rsidRPr="00144913">
        <w:t>effect of all</w:t>
      </w:r>
      <w:r w:rsidRPr="00144913">
        <w:t>oying elements</w:t>
      </w:r>
    </w:p>
    <w:p w:rsidR="00000000" w:rsidRPr="00144913" w:rsidP="00144913">
      <w:pPr>
        <w:pStyle w:val="ListBullet2"/>
      </w:pPr>
      <w:r w:rsidRPr="00144913">
        <w:t>structural changes resulting from alloy additions including:</w:t>
      </w:r>
    </w:p>
    <w:p w:rsidR="00000000" w:rsidRPr="00144913" w:rsidP="00144913">
      <w:pPr>
        <w:pStyle w:val="ListBullet3"/>
      </w:pPr>
      <w:r w:rsidRPr="00144913">
        <w:t>phase diagrams - Fe-C-Cr</w:t>
      </w:r>
    </w:p>
    <w:p w:rsidR="00000000" w:rsidRPr="00144913" w:rsidP="00144913">
      <w:pPr>
        <w:pStyle w:val="ListBullet3"/>
      </w:pPr>
      <w:r w:rsidRPr="00144913">
        <w:t xml:space="preserve">effect of alloy additions on heat treatment, austenitising temperature, time and rate of transformation, hardening and tempering </w:t>
      </w:r>
    </w:p>
    <w:p w:rsidR="00000000" w:rsidRPr="00144913" w:rsidP="00144913">
      <w:pPr>
        <w:pStyle w:val="ListBullet2"/>
      </w:pPr>
      <w:r w:rsidRPr="00144913">
        <w:t>manganese steel</w:t>
      </w:r>
    </w:p>
    <w:p w:rsidR="00000000" w:rsidRPr="00144913" w:rsidP="00144913">
      <w:pPr>
        <w:pStyle w:val="ListBullet2"/>
      </w:pPr>
      <w:r w:rsidRPr="00144913">
        <w:t>stainless steels including:</w:t>
      </w:r>
    </w:p>
    <w:p w:rsidR="00000000" w:rsidRPr="00144913" w:rsidP="00144913">
      <w:pPr>
        <w:pStyle w:val="ListBullet3"/>
      </w:pPr>
      <w:r w:rsidRPr="00144913">
        <w:t>classification</w:t>
      </w:r>
    </w:p>
    <w:p w:rsidR="00000000" w:rsidRPr="00144913" w:rsidP="00144913">
      <w:pPr>
        <w:pStyle w:val="ListBullet3"/>
      </w:pPr>
      <w:r w:rsidRPr="00144913">
        <w:t>compositions, heat treatment, structure, properties and applications of stainless steels</w:t>
      </w:r>
    </w:p>
    <w:p w:rsidR="00000000" w:rsidRPr="00144913" w:rsidP="00144913">
      <w:pPr>
        <w:pStyle w:val="ListBullet3"/>
      </w:pPr>
      <w:r w:rsidRPr="00144913">
        <w:t>austenitic</w:t>
      </w:r>
    </w:p>
    <w:p w:rsidR="00000000" w:rsidRPr="00144913" w:rsidP="00144913">
      <w:pPr>
        <w:pStyle w:val="ListBullet3"/>
      </w:pPr>
      <w:r w:rsidRPr="00144913">
        <w:t>ferritic</w:t>
      </w:r>
    </w:p>
    <w:p w:rsidR="00000000" w:rsidRPr="00144913" w:rsidP="00144913">
      <w:pPr>
        <w:pStyle w:val="ListBullet3"/>
      </w:pPr>
      <w:r w:rsidRPr="00144913">
        <w:t>duplex and super duplex ferritic-austenitic</w:t>
      </w:r>
    </w:p>
    <w:p w:rsidR="00000000" w:rsidRPr="00144913" w:rsidP="00144913">
      <w:pPr>
        <w:pStyle w:val="ListBullet3"/>
      </w:pPr>
      <w:r w:rsidRPr="00144913">
        <w:t>martensitic</w:t>
      </w:r>
    </w:p>
    <w:p w:rsidR="00000000" w:rsidRPr="00144913" w:rsidP="00144913">
      <w:pPr>
        <w:pStyle w:val="ListBullet3"/>
      </w:pPr>
      <w:r w:rsidRPr="00144913">
        <w:t xml:space="preserve">precipitation hardening </w:t>
      </w:r>
    </w:p>
    <w:p w:rsidR="00000000" w:rsidRPr="00144913" w:rsidP="00144913">
      <w:pPr>
        <w:pStyle w:val="ListBullet3"/>
      </w:pPr>
      <w:r w:rsidRPr="00144913">
        <w:t>heat treatment problem</w:t>
      </w:r>
      <w:r w:rsidRPr="00144913">
        <w:t xml:space="preserve">s including sensitisation and embrittlement </w:t>
      </w:r>
    </w:p>
    <w:p w:rsidR="00000000" w:rsidRPr="00144913" w:rsidP="00144913">
      <w:pPr>
        <w:pStyle w:val="ListBullet"/>
      </w:pPr>
      <w:r w:rsidRPr="00144913">
        <w:t>cast irons including:</w:t>
      </w:r>
    </w:p>
    <w:p w:rsidR="00000000" w:rsidRPr="00144913" w:rsidP="00144913">
      <w:pPr>
        <w:pStyle w:val="ListBullet2"/>
      </w:pPr>
      <w:r w:rsidRPr="00144913">
        <w:t>classification including structure, carbon distribution and form</w:t>
      </w:r>
    </w:p>
    <w:p w:rsidR="00000000" w:rsidRPr="00144913" w:rsidP="00144913">
      <w:pPr>
        <w:pStyle w:val="ListBullet2"/>
      </w:pPr>
      <w:r w:rsidRPr="00144913">
        <w:t>factors affecting structure and properties including effect of carbon, silicon and cooling rate</w:t>
      </w:r>
    </w:p>
    <w:p w:rsidR="00000000" w:rsidRPr="00144913" w:rsidP="00144913">
      <w:pPr>
        <w:pStyle w:val="ListBullet"/>
      </w:pPr>
      <w:r w:rsidRPr="00144913">
        <w:t>typical cast irons including compositions, method of manufacture, structures, properties and applications of:</w:t>
      </w:r>
    </w:p>
    <w:p w:rsidR="00000000" w:rsidRPr="00144913" w:rsidP="00144913">
      <w:pPr>
        <w:pStyle w:val="ListBullet2"/>
      </w:pPr>
      <w:r w:rsidRPr="00144913">
        <w:t>grey cast irons</w:t>
      </w:r>
    </w:p>
    <w:p w:rsidR="00000000" w:rsidRPr="00144913" w:rsidP="00144913">
      <w:pPr>
        <w:pStyle w:val="ListBullet2"/>
      </w:pPr>
      <w:r w:rsidRPr="00144913">
        <w:t>white cast irons</w:t>
      </w:r>
    </w:p>
    <w:p w:rsidR="00000000" w:rsidRPr="00144913" w:rsidP="00144913">
      <w:pPr>
        <w:pStyle w:val="ListBullet2"/>
      </w:pPr>
      <w:r w:rsidRPr="00144913">
        <w:t>malleable cast irons</w:t>
      </w:r>
    </w:p>
    <w:p w:rsidR="00000000" w:rsidRPr="00144913" w:rsidP="00144913">
      <w:pPr>
        <w:pStyle w:val="ListBullet2"/>
      </w:pPr>
      <w:r w:rsidRPr="00144913">
        <w:t>nodular (ductile) cast irons</w:t>
      </w:r>
    </w:p>
    <w:p w:rsidR="00000000" w:rsidRPr="00144913" w:rsidP="00144913">
      <w:pPr>
        <w:pStyle w:val="ListBullet2"/>
      </w:pPr>
      <w:r w:rsidRPr="00144913">
        <w:t>alloy cast irons</w:t>
      </w:r>
    </w:p>
    <w:p w:rsidR="00000000" w:rsidRPr="00144913" w:rsidP="00144913">
      <w:pPr>
        <w:pStyle w:val="ListBullet2"/>
      </w:pPr>
      <w:r w:rsidRPr="00144913">
        <w:t>austempered cast irons</w:t>
      </w:r>
    </w:p>
    <w:p w:rsidR="00000000" w:rsidRPr="00144913" w:rsidP="00144913">
      <w:pPr>
        <w:pStyle w:val="ListBullet2"/>
      </w:pPr>
      <w:r w:rsidRPr="00144913">
        <w:t>compacted graphite iro</w:t>
      </w:r>
      <w:r w:rsidRPr="00144913">
        <w:t>ns</w:t>
      </w:r>
    </w:p>
    <w:p w:rsidR="00000000" w:rsidRPr="00144913" w:rsidP="00144913">
      <w:pPr>
        <w:pStyle w:val="ListBullet"/>
      </w:pPr>
      <w:r w:rsidRPr="00144913">
        <w:t>copper alloys including:</w:t>
      </w:r>
    </w:p>
    <w:p w:rsidR="00000000" w:rsidRPr="00144913" w:rsidP="00144913">
      <w:pPr>
        <w:pStyle w:val="ListBullet2"/>
      </w:pPr>
      <w:r w:rsidRPr="00144913">
        <w:t>commercial alloys from the following systems:</w:t>
      </w:r>
    </w:p>
    <w:p w:rsidR="00000000" w:rsidRPr="00144913" w:rsidP="00144913">
      <w:pPr>
        <w:pStyle w:val="ListBullet3"/>
      </w:pPr>
      <w:r w:rsidRPr="00144913">
        <w:t>Cu-O, Cu-Be, Cu-Ni, Cu-Sn and Cu-Al</w:t>
      </w:r>
    </w:p>
    <w:p w:rsidR="00000000" w:rsidRPr="00144913" w:rsidP="00144913">
      <w:pPr>
        <w:pStyle w:val="ListBullet2"/>
      </w:pPr>
      <w:r w:rsidRPr="00144913">
        <w:t xml:space="preserve">effects of casting, deformation, recrystallisation and ageing treatments on the structure and properties of the above alloys </w:t>
      </w:r>
    </w:p>
    <w:p w:rsidR="00000000" w:rsidRPr="00144913" w:rsidP="00144913">
      <w:pPr>
        <w:pStyle w:val="ListBullet"/>
      </w:pPr>
      <w:r w:rsidRPr="00144913">
        <w:t>aluminium alloys including:</w:t>
      </w:r>
    </w:p>
    <w:p w:rsidR="00000000" w:rsidRPr="00144913" w:rsidP="00144913">
      <w:pPr>
        <w:pStyle w:val="ListBullet2"/>
      </w:pPr>
      <w:r w:rsidRPr="00144913">
        <w:t>commercial alloys from the following systems:</w:t>
      </w:r>
    </w:p>
    <w:p w:rsidR="00000000" w:rsidRPr="00144913" w:rsidP="00144913">
      <w:pPr>
        <w:pStyle w:val="ListBullet3"/>
      </w:pPr>
      <w:r w:rsidRPr="00144913">
        <w:t>Al-Si, Al-Cu, Al-Mg and Al-Mg-Si</w:t>
      </w:r>
    </w:p>
    <w:p w:rsidR="00000000" w:rsidRPr="00144913" w:rsidP="00144913">
      <w:pPr>
        <w:pStyle w:val="ListBullet2"/>
      </w:pPr>
      <w:r w:rsidRPr="00144913">
        <w:t xml:space="preserve">relationship between structure and properties of the above alloys </w:t>
      </w:r>
    </w:p>
    <w:p w:rsidR="00000000" w:rsidRPr="00144913" w:rsidP="00144913">
      <w:pPr>
        <w:pStyle w:val="ListBullet"/>
      </w:pPr>
      <w:r w:rsidRPr="00144913">
        <w:t>other alloys including:</w:t>
      </w:r>
    </w:p>
    <w:p w:rsidR="00000000" w:rsidRPr="00144913" w:rsidP="00144913">
      <w:pPr>
        <w:pStyle w:val="ListBullet2"/>
      </w:pPr>
      <w:r w:rsidRPr="00144913">
        <w:t>zinc alloys</w:t>
      </w:r>
    </w:p>
    <w:p w:rsidR="00000000" w:rsidRPr="00144913" w:rsidP="00144913">
      <w:pPr>
        <w:pStyle w:val="ListBullet2"/>
      </w:pPr>
      <w:r w:rsidRPr="00144913">
        <w:t>tin alloys</w:t>
      </w:r>
    </w:p>
    <w:p w:rsidR="00000000" w:rsidRPr="00144913" w:rsidP="00144913">
      <w:pPr>
        <w:pStyle w:val="ListBullet2"/>
      </w:pPr>
      <w:r w:rsidRPr="00144913">
        <w:t>nickel alloys</w:t>
      </w:r>
    </w:p>
    <w:p w:rsidR="00000000" w:rsidRPr="00144913" w:rsidP="00144913">
      <w:pPr>
        <w:pStyle w:val="ListBullet2"/>
      </w:pPr>
      <w:r w:rsidRPr="00144913">
        <w:t>cobalt alloys</w:t>
      </w:r>
    </w:p>
    <w:p w:rsidR="00000000" w:rsidRPr="00144913" w:rsidP="00144913">
      <w:pPr>
        <w:pStyle w:val="ListBullet2"/>
      </w:pPr>
      <w:r w:rsidRPr="00144913">
        <w:t>magnesium alloys</w:t>
      </w:r>
    </w:p>
    <w:p w:rsidR="00171A30" w:rsidP="00144913">
      <w:pPr>
        <w:pStyle w:val="ListBullet2"/>
      </w:pPr>
      <w:r w:rsidRPr="00144913">
        <w:t>titanium alloys.</w:t>
      </w:r>
    </w:p>
    <w:p w:rsidR="00171A30" w:rsidP="00144913">
      <w:pPr>
        <w:pStyle w:val="ListBullet2"/>
      </w:pPr>
    </w:p>
    <w:p w:rsidR="00000000" w:rsidRPr="00144913" w:rsidP="00144913">
      <w:pPr>
        <w:pStyle w:val="Heading1"/>
      </w:pPr>
      <w:bookmarkStart w:id="4" w:name="O_950090"/>
      <w:bookmarkEnd w:id="4"/>
      <w:r w:rsidRPr="00144913">
        <w:t>Assessment Conditions</w:t>
      </w:r>
    </w:p>
    <w:p w:rsidR="00000000" w:rsidRPr="00144913" w:rsidP="00144913">
      <w:pPr>
        <w:pStyle w:val="ListBullet"/>
      </w:pPr>
      <w:r w:rsidRPr="00144913">
        <w:t>Assessors must:</w:t>
      </w:r>
    </w:p>
    <w:p w:rsidR="00000000" w:rsidRPr="00144913" w:rsidP="00144913">
      <w:pPr>
        <w:pStyle w:val="ListBullet2"/>
      </w:pPr>
      <w:r w:rsidRPr="00144913">
        <w:t>have vocational competency in recommending ferrous and nonferrous metals or alloys for an application at least to the level being assessed with relevant industry kn</w:t>
      </w:r>
      <w:r w:rsidRPr="00144913">
        <w:t>owledge and experience</w:t>
      </w:r>
    </w:p>
    <w:p w:rsidR="00000000" w:rsidRPr="00144913" w:rsidP="00144913">
      <w:pPr>
        <w:pStyle w:val="ListBullet2"/>
      </w:pPr>
      <w:r w:rsidRPr="00144913">
        <w:t xml:space="preserve">satisfy the assessor requirements in the </w:t>
      </w:r>
      <w:r w:rsidRPr="00144913">
        <w:rPr>
          <w:rStyle w:val="Emphasis"/>
        </w:rPr>
        <w:t xml:space="preserve">Standards for Registered Training Organisations 2015 </w:t>
      </w:r>
      <w:r w:rsidRPr="00144913">
        <w:t>or its replacement</w:t>
      </w:r>
      <w:r w:rsidRPr="00144913">
        <w:rPr>
          <w:rStyle w:val="Emphasis"/>
        </w:rPr>
        <w:t xml:space="preserve"> </w:t>
      </w:r>
      <w:r w:rsidRPr="00144913">
        <w:t xml:space="preserve">and comply with the </w:t>
      </w:r>
      <w:r w:rsidRPr="00144913">
        <w:rPr>
          <w:rStyle w:val="Emphasis"/>
        </w:rPr>
        <w:t xml:space="preserve">National Vocational Education and Training Regulator Act 2011, </w:t>
      </w:r>
      <w:r w:rsidRPr="00144913">
        <w:t>its replacement</w:t>
      </w:r>
      <w:r w:rsidRPr="00144913">
        <w:rPr>
          <w:rStyle w:val="Emphasis"/>
        </w:rPr>
        <w:t xml:space="preserve"> </w:t>
      </w:r>
      <w:r w:rsidRPr="00144913">
        <w:t>or equivalent legisla</w:t>
      </w:r>
      <w:r w:rsidRPr="00144913">
        <w:t>tion covering VET regulation in a non-referring state/territory as the case requires.</w:t>
      </w:r>
    </w:p>
    <w:p w:rsidR="00000000" w:rsidRPr="00144913" w:rsidP="00144913">
      <w:pPr>
        <w:pStyle w:val="ListBullet"/>
      </w:pPr>
      <w:r w:rsidRPr="00144913">
        <w:t>Where possible, assessment must occur in operational workplace situations. Where this is not possible or where personal safety or environmental damage are limiting facto</w:t>
      </w:r>
      <w:r w:rsidRPr="00144913">
        <w:t>rs, assessment must occur in a sufficiently rigorous simulated environment that reflects realistic operational workplace conditions that cover all aspects of workplace performance, including environment, task skills, task management skills, contingency man</w:t>
      </w:r>
      <w:r w:rsidRPr="00144913">
        <w:t>agement skills and job role environment skills.</w:t>
      </w:r>
    </w:p>
    <w:p w:rsidR="00000000" w:rsidRPr="00144913" w:rsidP="00144913">
      <w:pPr>
        <w:pStyle w:val="ListBullet"/>
      </w:pPr>
      <w:r w:rsidRPr="00144913">
        <w:t>Conditions for assessment must include access to all tools, equipment, materials and documentation required including relevant workplace procedures, product and manufacturing specifications.</w:t>
      </w:r>
    </w:p>
    <w:p w:rsidR="00171A30" w:rsidP="00144913">
      <w:pPr>
        <w:pStyle w:val="ListBullet"/>
      </w:pPr>
      <w:r w:rsidRPr="00144913">
        <w:t>Assessment proces</w:t>
      </w:r>
      <w:r w:rsidRPr="00144913">
        <w:t>ses and techniques must be appropriate to the language, literacy and numeracy requirements of the work being performed and the needs of the candidate.</w:t>
      </w:r>
    </w:p>
    <w:p w:rsidR="00171A30" w:rsidP="00144913">
      <w:pPr>
        <w:pStyle w:val="ListBullet"/>
      </w:pPr>
    </w:p>
    <w:p w:rsidR="00000000" w:rsidRPr="00144913" w:rsidP="00144913">
      <w:pPr>
        <w:pStyle w:val="Heading1"/>
      </w:pPr>
      <w:bookmarkStart w:id="5" w:name="O_950088"/>
      <w:bookmarkEnd w:id="5"/>
      <w:r w:rsidRPr="00144913">
        <w:t>Links</w:t>
      </w:r>
    </w:p>
    <w:p w:rsidR="00000000" w:rsidRPr="00144913" w:rsidP="00171A30">
      <w:pPr>
        <w:pStyle w:val="BodyText"/>
      </w:pPr>
      <w:r w:rsidRPr="001449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521E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44913" w:rsidP="00144913"/>
    <w:sectPr w:rsidSect="001449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9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913" w:rsidRPr="00171A30" w:rsidP="00171A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9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A30" w:rsidP="001449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1A30" w:rsidP="001449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71A30" w:rsidP="001449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9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A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4913" w:rsidRPr="00171A30" w:rsidP="00171A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9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A30" w:rsidRPr="002D2AF8" w:rsidP="001449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MEM48020 Recommend ferrous and nonferrous metals or alloys for an application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71A30" w:rsidP="001449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0EC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A82D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F2E0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9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49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49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49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49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49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49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49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49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49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49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4913"/>
  </w:style>
  <w:style w:type="character" w:customStyle="1" w:styleId="Heading1Char">
    <w:name w:val="Heading 1 Char"/>
    <w:basedOn w:val="DefaultParagraphFont"/>
    <w:link w:val="Heading1"/>
    <w:rsid w:val="001449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49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49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491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4491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44913"/>
    <w:rPr>
      <w:i/>
    </w:rPr>
  </w:style>
  <w:style w:type="paragraph" w:customStyle="1" w:styleId="SuperHeading">
    <w:name w:val="SuperHeading"/>
    <w:basedOn w:val="Normal"/>
    <w:rsid w:val="001449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49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4491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449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49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49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49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49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49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49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49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49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49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49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49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49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49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49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49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49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49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49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49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4913"/>
    <w:rPr>
      <w:b/>
      <w:spacing w:val="0"/>
    </w:rPr>
  </w:style>
  <w:style w:type="paragraph" w:customStyle="1" w:styleId="SuperTitle">
    <w:name w:val="SuperTitle"/>
    <w:basedOn w:val="Title"/>
    <w:rsid w:val="001449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49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49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49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49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49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49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49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49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49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49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49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49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49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49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4913"/>
  </w:style>
  <w:style w:type="paragraph" w:styleId="TableofFigures">
    <w:name w:val="table of figures"/>
    <w:basedOn w:val="Normal"/>
    <w:next w:val="Normal"/>
    <w:semiHidden/>
    <w:rsid w:val="001449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491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44913"/>
    <w:rPr>
      <w:rFonts w:ascii="Wingdings" w:hAnsi="Wingdings"/>
    </w:rPr>
  </w:style>
  <w:style w:type="paragraph" w:customStyle="1" w:styleId="TableHeading">
    <w:name w:val="Table Heading"/>
    <w:basedOn w:val="HeadingBase"/>
    <w:rsid w:val="001449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4913"/>
    <w:rPr>
      <w:color w:val="0033CC"/>
      <w:u w:val="none"/>
    </w:rPr>
  </w:style>
  <w:style w:type="paragraph" w:customStyle="1" w:styleId="BodyTextRight">
    <w:name w:val="Body Text Right"/>
    <w:basedOn w:val="BodyText"/>
    <w:rsid w:val="001449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49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491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49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49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49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4913"/>
    <w:rPr>
      <w:sz w:val="32"/>
    </w:rPr>
  </w:style>
  <w:style w:type="paragraph" w:customStyle="1" w:styleId="HeadingProcedure">
    <w:name w:val="Heading Procedure"/>
    <w:basedOn w:val="HeadingBase"/>
    <w:next w:val="Normal"/>
    <w:rsid w:val="001449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4913"/>
    <w:pPr>
      <w:spacing w:before="60" w:after="60"/>
    </w:pPr>
  </w:style>
  <w:style w:type="paragraph" w:styleId="ListContinue">
    <w:name w:val="List Continue"/>
    <w:basedOn w:val="List"/>
    <w:rsid w:val="00144913"/>
    <w:pPr>
      <w:ind w:firstLine="0"/>
    </w:pPr>
  </w:style>
  <w:style w:type="paragraph" w:customStyle="1" w:styleId="ListNote">
    <w:name w:val="List Note"/>
    <w:basedOn w:val="List"/>
    <w:rsid w:val="001449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49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49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4913"/>
    <w:rPr>
      <w:rFonts w:ascii="Courier New" w:hAnsi="Courier New"/>
    </w:rPr>
  </w:style>
  <w:style w:type="paragraph" w:customStyle="1" w:styleId="NoteBullet">
    <w:name w:val="Note Bullet"/>
    <w:basedOn w:val="Note"/>
    <w:rsid w:val="001449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49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49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49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491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449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49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4913"/>
    <w:rPr>
      <w:b/>
      <w:smallCaps/>
    </w:rPr>
  </w:style>
  <w:style w:type="paragraph" w:customStyle="1" w:styleId="TableListNumber">
    <w:name w:val="Table List Number"/>
    <w:basedOn w:val="ListNumber"/>
    <w:rsid w:val="001449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49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4913"/>
    <w:pPr>
      <w:numPr>
        <w:numId w:val="10"/>
      </w:numPr>
    </w:pPr>
  </w:style>
  <w:style w:type="paragraph" w:customStyle="1" w:styleId="ListAlpha2">
    <w:name w:val="List Alpha 2"/>
    <w:basedOn w:val="List2"/>
    <w:rsid w:val="00144913"/>
    <w:pPr>
      <w:numPr>
        <w:numId w:val="9"/>
      </w:numPr>
    </w:pPr>
  </w:style>
  <w:style w:type="paragraph" w:styleId="List2">
    <w:name w:val="List 2"/>
    <w:basedOn w:val="BodyText"/>
    <w:rsid w:val="001449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49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49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491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4491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44913"/>
    <w:pPr>
      <w:numPr>
        <w:numId w:val="5"/>
      </w:numPr>
    </w:pPr>
  </w:style>
  <w:style w:type="paragraph" w:styleId="ListContinue2">
    <w:name w:val="List Continue 2"/>
    <w:basedOn w:val="List2"/>
    <w:rsid w:val="00144913"/>
    <w:pPr>
      <w:ind w:firstLine="0"/>
    </w:pPr>
  </w:style>
  <w:style w:type="paragraph" w:styleId="ListContinue3">
    <w:name w:val="List Continue 3"/>
    <w:basedOn w:val="List3"/>
    <w:rsid w:val="00144913"/>
    <w:pPr>
      <w:ind w:left="1021" w:firstLine="0"/>
    </w:pPr>
  </w:style>
  <w:style w:type="paragraph" w:styleId="ListContinue4">
    <w:name w:val="List Continue 4"/>
    <w:basedOn w:val="List4"/>
    <w:rsid w:val="00144913"/>
    <w:pPr>
      <w:ind w:firstLine="0"/>
    </w:pPr>
  </w:style>
  <w:style w:type="paragraph" w:styleId="ListContinue5">
    <w:name w:val="List Continue 5"/>
    <w:basedOn w:val="List5"/>
    <w:rsid w:val="00144913"/>
    <w:pPr>
      <w:ind w:firstLine="0"/>
    </w:pPr>
  </w:style>
  <w:style w:type="paragraph" w:styleId="ListNumber3">
    <w:name w:val="List Number 3"/>
    <w:basedOn w:val="List3"/>
    <w:rsid w:val="00144913"/>
    <w:pPr>
      <w:numPr>
        <w:numId w:val="6"/>
      </w:numPr>
    </w:pPr>
  </w:style>
  <w:style w:type="paragraph" w:styleId="ListNumber4">
    <w:name w:val="List Number 4"/>
    <w:basedOn w:val="List4"/>
    <w:rsid w:val="00144913"/>
    <w:pPr>
      <w:numPr>
        <w:numId w:val="7"/>
      </w:numPr>
    </w:pPr>
  </w:style>
  <w:style w:type="paragraph" w:styleId="ListNumber5">
    <w:name w:val="List Number 5"/>
    <w:basedOn w:val="List5"/>
    <w:rsid w:val="00144913"/>
    <w:pPr>
      <w:numPr>
        <w:numId w:val="8"/>
      </w:numPr>
    </w:pPr>
  </w:style>
  <w:style w:type="paragraph" w:styleId="BlockText">
    <w:name w:val="Block Text"/>
    <w:basedOn w:val="Normal"/>
    <w:rsid w:val="001449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49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4913"/>
    <w:rPr>
      <w:sz w:val="16"/>
      <w:vertAlign w:val="superscript"/>
    </w:rPr>
  </w:style>
  <w:style w:type="character" w:customStyle="1" w:styleId="Symbols">
    <w:name w:val="Symbols"/>
    <w:basedOn w:val="DefaultParagraphFont"/>
    <w:rsid w:val="00144913"/>
    <w:rPr>
      <w:rFonts w:ascii="Symbol" w:hAnsi="Symbol"/>
    </w:rPr>
  </w:style>
  <w:style w:type="character" w:customStyle="1" w:styleId="MenuOptions">
    <w:name w:val="Menu Options"/>
    <w:basedOn w:val="DefaultParagraphFont"/>
    <w:rsid w:val="001449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4913"/>
    <w:rPr>
      <w:b/>
    </w:rPr>
  </w:style>
  <w:style w:type="character" w:customStyle="1" w:styleId="Underlined">
    <w:name w:val="Underlined"/>
    <w:basedOn w:val="DefaultParagraphFont"/>
    <w:rsid w:val="00144913"/>
    <w:rPr>
      <w:u w:val="single"/>
    </w:rPr>
  </w:style>
  <w:style w:type="paragraph" w:customStyle="1" w:styleId="TableBodyTextRight">
    <w:name w:val="Table Body Text Right"/>
    <w:basedOn w:val="TableBodyText"/>
    <w:rsid w:val="001449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4913"/>
    <w:rPr>
      <w:sz w:val="18"/>
    </w:rPr>
  </w:style>
  <w:style w:type="paragraph" w:customStyle="1" w:styleId="BodySmallRight">
    <w:name w:val="Body Small Right"/>
    <w:basedOn w:val="BodyTextRight"/>
    <w:rsid w:val="00144913"/>
    <w:rPr>
      <w:sz w:val="18"/>
      <w:szCs w:val="18"/>
    </w:rPr>
  </w:style>
  <w:style w:type="paragraph" w:customStyle="1" w:styleId="MarginEdition">
    <w:name w:val="Margin Edition"/>
    <w:basedOn w:val="MarginNote"/>
    <w:rsid w:val="001449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4913"/>
    <w:rPr>
      <w:sz w:val="2"/>
      <w:szCs w:val="2"/>
    </w:rPr>
  </w:style>
  <w:style w:type="character" w:customStyle="1" w:styleId="Small">
    <w:name w:val="Small"/>
    <w:basedOn w:val="DefaultParagraphFont"/>
    <w:rsid w:val="00144913"/>
    <w:rPr>
      <w:sz w:val="16"/>
    </w:rPr>
  </w:style>
  <w:style w:type="paragraph" w:customStyle="1" w:styleId="WideTable">
    <w:name w:val="Wide Table"/>
    <w:basedOn w:val="Normal"/>
    <w:rsid w:val="001449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4913"/>
  </w:style>
  <w:style w:type="paragraph" w:styleId="Quote">
    <w:name w:val="Quote"/>
    <w:basedOn w:val="Heading1"/>
    <w:link w:val="QuoteChar"/>
    <w:qFormat/>
    <w:rsid w:val="001449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49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4913"/>
    <w:pPr>
      <w:pageBreakBefore/>
    </w:pPr>
  </w:style>
  <w:style w:type="paragraph" w:customStyle="1" w:styleId="Border">
    <w:name w:val="Border"/>
    <w:basedOn w:val="Normal"/>
    <w:qFormat/>
    <w:rsid w:val="001449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49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49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49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49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49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49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49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49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4913"/>
    <w:rPr>
      <w:u w:val="single"/>
    </w:rPr>
  </w:style>
  <w:style w:type="character" w:customStyle="1" w:styleId="BoldandItalics">
    <w:name w:val="Bold and Italics"/>
    <w:qFormat/>
    <w:rsid w:val="00144913"/>
    <w:rPr>
      <w:b/>
      <w:i/>
      <w:u w:val="none"/>
    </w:rPr>
  </w:style>
  <w:style w:type="paragraph" w:styleId="BalloonText">
    <w:name w:val="Balloon Text"/>
    <w:basedOn w:val="Normal"/>
    <w:link w:val="BalloonTextChar"/>
    <w:rsid w:val="001449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49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49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49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49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49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4913"/>
    <w:pPr>
      <w:spacing w:before="0" w:after="0"/>
    </w:pPr>
  </w:style>
  <w:style w:type="paragraph" w:customStyle="1" w:styleId="BodyTextBold">
    <w:name w:val="Body Text Bold"/>
    <w:basedOn w:val="BodyText"/>
    <w:qFormat/>
    <w:rsid w:val="00144913"/>
    <w:rPr>
      <w:b/>
    </w:rPr>
  </w:style>
  <w:style w:type="character" w:styleId="Hyperlink">
    <w:name w:val="Hyperlink"/>
    <w:basedOn w:val="DefaultParagraphFont"/>
    <w:uiPriority w:val="99"/>
    <w:unhideWhenUsed/>
    <w:rsid w:val="00171A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661</Words>
  <Characters>4529</Characters>
  <Application>Microsoft Office Word</Application>
  <DocSecurity>0</DocSecurity>
  <Lines>116</Lines>
  <Paragraphs>87</Paragraphs>
  <ScaleCrop>false</ScaleCrop>
  <Company>Author-it Software Corporation Ltd.</Company>
  <LinksUpToDate>false</LinksUpToDate>
  <CharactersWithSpaces>5103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MEM48020 Recommend ferrous and nonferrous metals or alloys for an application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2023-02-03T06:36:00Z</dcterms:created>
  <dcterms:modified xsi:type="dcterms:W3CDTF">2023-02-03T06:36:00Z</dcterms:modified>
</cp:coreProperties>
</file>