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4E4" w:rsidP="00466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MEM48019 Monitor secondary steel making operations</w:t>
      </w:r>
      <w:r>
        <w:fldChar w:fldCharType="end"/>
      </w:r>
    </w:p>
    <w:p w:rsidR="004664E4" w:rsidP="004664E4">
      <w:pPr>
        <w:pStyle w:val="Version"/>
        <w:sectPr w:rsidSect="00B354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419" w:rsidP="00B35419">
      <w:pPr>
        <w:pStyle w:val="SuperHeading"/>
      </w:pPr>
      <w:r w:rsidRPr="00B35419">
        <w:t>Assessment Requirements for MEM48019 Monitor secondary steel making operations</w:t>
      </w:r>
    </w:p>
    <w:p w:rsidR="00000000" w:rsidRPr="00B35419" w:rsidP="00B35419">
      <w:pPr>
        <w:pStyle w:val="Heading1"/>
      </w:pPr>
      <w:bookmarkStart w:id="1" w:name="O_950070"/>
      <w:bookmarkEnd w:id="1"/>
      <w:r w:rsidRPr="00B35419">
        <w:t>Modification History</w:t>
      </w:r>
    </w:p>
    <w:p w:rsidR="004664E4" w:rsidP="004664E4">
      <w:pPr>
        <w:pStyle w:val="BodyText"/>
      </w:pPr>
      <w:r w:rsidRPr="00B35419">
        <w:t>Release 1. Supersedes and is equivalent to MSATCM508A Monitor secondary steelmaking operations.</w:t>
      </w:r>
    </w:p>
    <w:p w:rsidR="00000000" w:rsidRPr="00B35419" w:rsidP="00B35419">
      <w:pPr>
        <w:pStyle w:val="Heading1"/>
      </w:pPr>
      <w:bookmarkStart w:id="2" w:name="O_950073"/>
      <w:bookmarkEnd w:id="2"/>
      <w:r w:rsidRPr="00B35419">
        <w:t>Performance Evidence</w:t>
      </w:r>
    </w:p>
    <w:p w:rsidR="00000000" w:rsidRPr="00B35419" w:rsidP="004664E4">
      <w:pPr>
        <w:pStyle w:val="BodyText"/>
      </w:pPr>
      <w:r w:rsidRPr="00B35419">
        <w:t>Evidence required to demonstrate competence in this unit must be relevant to and satisfy the requirements of the elements and performance criteria and include:</w:t>
      </w:r>
    </w:p>
    <w:p w:rsidR="00000000" w:rsidRPr="00B35419" w:rsidP="00B35419">
      <w:pPr>
        <w:pStyle w:val="ListBullet"/>
      </w:pPr>
      <w:r w:rsidRPr="00B35419">
        <w:t xml:space="preserve">following work instructions, standard operating procedures (SOPs) and safe work practices </w:t>
      </w:r>
    </w:p>
    <w:p w:rsidR="00000000" w:rsidRPr="00B35419" w:rsidP="00B35419">
      <w:pPr>
        <w:pStyle w:val="ListBullet"/>
      </w:pPr>
      <w:r w:rsidRPr="00B35419">
        <w:t>iden</w:t>
      </w:r>
      <w:r w:rsidRPr="00B35419">
        <w:t>tifying and interpreting specifications, safety procedures and other reference material to monitor secondary steel making operations</w:t>
      </w:r>
    </w:p>
    <w:p w:rsidR="00000000" w:rsidRPr="00B35419" w:rsidP="00B35419">
      <w:pPr>
        <w:pStyle w:val="ListBullet"/>
      </w:pPr>
      <w:r w:rsidRPr="00B35419">
        <w:t>meeting specifications for furnace output on at least two occasions</w:t>
      </w:r>
    </w:p>
    <w:p w:rsidR="00000000" w:rsidRPr="00B35419" w:rsidP="00B35419">
      <w:pPr>
        <w:pStyle w:val="ListBullet"/>
      </w:pPr>
      <w:r w:rsidRPr="00B35419">
        <w:t>communicating within the workplace</w:t>
      </w:r>
    </w:p>
    <w:p w:rsidR="00000000" w:rsidRPr="00B35419" w:rsidP="00B35419">
      <w:pPr>
        <w:pStyle w:val="ListBullet"/>
      </w:pPr>
      <w:r w:rsidRPr="00B35419">
        <w:t>maintaining accurate</w:t>
      </w:r>
      <w:r w:rsidRPr="00B35419">
        <w:t xml:space="preserve"> records.</w:t>
      </w:r>
    </w:p>
    <w:p w:rsidR="004664E4" w:rsidP="004664E4">
      <w:pPr>
        <w:pStyle w:val="BodyText"/>
      </w:pPr>
      <w:r w:rsidRPr="00B35419">
        <w:t>Note: Where a volume and/or frequency is not specified, demonstration must be provided at least once.</w:t>
      </w:r>
    </w:p>
    <w:p w:rsidR="00000000" w:rsidRPr="00B35419" w:rsidP="00B35419">
      <w:pPr>
        <w:pStyle w:val="Heading1"/>
      </w:pPr>
      <w:bookmarkStart w:id="3" w:name="O_950072"/>
      <w:bookmarkEnd w:id="3"/>
      <w:r w:rsidRPr="00B35419">
        <w:t>Knowledge Evidence</w:t>
      </w:r>
    </w:p>
    <w:p w:rsidR="00000000" w:rsidRPr="00B35419" w:rsidP="004664E4">
      <w:pPr>
        <w:pStyle w:val="BodyText"/>
      </w:pPr>
      <w:r w:rsidRPr="00B35419">
        <w:t>Evidence required to demonstrate the required knowledge for this unit must be relevant to and satisfy the r</w:t>
      </w:r>
      <w:r w:rsidRPr="00B35419">
        <w:t>equirements of the elements and performance criteria and include knowledge of:</w:t>
      </w:r>
    </w:p>
    <w:p w:rsidR="00000000" w:rsidRPr="00B35419" w:rsidP="00B35419">
      <w:pPr>
        <w:pStyle w:val="ListBullet"/>
      </w:pPr>
      <w:r w:rsidRPr="00B35419">
        <w:t>safe work practices and procedures and use of personal protective equipment (PPE)</w:t>
      </w:r>
    </w:p>
    <w:p w:rsidR="00000000" w:rsidRPr="00B35419" w:rsidP="00B35419">
      <w:pPr>
        <w:pStyle w:val="ListBullet"/>
      </w:pPr>
      <w:r w:rsidRPr="00B35419">
        <w:t>metallurgical principles</w:t>
      </w:r>
    </w:p>
    <w:p w:rsidR="00000000" w:rsidRPr="00B35419" w:rsidP="00B35419">
      <w:pPr>
        <w:pStyle w:val="ListBullet"/>
      </w:pPr>
      <w:r w:rsidRPr="00B35419">
        <w:t>post steel making methods employed including:</w:t>
      </w:r>
    </w:p>
    <w:p w:rsidR="00000000" w:rsidRPr="00B35419" w:rsidP="00B35419">
      <w:pPr>
        <w:pStyle w:val="ListBullet2"/>
      </w:pPr>
      <w:r w:rsidRPr="00B35419">
        <w:t>ladler stirring</w:t>
      </w:r>
    </w:p>
    <w:p w:rsidR="00000000" w:rsidRPr="00B35419" w:rsidP="00B35419">
      <w:pPr>
        <w:pStyle w:val="ListBullet2"/>
      </w:pPr>
      <w:r w:rsidRPr="00B35419">
        <w:t>ladle heating and ladle furnace</w:t>
      </w:r>
    </w:p>
    <w:p w:rsidR="00000000" w:rsidRPr="00B35419" w:rsidP="00B35419">
      <w:pPr>
        <w:pStyle w:val="ListBullet2"/>
      </w:pPr>
      <w:r w:rsidRPr="00B35419">
        <w:t>degassing including vacuum, ladle, stream and circulating</w:t>
      </w:r>
    </w:p>
    <w:p w:rsidR="00000000" w:rsidRPr="00B35419" w:rsidP="00B35419">
      <w:pPr>
        <w:pStyle w:val="ListBullet2"/>
      </w:pPr>
      <w:r w:rsidRPr="00B35419">
        <w:t>argon oxygen decarburation (AOD)</w:t>
      </w:r>
    </w:p>
    <w:p w:rsidR="00000000" w:rsidRPr="00B35419" w:rsidP="00B35419">
      <w:pPr>
        <w:pStyle w:val="ListBullet2"/>
      </w:pPr>
      <w:r w:rsidRPr="00B35419">
        <w:t>electroslag refining and remelting (ESR)</w:t>
      </w:r>
    </w:p>
    <w:p w:rsidR="00000000" w:rsidRPr="00B35419" w:rsidP="00B35419">
      <w:pPr>
        <w:pStyle w:val="ListBullet2"/>
      </w:pPr>
      <w:r w:rsidRPr="00B35419">
        <w:t xml:space="preserve">vacuum melting </w:t>
      </w:r>
    </w:p>
    <w:p w:rsidR="00000000" w:rsidRPr="00B35419" w:rsidP="00B35419">
      <w:pPr>
        <w:pStyle w:val="ListBullet"/>
      </w:pPr>
      <w:r w:rsidRPr="00B35419">
        <w:t>types of steel including ingot characteristics of rimmed, capped, killed an</w:t>
      </w:r>
      <w:r w:rsidRPr="00B35419">
        <w:t>d semi-killed</w:t>
      </w:r>
    </w:p>
    <w:p w:rsidR="00000000" w:rsidRPr="00B35419" w:rsidP="00B35419">
      <w:pPr>
        <w:pStyle w:val="ListBullet"/>
      </w:pPr>
      <w:r w:rsidRPr="00B35419">
        <w:t>factors contributing to successful casting</w:t>
      </w:r>
    </w:p>
    <w:p w:rsidR="00000000" w:rsidRPr="00B35419" w:rsidP="00B35419">
      <w:pPr>
        <w:pStyle w:val="ListBullet"/>
      </w:pPr>
      <w:r w:rsidRPr="00B35419">
        <w:t>ingots including:</w:t>
      </w:r>
    </w:p>
    <w:p w:rsidR="00000000" w:rsidRPr="00B35419" w:rsidP="00B35419">
      <w:pPr>
        <w:pStyle w:val="ListBullet2"/>
      </w:pPr>
      <w:r w:rsidRPr="00B35419">
        <w:t>influence of pouring techniques on structures of ingots</w:t>
      </w:r>
    </w:p>
    <w:p w:rsidR="00000000" w:rsidRPr="00B35419" w:rsidP="00B35419">
      <w:pPr>
        <w:pStyle w:val="ListBullet2"/>
      </w:pPr>
      <w:r w:rsidRPr="00B35419">
        <w:t>pit practices</w:t>
      </w:r>
    </w:p>
    <w:p w:rsidR="00000000" w:rsidRPr="00B35419" w:rsidP="00B35419">
      <w:pPr>
        <w:pStyle w:val="ListBullet2"/>
      </w:pPr>
      <w:r w:rsidRPr="00B35419">
        <w:t>teeming including type of ingot moulds</w:t>
      </w:r>
    </w:p>
    <w:p w:rsidR="00000000" w:rsidRPr="00B35419" w:rsidP="00B35419">
      <w:pPr>
        <w:pStyle w:val="ListBullet"/>
      </w:pPr>
      <w:r w:rsidRPr="00B35419">
        <w:t>mode of solidification including:</w:t>
      </w:r>
    </w:p>
    <w:p w:rsidR="00000000" w:rsidRPr="00B35419" w:rsidP="00B35419">
      <w:pPr>
        <w:pStyle w:val="ListBullet2"/>
      </w:pPr>
      <w:r w:rsidRPr="00B35419">
        <w:t>types of ingot structure</w:t>
      </w:r>
    </w:p>
    <w:p w:rsidR="00000000" w:rsidRPr="00B35419" w:rsidP="00B35419">
      <w:pPr>
        <w:pStyle w:val="ListBullet2"/>
      </w:pPr>
      <w:r w:rsidRPr="00B35419">
        <w:t>control of</w:t>
      </w:r>
      <w:r w:rsidRPr="00B35419">
        <w:t xml:space="preserve"> ingot structure</w:t>
      </w:r>
    </w:p>
    <w:p w:rsidR="00000000" w:rsidRPr="00B35419" w:rsidP="00B35419">
      <w:pPr>
        <w:pStyle w:val="ListBullet2"/>
      </w:pPr>
      <w:r w:rsidRPr="00B35419">
        <w:t>ingot defects</w:t>
      </w:r>
    </w:p>
    <w:p w:rsidR="00000000" w:rsidRPr="00B35419" w:rsidP="00B35419">
      <w:pPr>
        <w:pStyle w:val="ListBullet"/>
      </w:pPr>
      <w:r w:rsidRPr="00B35419">
        <w:t>continuous casting processes including:</w:t>
      </w:r>
    </w:p>
    <w:p w:rsidR="00000000" w:rsidRPr="00B35419" w:rsidP="00B35419">
      <w:pPr>
        <w:pStyle w:val="ListBullet2"/>
      </w:pPr>
      <w:r w:rsidRPr="00B35419">
        <w:t>basic principles</w:t>
      </w:r>
    </w:p>
    <w:p w:rsidR="00000000" w:rsidRPr="00B35419" w:rsidP="00B35419">
      <w:pPr>
        <w:pStyle w:val="ListBullet2"/>
      </w:pPr>
      <w:r w:rsidRPr="00B35419">
        <w:t>need for concast</w:t>
      </w:r>
    </w:p>
    <w:p w:rsidR="00000000" w:rsidRPr="00B35419" w:rsidP="00B35419">
      <w:pPr>
        <w:pStyle w:val="ListBullet2"/>
      </w:pPr>
      <w:r w:rsidRPr="00B35419">
        <w:t>development including new technologies and facilities of continuous casting for concast</w:t>
      </w:r>
    </w:p>
    <w:p w:rsidR="00000000" w:rsidRPr="00B35419" w:rsidP="00B35419">
      <w:pPr>
        <w:pStyle w:val="ListBullet2"/>
      </w:pPr>
      <w:r w:rsidRPr="00B35419">
        <w:t>types of concast units including vertical continuous caster (VCC), horizontal continuous caster (HCC) and curvilinear</w:t>
      </w:r>
    </w:p>
    <w:p w:rsidR="00000000" w:rsidRPr="00B35419" w:rsidP="00B35419">
      <w:pPr>
        <w:pStyle w:val="ListBullet2"/>
      </w:pPr>
      <w:r w:rsidRPr="00B35419">
        <w:t>description of plant equipment and process principles, concast operations</w:t>
      </w:r>
    </w:p>
    <w:p w:rsidR="00000000" w:rsidRPr="00B35419" w:rsidP="00B35419">
      <w:pPr>
        <w:pStyle w:val="ListBullet"/>
      </w:pPr>
      <w:r w:rsidRPr="00B35419">
        <w:t>metallurgical aspects including:</w:t>
      </w:r>
    </w:p>
    <w:p w:rsidR="00000000" w:rsidRPr="00B35419" w:rsidP="00B35419">
      <w:pPr>
        <w:pStyle w:val="ListBullet2"/>
      </w:pPr>
      <w:r w:rsidRPr="00B35419">
        <w:t>instrumentation - sensor qual</w:t>
      </w:r>
      <w:r w:rsidRPr="00B35419">
        <w:t>ity</w:t>
      </w:r>
    </w:p>
    <w:p w:rsidR="00000000" w:rsidRPr="00B35419" w:rsidP="00B35419">
      <w:pPr>
        <w:pStyle w:val="ListBullet2"/>
      </w:pPr>
      <w:r w:rsidRPr="00B35419">
        <w:t>solidification/internal quality</w:t>
      </w:r>
    </w:p>
    <w:p w:rsidR="00000000" w:rsidRPr="00B35419" w:rsidP="00B35419">
      <w:pPr>
        <w:pStyle w:val="ListBullet2"/>
      </w:pPr>
      <w:r w:rsidRPr="00B35419">
        <w:t>defects and their origin - avoidance of defects</w:t>
      </w:r>
    </w:p>
    <w:p w:rsidR="004664E4" w:rsidP="00B35419">
      <w:pPr>
        <w:pStyle w:val="ListBullet"/>
      </w:pPr>
      <w:r w:rsidRPr="00B35419">
        <w:t>comparison of concast units and static ingot production.</w:t>
      </w:r>
    </w:p>
    <w:p w:rsidR="004664E4" w:rsidP="00B35419">
      <w:pPr>
        <w:pStyle w:val="ListBullet"/>
      </w:pPr>
    </w:p>
    <w:p w:rsidR="00000000" w:rsidRPr="00B35419" w:rsidP="00B35419">
      <w:pPr>
        <w:pStyle w:val="Heading1"/>
      </w:pPr>
      <w:bookmarkStart w:id="4" w:name="O_950071"/>
      <w:bookmarkEnd w:id="4"/>
      <w:r w:rsidRPr="00B35419">
        <w:t>Assessment Conditions</w:t>
      </w:r>
    </w:p>
    <w:p w:rsidR="00000000" w:rsidRPr="00B35419" w:rsidP="00B35419">
      <w:pPr>
        <w:pStyle w:val="ListBullet"/>
      </w:pPr>
      <w:r w:rsidRPr="00B35419">
        <w:t>Assessors must:</w:t>
      </w:r>
    </w:p>
    <w:p w:rsidR="00000000" w:rsidRPr="00B35419" w:rsidP="00B35419">
      <w:pPr>
        <w:pStyle w:val="ListBullet2"/>
      </w:pPr>
      <w:r w:rsidRPr="00B35419">
        <w:t>have vocational competency in monitoring secondary steel making operations at least to the level being assessed with relevant industry knowledge and experience</w:t>
      </w:r>
    </w:p>
    <w:p w:rsidR="00000000" w:rsidRPr="00B35419" w:rsidP="00B35419">
      <w:pPr>
        <w:pStyle w:val="ListBullet2"/>
      </w:pPr>
      <w:r w:rsidRPr="00B35419">
        <w:t xml:space="preserve">satisfy the assessor requirements in the </w:t>
      </w:r>
      <w:r w:rsidRPr="00B35419">
        <w:rPr>
          <w:rStyle w:val="Emphasis"/>
        </w:rPr>
        <w:t xml:space="preserve">Standards for Registered Training Organisations 2015 </w:t>
      </w:r>
      <w:r w:rsidRPr="00B35419">
        <w:t>or</w:t>
      </w:r>
      <w:r w:rsidRPr="00B35419">
        <w:t xml:space="preserve"> its replacement</w:t>
      </w:r>
      <w:r w:rsidRPr="00B35419">
        <w:rPr>
          <w:rStyle w:val="Emphasis"/>
        </w:rPr>
        <w:t xml:space="preserve"> </w:t>
      </w:r>
      <w:r w:rsidRPr="00B35419">
        <w:t xml:space="preserve">and comply with the </w:t>
      </w:r>
      <w:r w:rsidRPr="00B35419">
        <w:rPr>
          <w:rStyle w:val="Emphasis"/>
        </w:rPr>
        <w:t xml:space="preserve">National Vocational Education and Training Regulator Act 2011, </w:t>
      </w:r>
      <w:r w:rsidRPr="00B35419">
        <w:t>its replacement</w:t>
      </w:r>
      <w:r w:rsidRPr="00B35419">
        <w:rPr>
          <w:rStyle w:val="Emphasis"/>
        </w:rPr>
        <w:t xml:space="preserve"> </w:t>
      </w:r>
      <w:r w:rsidRPr="00B35419">
        <w:t>or equivalent legislation covering VET regulation in a non-referring state/territory as the case requires.</w:t>
      </w:r>
    </w:p>
    <w:p w:rsidR="00000000" w:rsidRPr="00B35419" w:rsidP="00B35419">
      <w:pPr>
        <w:pStyle w:val="ListBullet"/>
      </w:pPr>
      <w:r w:rsidRPr="00B35419">
        <w:t xml:space="preserve">Where possible, assessment must </w:t>
      </w:r>
      <w:r w:rsidRPr="00B35419">
        <w:t>occur in operational workplace situations. Where this is not possible or where personal safety or environmental damage are limiting factors, assessment must occur in a sufficiently rigorous simulated environment that reflects realistic operational workplac</w:t>
      </w:r>
      <w:r w:rsidRPr="00B35419">
        <w:t>e conditions that cover all aspects of workplace performance, including environment, task skills, task management skills, contingency management skills and job role environment skills.</w:t>
      </w:r>
    </w:p>
    <w:p w:rsidR="00000000" w:rsidRPr="00B35419" w:rsidP="00B35419">
      <w:pPr>
        <w:pStyle w:val="ListBullet"/>
      </w:pPr>
      <w:r w:rsidRPr="00B35419">
        <w:t xml:space="preserve">Conditions for assessment must include access to all tools, equipment, </w:t>
      </w:r>
      <w:r w:rsidRPr="00B35419">
        <w:t>materials and documentation required including relevant workplace procedures, product and manufacturing specifications.</w:t>
      </w:r>
    </w:p>
    <w:p w:rsidR="004664E4" w:rsidP="00B35419">
      <w:pPr>
        <w:pStyle w:val="ListBullet"/>
      </w:pPr>
      <w:r w:rsidRPr="00B35419">
        <w:t xml:space="preserve">Assessment processes and techniques must be appropriate to the language, literacy and numeracy requirements of the work being performed </w:t>
      </w:r>
      <w:r w:rsidRPr="00B35419">
        <w:t>and the needs of the candidate.</w:t>
      </w:r>
    </w:p>
    <w:p w:rsidR="004664E4" w:rsidP="00B35419">
      <w:pPr>
        <w:pStyle w:val="ListBullet"/>
      </w:pPr>
    </w:p>
    <w:p w:rsidR="00000000" w:rsidRPr="00B35419" w:rsidP="00B35419">
      <w:pPr>
        <w:pStyle w:val="Heading1"/>
      </w:pPr>
      <w:bookmarkStart w:id="5" w:name="O_950069"/>
      <w:bookmarkEnd w:id="5"/>
      <w:r w:rsidRPr="00B35419">
        <w:t>Links</w:t>
      </w:r>
    </w:p>
    <w:p w:rsidR="00000000" w:rsidRPr="00B35419" w:rsidP="004664E4">
      <w:pPr>
        <w:pStyle w:val="BodyText"/>
      </w:pPr>
      <w:r w:rsidRPr="00B354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97F3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35419" w:rsidP="00B35419"/>
    <w:sectPr w:rsidSect="00B354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4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419" w:rsidRPr="004664E4" w:rsidP="00466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4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4E4" w:rsidP="00B354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4E4" w:rsidP="00B354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664E4" w:rsidP="00B354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4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4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419" w:rsidRPr="004664E4" w:rsidP="004664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4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4E4" w:rsidRPr="002D2AF8" w:rsidP="00B354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MEM48019 Monitor secondary steel making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664E4" w:rsidP="00B354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427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663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F01D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4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4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4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4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4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4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4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4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4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4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4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419"/>
  </w:style>
  <w:style w:type="character" w:customStyle="1" w:styleId="Heading1Char">
    <w:name w:val="Heading 1 Char"/>
    <w:basedOn w:val="DefaultParagraphFont"/>
    <w:link w:val="Heading1"/>
    <w:rsid w:val="00B354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4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4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54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54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5419"/>
    <w:rPr>
      <w:i/>
    </w:rPr>
  </w:style>
  <w:style w:type="paragraph" w:customStyle="1" w:styleId="SuperHeading">
    <w:name w:val="SuperHeading"/>
    <w:basedOn w:val="Normal"/>
    <w:rsid w:val="00B354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4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54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4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4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4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4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4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4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4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4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4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4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4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4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4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54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54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5419"/>
    <w:rPr>
      <w:b/>
      <w:spacing w:val="0"/>
    </w:rPr>
  </w:style>
  <w:style w:type="paragraph" w:customStyle="1" w:styleId="SuperTitle">
    <w:name w:val="SuperTitle"/>
    <w:basedOn w:val="Title"/>
    <w:rsid w:val="00B354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4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4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54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4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4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4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4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4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4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4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4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54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4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4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419"/>
  </w:style>
  <w:style w:type="paragraph" w:styleId="TableofFigures">
    <w:name w:val="table of figures"/>
    <w:basedOn w:val="Normal"/>
    <w:next w:val="Normal"/>
    <w:semiHidden/>
    <w:rsid w:val="00B354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4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5419"/>
    <w:rPr>
      <w:rFonts w:ascii="Wingdings" w:hAnsi="Wingdings"/>
    </w:rPr>
  </w:style>
  <w:style w:type="paragraph" w:customStyle="1" w:styleId="TableHeading">
    <w:name w:val="Table Heading"/>
    <w:basedOn w:val="HeadingBase"/>
    <w:rsid w:val="00B354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419"/>
    <w:rPr>
      <w:color w:val="0033CC"/>
      <w:u w:val="none"/>
    </w:rPr>
  </w:style>
  <w:style w:type="paragraph" w:customStyle="1" w:styleId="BodyTextRight">
    <w:name w:val="Body Text Right"/>
    <w:basedOn w:val="BodyText"/>
    <w:rsid w:val="00B354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4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4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4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4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4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419"/>
    <w:rPr>
      <w:sz w:val="32"/>
    </w:rPr>
  </w:style>
  <w:style w:type="paragraph" w:customStyle="1" w:styleId="HeadingProcedure">
    <w:name w:val="Heading Procedure"/>
    <w:basedOn w:val="HeadingBase"/>
    <w:next w:val="Normal"/>
    <w:rsid w:val="00B354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419"/>
    <w:pPr>
      <w:spacing w:before="60" w:after="60"/>
    </w:pPr>
  </w:style>
  <w:style w:type="paragraph" w:styleId="ListContinue">
    <w:name w:val="List Continue"/>
    <w:basedOn w:val="List"/>
    <w:rsid w:val="00B35419"/>
    <w:pPr>
      <w:ind w:firstLine="0"/>
    </w:pPr>
  </w:style>
  <w:style w:type="paragraph" w:customStyle="1" w:styleId="ListNote">
    <w:name w:val="List Note"/>
    <w:basedOn w:val="List"/>
    <w:rsid w:val="00B354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4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4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419"/>
    <w:rPr>
      <w:rFonts w:ascii="Courier New" w:hAnsi="Courier New"/>
    </w:rPr>
  </w:style>
  <w:style w:type="paragraph" w:customStyle="1" w:styleId="NoteBullet">
    <w:name w:val="Note Bullet"/>
    <w:basedOn w:val="Note"/>
    <w:rsid w:val="00B354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4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4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4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4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54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4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419"/>
    <w:rPr>
      <w:b/>
      <w:smallCaps/>
    </w:rPr>
  </w:style>
  <w:style w:type="paragraph" w:customStyle="1" w:styleId="TableListNumber">
    <w:name w:val="Table List Number"/>
    <w:basedOn w:val="ListNumber"/>
    <w:rsid w:val="00B354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4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419"/>
    <w:pPr>
      <w:numPr>
        <w:numId w:val="9"/>
      </w:numPr>
    </w:pPr>
  </w:style>
  <w:style w:type="paragraph" w:customStyle="1" w:styleId="ListAlpha2">
    <w:name w:val="List Alpha 2"/>
    <w:basedOn w:val="List2"/>
    <w:rsid w:val="00B35419"/>
    <w:pPr>
      <w:numPr>
        <w:numId w:val="8"/>
      </w:numPr>
    </w:pPr>
  </w:style>
  <w:style w:type="paragraph" w:styleId="List2">
    <w:name w:val="List 2"/>
    <w:basedOn w:val="BodyText"/>
    <w:rsid w:val="00B354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4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4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4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4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4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5419"/>
    <w:pPr>
      <w:numPr>
        <w:numId w:val="4"/>
      </w:numPr>
    </w:pPr>
  </w:style>
  <w:style w:type="paragraph" w:styleId="ListContinue2">
    <w:name w:val="List Continue 2"/>
    <w:basedOn w:val="List2"/>
    <w:rsid w:val="00B35419"/>
    <w:pPr>
      <w:ind w:firstLine="0"/>
    </w:pPr>
  </w:style>
  <w:style w:type="paragraph" w:styleId="ListContinue3">
    <w:name w:val="List Continue 3"/>
    <w:basedOn w:val="List3"/>
    <w:rsid w:val="00B35419"/>
    <w:pPr>
      <w:ind w:left="1021" w:firstLine="0"/>
    </w:pPr>
  </w:style>
  <w:style w:type="paragraph" w:styleId="ListContinue4">
    <w:name w:val="List Continue 4"/>
    <w:basedOn w:val="List4"/>
    <w:rsid w:val="00B35419"/>
    <w:pPr>
      <w:ind w:firstLine="0"/>
    </w:pPr>
  </w:style>
  <w:style w:type="paragraph" w:styleId="ListContinue5">
    <w:name w:val="List Continue 5"/>
    <w:basedOn w:val="List5"/>
    <w:rsid w:val="00B35419"/>
    <w:pPr>
      <w:ind w:firstLine="0"/>
    </w:pPr>
  </w:style>
  <w:style w:type="paragraph" w:styleId="ListNumber3">
    <w:name w:val="List Number 3"/>
    <w:basedOn w:val="List3"/>
    <w:rsid w:val="00B35419"/>
    <w:pPr>
      <w:numPr>
        <w:numId w:val="5"/>
      </w:numPr>
    </w:pPr>
  </w:style>
  <w:style w:type="paragraph" w:styleId="ListNumber4">
    <w:name w:val="List Number 4"/>
    <w:basedOn w:val="List4"/>
    <w:rsid w:val="00B35419"/>
    <w:pPr>
      <w:numPr>
        <w:numId w:val="6"/>
      </w:numPr>
    </w:pPr>
  </w:style>
  <w:style w:type="paragraph" w:styleId="ListNumber5">
    <w:name w:val="List Number 5"/>
    <w:basedOn w:val="List5"/>
    <w:rsid w:val="00B35419"/>
    <w:pPr>
      <w:numPr>
        <w:numId w:val="7"/>
      </w:numPr>
    </w:pPr>
  </w:style>
  <w:style w:type="paragraph" w:styleId="BlockText">
    <w:name w:val="Block Text"/>
    <w:basedOn w:val="Normal"/>
    <w:rsid w:val="00B354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4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419"/>
    <w:rPr>
      <w:sz w:val="16"/>
      <w:vertAlign w:val="superscript"/>
    </w:rPr>
  </w:style>
  <w:style w:type="character" w:customStyle="1" w:styleId="Symbols">
    <w:name w:val="Symbols"/>
    <w:basedOn w:val="DefaultParagraphFont"/>
    <w:rsid w:val="00B35419"/>
    <w:rPr>
      <w:rFonts w:ascii="Symbol" w:hAnsi="Symbol"/>
    </w:rPr>
  </w:style>
  <w:style w:type="character" w:customStyle="1" w:styleId="MenuOptions">
    <w:name w:val="Menu Options"/>
    <w:basedOn w:val="DefaultParagraphFont"/>
    <w:rsid w:val="00B354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419"/>
    <w:rPr>
      <w:b/>
    </w:rPr>
  </w:style>
  <w:style w:type="character" w:customStyle="1" w:styleId="Underlined">
    <w:name w:val="Underlined"/>
    <w:basedOn w:val="DefaultParagraphFont"/>
    <w:rsid w:val="00B35419"/>
    <w:rPr>
      <w:u w:val="single"/>
    </w:rPr>
  </w:style>
  <w:style w:type="paragraph" w:customStyle="1" w:styleId="TableBodyTextRight">
    <w:name w:val="Table Body Text Right"/>
    <w:basedOn w:val="TableBodyText"/>
    <w:rsid w:val="00B354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419"/>
    <w:rPr>
      <w:sz w:val="18"/>
    </w:rPr>
  </w:style>
  <w:style w:type="paragraph" w:customStyle="1" w:styleId="BodySmallRight">
    <w:name w:val="Body Small Right"/>
    <w:basedOn w:val="BodyTextRight"/>
    <w:rsid w:val="00B35419"/>
    <w:rPr>
      <w:sz w:val="18"/>
      <w:szCs w:val="18"/>
    </w:rPr>
  </w:style>
  <w:style w:type="paragraph" w:customStyle="1" w:styleId="MarginEdition">
    <w:name w:val="Margin Edition"/>
    <w:basedOn w:val="MarginNote"/>
    <w:rsid w:val="00B354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419"/>
    <w:rPr>
      <w:sz w:val="2"/>
      <w:szCs w:val="2"/>
    </w:rPr>
  </w:style>
  <w:style w:type="character" w:customStyle="1" w:styleId="Small">
    <w:name w:val="Small"/>
    <w:basedOn w:val="DefaultParagraphFont"/>
    <w:rsid w:val="00B35419"/>
    <w:rPr>
      <w:sz w:val="16"/>
    </w:rPr>
  </w:style>
  <w:style w:type="paragraph" w:customStyle="1" w:styleId="WideTable">
    <w:name w:val="Wide Table"/>
    <w:basedOn w:val="Normal"/>
    <w:rsid w:val="00B354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419"/>
  </w:style>
  <w:style w:type="paragraph" w:styleId="Quote">
    <w:name w:val="Quote"/>
    <w:basedOn w:val="Heading1"/>
    <w:link w:val="QuoteChar"/>
    <w:qFormat/>
    <w:rsid w:val="00B354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4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419"/>
    <w:pPr>
      <w:pageBreakBefore/>
    </w:pPr>
  </w:style>
  <w:style w:type="paragraph" w:customStyle="1" w:styleId="Border">
    <w:name w:val="Border"/>
    <w:basedOn w:val="Normal"/>
    <w:qFormat/>
    <w:rsid w:val="00B354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4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4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4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4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4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4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4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4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419"/>
    <w:rPr>
      <w:u w:val="single"/>
    </w:rPr>
  </w:style>
  <w:style w:type="character" w:customStyle="1" w:styleId="BoldandItalics">
    <w:name w:val="Bold and Italics"/>
    <w:qFormat/>
    <w:rsid w:val="00B35419"/>
    <w:rPr>
      <w:b/>
      <w:i/>
      <w:u w:val="none"/>
    </w:rPr>
  </w:style>
  <w:style w:type="paragraph" w:styleId="BalloonText">
    <w:name w:val="Balloon Text"/>
    <w:basedOn w:val="Normal"/>
    <w:link w:val="BalloonTextChar"/>
    <w:rsid w:val="00B354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4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4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4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4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4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419"/>
    <w:pPr>
      <w:spacing w:before="0" w:after="0"/>
    </w:pPr>
  </w:style>
  <w:style w:type="paragraph" w:customStyle="1" w:styleId="BodyTextBold">
    <w:name w:val="Body Text Bold"/>
    <w:basedOn w:val="BodyText"/>
    <w:qFormat/>
    <w:rsid w:val="00B35419"/>
    <w:rPr>
      <w:b/>
    </w:rPr>
  </w:style>
  <w:style w:type="character" w:styleId="Hyperlink">
    <w:name w:val="Hyperlink"/>
    <w:basedOn w:val="DefaultParagraphFont"/>
    <w:uiPriority w:val="99"/>
    <w:unhideWhenUsed/>
    <w:rsid w:val="00466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3556</Characters>
  <Application>Microsoft Office Word</Application>
  <DocSecurity>0</DocSecurity>
  <Lines>86</Lines>
  <Paragraphs>63</Paragraphs>
  <ScaleCrop>false</ScaleCrop>
  <Company>Author-it Software Corporation Ltd.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MEM48019 Monitor secondary steel making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